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8" w:lineRule="exact"/>
        <w:rPr>
          <w:sz w:val="24"/>
          <w:szCs w:val="24"/>
          <w:color w:val="auto"/>
        </w:rPr>
      </w:pPr>
    </w:p>
    <w:p>
      <w:pPr>
        <w:jc w:val="center"/>
        <w:ind w:right="-19"/>
        <w:spacing w:after="0" w:line="288" w:lineRule="exact"/>
        <w:rPr>
          <w:sz w:val="20"/>
          <w:szCs w:val="20"/>
          <w:color w:val="auto"/>
        </w:rPr>
      </w:pPr>
      <w:r>
        <w:rPr>
          <w:rFonts w:ascii="Arial" w:cs="Arial" w:eastAsia="Arial" w:hAnsi="Arial"/>
          <w:sz w:val="25"/>
          <w:szCs w:val="25"/>
          <w:b w:val="1"/>
          <w:bCs w:val="1"/>
          <w:color w:val="auto"/>
        </w:rPr>
        <w:t>FORM 10</w:t>
      </w:r>
      <w:r>
        <w:rPr>
          <w:rFonts w:ascii="MS PGothic" w:cs="MS PGothic" w:eastAsia="MS PGothic" w:hAnsi="MS PGothic"/>
          <w:sz w:val="25"/>
          <w:szCs w:val="25"/>
          <w:b w:val="1"/>
          <w:bCs w:val="1"/>
          <w:color w:val="auto"/>
        </w:rPr>
        <w:t>‑</w:t>
      </w:r>
      <w:r>
        <w:rPr>
          <w:rFonts w:ascii="Arial" w:cs="Arial" w:eastAsia="Arial" w:hAnsi="Arial"/>
          <w:sz w:val="25"/>
          <w:szCs w:val="25"/>
          <w:b w:val="1"/>
          <w:bCs w:val="1"/>
          <w:color w:val="auto"/>
        </w:rPr>
        <w:t>K</w:t>
      </w:r>
    </w:p>
    <w:p>
      <w:pPr>
        <w:spacing w:after="0" w:line="5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28" w:lineRule="exact"/>
        <w:rPr>
          <w:rFonts w:ascii="MS PGothic" w:cs="MS PGothic" w:eastAsia="MS PGothic" w:hAnsi="MS PGothic"/>
          <w:sz w:val="16"/>
          <w:szCs w:val="16"/>
          <w:color w:val="auto"/>
          <w:highlight w:val="black"/>
        </w:rPr>
      </w:pPr>
    </w:p>
    <w:p>
      <w:pPr>
        <w:ind w:left="418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For the fiscal year ended December 31, 2018</w:t>
      </w:r>
    </w:p>
    <w:p>
      <w:pPr>
        <w:spacing w:after="0" w:line="59" w:lineRule="exact"/>
        <w:rPr>
          <w:rFonts w:ascii="MS PGothic" w:cs="MS PGothic" w:eastAsia="MS PGothic" w:hAnsi="MS PGothic"/>
          <w:sz w:val="16"/>
          <w:szCs w:val="16"/>
          <w:color w:val="auto"/>
          <w:highlight w:val="black"/>
        </w:rPr>
      </w:pPr>
    </w:p>
    <w:p>
      <w:pPr>
        <w:ind w:left="560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OR</w:t>
      </w:r>
    </w:p>
    <w:p>
      <w:pPr>
        <w:spacing w:after="0" w:line="55" w:lineRule="exact"/>
        <w:rPr>
          <w:sz w:val="24"/>
          <w:szCs w:val="24"/>
          <w:color w:val="auto"/>
        </w:rPr>
      </w:pPr>
    </w:p>
    <w:p>
      <w:pPr>
        <w:ind w:left="560" w:hanging="552"/>
        <w:spacing w:after="0"/>
        <w:tabs>
          <w:tab w:leader="none" w:pos="5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54" w:lineRule="exact"/>
        <w:rPr>
          <w:sz w:val="24"/>
          <w:szCs w:val="24"/>
          <w:color w:val="auto"/>
        </w:rPr>
      </w:pPr>
    </w:p>
    <w:tbl>
      <w:tblPr>
        <w:tblLayout w:type="fixed"/>
        <w:tblInd w:w="560" w:type="dxa"/>
        <w:tblCellMar>
          <w:top w:w="0" w:type="dxa"/>
          <w:left w:w="0" w:type="dxa"/>
          <w:bottom w:w="0" w:type="dxa"/>
          <w:right w:w="0" w:type="dxa"/>
        </w:tblCellMar>
      </w:tblPr>
      <w:tr>
        <w:trPr>
          <w:trHeight w:val="210"/>
        </w:trPr>
        <w:tc>
          <w:tcPr>
            <w:tcW w:w="760" w:type="dxa"/>
            <w:vAlign w:val="bottom"/>
          </w:tcPr>
          <w:p>
            <w:pPr>
              <w:spacing w:after="0"/>
              <w:rPr>
                <w:sz w:val="18"/>
                <w:szCs w:val="18"/>
                <w:color w:val="auto"/>
              </w:rPr>
            </w:pPr>
          </w:p>
        </w:tc>
        <w:tc>
          <w:tcPr>
            <w:tcW w:w="5140" w:type="dxa"/>
            <w:vAlign w:val="bottom"/>
            <w:gridSpan w:val="2"/>
          </w:tcPr>
          <w:p>
            <w:pPr>
              <w:ind w:left="3020"/>
              <w:spacing w:after="0"/>
              <w:rPr>
                <w:sz w:val="20"/>
                <w:szCs w:val="20"/>
                <w:color w:val="auto"/>
              </w:rPr>
            </w:pPr>
            <w:r>
              <w:rPr>
                <w:rFonts w:ascii="Arial" w:cs="Arial" w:eastAsia="Arial" w:hAnsi="Arial"/>
                <w:sz w:val="16"/>
                <w:szCs w:val="16"/>
                <w:b w:val="1"/>
                <w:bCs w:val="1"/>
                <w:color w:val="auto"/>
              </w:rPr>
              <w:t>For the transition period</w:t>
            </w:r>
          </w:p>
        </w:tc>
        <w:tc>
          <w:tcPr>
            <w:tcW w:w="1860" w:type="dxa"/>
            <w:vAlign w:val="bottom"/>
            <w:gridSpan w:val="2"/>
          </w:tcPr>
          <w:p>
            <w:pPr>
              <w:ind w:left="40"/>
              <w:spacing w:after="0"/>
              <w:rPr>
                <w:sz w:val="20"/>
                <w:szCs w:val="20"/>
                <w:color w:val="auto"/>
              </w:rPr>
            </w:pPr>
            <w:r>
              <w:rPr>
                <w:rFonts w:ascii="Arial" w:cs="Arial" w:eastAsia="Arial" w:hAnsi="Arial"/>
                <w:sz w:val="16"/>
                <w:szCs w:val="16"/>
                <w:b w:val="1"/>
                <w:bCs w:val="1"/>
                <w:color w:val="auto"/>
              </w:rPr>
              <w:t>to</w:t>
            </w:r>
          </w:p>
        </w:tc>
        <w:tc>
          <w:tcPr>
            <w:tcW w:w="6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8"/>
        </w:trPr>
        <w:tc>
          <w:tcPr>
            <w:tcW w:w="760" w:type="dxa"/>
            <w:vAlign w:val="bottom"/>
          </w:tcPr>
          <w:p>
            <w:pPr>
              <w:spacing w:after="0"/>
              <w:rPr>
                <w:sz w:val="19"/>
                <w:szCs w:val="19"/>
                <w:color w:val="auto"/>
              </w:rPr>
            </w:pPr>
          </w:p>
        </w:tc>
        <w:tc>
          <w:tcPr>
            <w:tcW w:w="7000" w:type="dxa"/>
            <w:vAlign w:val="bottom"/>
            <w:gridSpan w:val="4"/>
          </w:tcPr>
          <w:p>
            <w:pPr>
              <w:jc w:val="center"/>
              <w:ind w:left="1695"/>
              <w:spacing w:after="0" w:line="184" w:lineRule="exact"/>
              <w:rPr>
                <w:sz w:val="20"/>
                <w:szCs w:val="20"/>
                <w:color w:val="auto"/>
              </w:rPr>
            </w:pPr>
            <w:r>
              <w:rPr>
                <w:rFonts w:ascii="Arial" w:cs="Arial" w:eastAsia="Arial" w:hAnsi="Arial"/>
                <w:sz w:val="16"/>
                <w:szCs w:val="16"/>
                <w:b w:val="1"/>
                <w:bCs w:val="1"/>
                <w:color w:val="auto"/>
                <w:w w:val="91"/>
              </w:rPr>
              <w:t>Commission File No. 001</w:t>
            </w:r>
            <w:r>
              <w:rPr>
                <w:rFonts w:ascii="MS PGothic" w:cs="MS PGothic" w:eastAsia="MS PGothic" w:hAnsi="MS PGothic"/>
                <w:sz w:val="16"/>
                <w:szCs w:val="16"/>
                <w:b w:val="1"/>
                <w:bCs w:val="1"/>
                <w:color w:val="auto"/>
                <w:w w:val="91"/>
              </w:rPr>
              <w:t>‑</w:t>
            </w:r>
            <w:r>
              <w:rPr>
                <w:rFonts w:ascii="Arial" w:cs="Arial" w:eastAsia="Arial" w:hAnsi="Arial"/>
                <w:sz w:val="16"/>
                <w:szCs w:val="16"/>
                <w:b w:val="1"/>
                <w:bCs w:val="1"/>
                <w:color w:val="auto"/>
                <w:w w:val="91"/>
              </w:rPr>
              <w:t>36629</w:t>
            </w:r>
          </w:p>
        </w:tc>
        <w:tc>
          <w:tcPr>
            <w:tcW w:w="6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80"/>
        </w:trPr>
        <w:tc>
          <w:tcPr>
            <w:tcW w:w="760" w:type="dxa"/>
            <w:vAlign w:val="bottom"/>
          </w:tcPr>
          <w:p>
            <w:pPr>
              <w:spacing w:after="0"/>
              <w:rPr>
                <w:sz w:val="24"/>
                <w:szCs w:val="24"/>
                <w:color w:val="auto"/>
              </w:rPr>
            </w:pPr>
          </w:p>
        </w:tc>
        <w:tc>
          <w:tcPr>
            <w:tcW w:w="7620" w:type="dxa"/>
            <w:vAlign w:val="bottom"/>
            <w:gridSpan w:val="5"/>
          </w:tcPr>
          <w:p>
            <w:pPr>
              <w:jc w:val="center"/>
              <w:ind w:left="1095"/>
              <w:spacing w:after="0"/>
              <w:rPr>
                <w:sz w:val="20"/>
                <w:szCs w:val="20"/>
                <w:color w:val="auto"/>
              </w:rPr>
            </w:pPr>
            <w:r>
              <w:rPr>
                <w:rFonts w:ascii="Arial" w:cs="Arial" w:eastAsia="Arial" w:hAnsi="Arial"/>
                <w:sz w:val="40"/>
                <w:szCs w:val="40"/>
                <w:b w:val="1"/>
                <w:bCs w:val="1"/>
                <w:color w:val="auto"/>
                <w:w w:val="97"/>
              </w:rPr>
              <w:t>ELDORADO RESORTS, INC.</w:t>
            </w:r>
          </w:p>
        </w:tc>
        <w:tc>
          <w:tcPr>
            <w:tcW w:w="1340" w:type="dxa"/>
            <w:vAlign w:val="bottom"/>
          </w:tcPr>
          <w:p>
            <w:pPr>
              <w:spacing w:after="0"/>
              <w:rPr>
                <w:sz w:val="24"/>
                <w:szCs w:val="24"/>
                <w:color w:val="auto"/>
              </w:rPr>
            </w:pPr>
          </w:p>
        </w:tc>
      </w:tr>
      <w:tr>
        <w:trPr>
          <w:trHeight w:val="210"/>
        </w:trPr>
        <w:tc>
          <w:tcPr>
            <w:tcW w:w="760" w:type="dxa"/>
            <w:vAlign w:val="bottom"/>
          </w:tcPr>
          <w:p>
            <w:pPr>
              <w:spacing w:after="0"/>
              <w:rPr>
                <w:sz w:val="18"/>
                <w:szCs w:val="18"/>
                <w:color w:val="auto"/>
              </w:rPr>
            </w:pPr>
          </w:p>
        </w:tc>
        <w:tc>
          <w:tcPr>
            <w:tcW w:w="7000" w:type="dxa"/>
            <w:vAlign w:val="bottom"/>
            <w:gridSpan w:val="4"/>
          </w:tcPr>
          <w:p>
            <w:pPr>
              <w:jc w:val="center"/>
              <w:ind w:left="1695"/>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6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6"/>
        </w:trPr>
        <w:tc>
          <w:tcPr>
            <w:tcW w:w="760" w:type="dxa"/>
            <w:vAlign w:val="bottom"/>
          </w:tcPr>
          <w:p>
            <w:pPr>
              <w:spacing w:after="0"/>
              <w:rPr>
                <w:sz w:val="20"/>
                <w:szCs w:val="20"/>
                <w:color w:val="auto"/>
              </w:rPr>
            </w:pPr>
          </w:p>
        </w:tc>
        <w:tc>
          <w:tcPr>
            <w:tcW w:w="5140" w:type="dxa"/>
            <w:vAlign w:val="bottom"/>
            <w:gridSpan w:val="2"/>
          </w:tcPr>
          <w:p>
            <w:pPr>
              <w:jc w:val="center"/>
              <w:ind w:right="1979"/>
              <w:spacing w:after="0"/>
              <w:rPr>
                <w:sz w:val="20"/>
                <w:szCs w:val="20"/>
                <w:color w:val="auto"/>
              </w:rPr>
            </w:pPr>
            <w:r>
              <w:rPr>
                <w:rFonts w:ascii="Arial" w:cs="Arial" w:eastAsia="Arial" w:hAnsi="Arial"/>
                <w:sz w:val="16"/>
                <w:szCs w:val="16"/>
                <w:b w:val="1"/>
                <w:bCs w:val="1"/>
                <w:color w:val="auto"/>
                <w:w w:val="91"/>
              </w:rPr>
              <w:t>Nevada</w:t>
            </w:r>
          </w:p>
        </w:tc>
        <w:tc>
          <w:tcPr>
            <w:tcW w:w="480" w:type="dxa"/>
            <w:vAlign w:val="bottom"/>
          </w:tcPr>
          <w:p>
            <w:pPr>
              <w:spacing w:after="0"/>
              <w:rPr>
                <w:sz w:val="20"/>
                <w:szCs w:val="20"/>
                <w:color w:val="auto"/>
              </w:rPr>
            </w:pPr>
          </w:p>
        </w:tc>
        <w:tc>
          <w:tcPr>
            <w:tcW w:w="3340" w:type="dxa"/>
            <w:vAlign w:val="bottom"/>
            <w:gridSpan w:val="3"/>
          </w:tcPr>
          <w:p>
            <w:pPr>
              <w:jc w:val="center"/>
              <w:spacing w:after="0" w:line="184" w:lineRule="exact"/>
              <w:rPr>
                <w:sz w:val="20"/>
                <w:szCs w:val="20"/>
                <w:color w:val="auto"/>
              </w:rPr>
            </w:pPr>
            <w:r>
              <w:rPr>
                <w:rFonts w:ascii="Arial" w:cs="Arial" w:eastAsia="Arial" w:hAnsi="Arial"/>
                <w:sz w:val="16"/>
                <w:szCs w:val="16"/>
                <w:b w:val="1"/>
                <w:bCs w:val="1"/>
                <w:color w:val="auto"/>
                <w:w w:val="91"/>
              </w:rPr>
              <w:t>46</w:t>
            </w:r>
            <w:r>
              <w:rPr>
                <w:rFonts w:ascii="MS PGothic" w:cs="MS PGothic" w:eastAsia="MS PGothic" w:hAnsi="MS PGothic"/>
                <w:sz w:val="16"/>
                <w:szCs w:val="16"/>
                <w:b w:val="1"/>
                <w:bCs w:val="1"/>
                <w:color w:val="auto"/>
                <w:w w:val="91"/>
              </w:rPr>
              <w:t>‑</w:t>
            </w:r>
            <w:r>
              <w:rPr>
                <w:rFonts w:ascii="Arial" w:cs="Arial" w:eastAsia="Arial" w:hAnsi="Arial"/>
                <w:sz w:val="16"/>
                <w:szCs w:val="16"/>
                <w:b w:val="1"/>
                <w:bCs w:val="1"/>
                <w:color w:val="auto"/>
                <w:w w:val="91"/>
              </w:rPr>
              <w:t>3657681</w:t>
            </w:r>
          </w:p>
        </w:tc>
      </w:tr>
      <w:tr>
        <w:trPr>
          <w:trHeight w:val="149"/>
        </w:trPr>
        <w:tc>
          <w:tcPr>
            <w:tcW w:w="760" w:type="dxa"/>
            <w:vAlign w:val="bottom"/>
          </w:tcPr>
          <w:p>
            <w:pPr>
              <w:spacing w:after="0"/>
              <w:rPr>
                <w:sz w:val="12"/>
                <w:szCs w:val="12"/>
                <w:color w:val="auto"/>
              </w:rPr>
            </w:pPr>
          </w:p>
        </w:tc>
        <w:tc>
          <w:tcPr>
            <w:tcW w:w="5140" w:type="dxa"/>
            <w:vAlign w:val="bottom"/>
            <w:gridSpan w:val="2"/>
          </w:tcPr>
          <w:p>
            <w:pPr>
              <w:jc w:val="center"/>
              <w:ind w:right="1979"/>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480" w:type="dxa"/>
            <w:vAlign w:val="bottom"/>
          </w:tcPr>
          <w:p>
            <w:pPr>
              <w:spacing w:after="0"/>
              <w:rPr>
                <w:sz w:val="12"/>
                <w:szCs w:val="12"/>
                <w:color w:val="auto"/>
              </w:rPr>
            </w:pPr>
          </w:p>
        </w:tc>
        <w:tc>
          <w:tcPr>
            <w:tcW w:w="33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760" w:type="dxa"/>
            <w:vAlign w:val="bottom"/>
          </w:tcPr>
          <w:p>
            <w:pPr>
              <w:spacing w:after="0"/>
              <w:rPr>
                <w:sz w:val="15"/>
                <w:szCs w:val="15"/>
                <w:color w:val="auto"/>
              </w:rPr>
            </w:pPr>
          </w:p>
        </w:tc>
        <w:tc>
          <w:tcPr>
            <w:tcW w:w="5140" w:type="dxa"/>
            <w:vAlign w:val="bottom"/>
            <w:gridSpan w:val="2"/>
          </w:tcPr>
          <w:p>
            <w:pPr>
              <w:jc w:val="center"/>
              <w:ind w:right="1979"/>
              <w:spacing w:after="0"/>
              <w:rPr>
                <w:sz w:val="20"/>
                <w:szCs w:val="20"/>
                <w:color w:val="auto"/>
              </w:rPr>
            </w:pPr>
            <w:r>
              <w:rPr>
                <w:rFonts w:ascii="Arial" w:cs="Arial" w:eastAsia="Arial" w:hAnsi="Arial"/>
                <w:sz w:val="14"/>
                <w:szCs w:val="14"/>
                <w:b w:val="1"/>
                <w:bCs w:val="1"/>
                <w:color w:val="auto"/>
                <w:w w:val="88"/>
              </w:rPr>
              <w:t>incorporation or organization)</w:t>
            </w:r>
          </w:p>
        </w:tc>
        <w:tc>
          <w:tcPr>
            <w:tcW w:w="480" w:type="dxa"/>
            <w:vAlign w:val="bottom"/>
          </w:tcPr>
          <w:p>
            <w:pPr>
              <w:spacing w:after="0"/>
              <w:rPr>
                <w:sz w:val="15"/>
                <w:szCs w:val="15"/>
                <w:color w:val="auto"/>
              </w:rPr>
            </w:pPr>
          </w:p>
        </w:tc>
        <w:tc>
          <w:tcPr>
            <w:tcW w:w="3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216"/>
        </w:trPr>
        <w:tc>
          <w:tcPr>
            <w:tcW w:w="760" w:type="dxa"/>
            <w:vAlign w:val="bottom"/>
          </w:tcPr>
          <w:p>
            <w:pPr>
              <w:spacing w:after="0"/>
              <w:rPr>
                <w:sz w:val="18"/>
                <w:szCs w:val="18"/>
                <w:color w:val="auto"/>
              </w:rPr>
            </w:pPr>
          </w:p>
        </w:tc>
        <w:tc>
          <w:tcPr>
            <w:tcW w:w="7000" w:type="dxa"/>
            <w:vAlign w:val="bottom"/>
            <w:gridSpan w:val="4"/>
          </w:tcPr>
          <w:p>
            <w:pPr>
              <w:jc w:val="center"/>
              <w:ind w:left="1695"/>
              <w:spacing w:after="0"/>
              <w:rPr>
                <w:sz w:val="20"/>
                <w:szCs w:val="20"/>
                <w:color w:val="auto"/>
              </w:rPr>
            </w:pPr>
            <w:r>
              <w:rPr>
                <w:rFonts w:ascii="Arial" w:cs="Arial" w:eastAsia="Arial" w:hAnsi="Arial"/>
                <w:sz w:val="16"/>
                <w:szCs w:val="16"/>
                <w:b w:val="1"/>
                <w:bCs w:val="1"/>
                <w:color w:val="auto"/>
                <w:w w:val="91"/>
              </w:rPr>
              <w:t>100 West Liberty Street, Suite 1150</w:t>
            </w:r>
          </w:p>
        </w:tc>
        <w:tc>
          <w:tcPr>
            <w:tcW w:w="6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4"/>
        </w:trPr>
        <w:tc>
          <w:tcPr>
            <w:tcW w:w="7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760" w:type="dxa"/>
            <w:vAlign w:val="bottom"/>
          </w:tcPr>
          <w:p>
            <w:pPr>
              <w:jc w:val="center"/>
              <w:ind w:left="179"/>
              <w:spacing w:after="0"/>
              <w:rPr>
                <w:sz w:val="20"/>
                <w:szCs w:val="20"/>
                <w:color w:val="auto"/>
              </w:rPr>
            </w:pPr>
            <w:r>
              <w:rPr>
                <w:rFonts w:ascii="Arial" w:cs="Arial" w:eastAsia="Arial" w:hAnsi="Arial"/>
                <w:sz w:val="16"/>
                <w:szCs w:val="16"/>
                <w:b w:val="1"/>
                <w:bCs w:val="1"/>
                <w:color w:val="auto"/>
                <w:w w:val="91"/>
              </w:rPr>
              <w:t>Reno, Nevada 89501</w:t>
            </w:r>
          </w:p>
        </w:tc>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74"/>
        </w:trPr>
        <w:tc>
          <w:tcPr>
            <w:tcW w:w="760" w:type="dxa"/>
            <w:vAlign w:val="bottom"/>
          </w:tcPr>
          <w:p>
            <w:pPr>
              <w:spacing w:after="0"/>
              <w:rPr>
                <w:sz w:val="15"/>
                <w:szCs w:val="15"/>
                <w:color w:val="auto"/>
              </w:rPr>
            </w:pPr>
          </w:p>
        </w:tc>
        <w:tc>
          <w:tcPr>
            <w:tcW w:w="7000" w:type="dxa"/>
            <w:vAlign w:val="bottom"/>
            <w:gridSpan w:val="4"/>
          </w:tcPr>
          <w:p>
            <w:pPr>
              <w:jc w:val="center"/>
              <w:ind w:left="1715"/>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6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4"/>
        </w:trPr>
        <w:tc>
          <w:tcPr>
            <w:tcW w:w="7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620" w:type="dxa"/>
            <w:vAlign w:val="bottom"/>
            <w:gridSpan w:val="3"/>
          </w:tcPr>
          <w:p>
            <w:pPr>
              <w:jc w:val="center"/>
              <w:ind w:right="1527"/>
              <w:spacing w:after="0" w:line="184" w:lineRule="exact"/>
              <w:rPr>
                <w:sz w:val="20"/>
                <w:szCs w:val="20"/>
                <w:color w:val="auto"/>
              </w:rPr>
            </w:pPr>
            <w:r>
              <w:rPr>
                <w:rFonts w:ascii="Arial" w:cs="Arial" w:eastAsia="Arial" w:hAnsi="Arial"/>
                <w:sz w:val="16"/>
                <w:szCs w:val="16"/>
                <w:b w:val="1"/>
                <w:bCs w:val="1"/>
                <w:color w:val="auto"/>
                <w:w w:val="91"/>
              </w:rPr>
              <w:t>Telephone: (775) 328</w:t>
            </w:r>
            <w:r>
              <w:rPr>
                <w:rFonts w:ascii="MS PGothic" w:cs="MS PGothic" w:eastAsia="MS PGothic" w:hAnsi="MS PGothic"/>
                <w:sz w:val="16"/>
                <w:szCs w:val="16"/>
                <w:b w:val="1"/>
                <w:bCs w:val="1"/>
                <w:color w:val="auto"/>
                <w:w w:val="91"/>
              </w:rPr>
              <w:t>‑</w:t>
            </w:r>
            <w:r>
              <w:rPr>
                <w:rFonts w:ascii="Arial" w:cs="Arial" w:eastAsia="Arial" w:hAnsi="Arial"/>
                <w:sz w:val="16"/>
                <w:szCs w:val="16"/>
                <w:b w:val="1"/>
                <w:bCs w:val="1"/>
                <w:color w:val="auto"/>
                <w:w w:val="91"/>
              </w:rPr>
              <w:t>0100</w:t>
            </w:r>
          </w:p>
        </w:tc>
        <w:tc>
          <w:tcPr>
            <w:tcW w:w="6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74"/>
        </w:trPr>
        <w:tc>
          <w:tcPr>
            <w:tcW w:w="760" w:type="dxa"/>
            <w:vAlign w:val="bottom"/>
          </w:tcPr>
          <w:p>
            <w:pPr>
              <w:spacing w:after="0"/>
              <w:rPr>
                <w:sz w:val="15"/>
                <w:szCs w:val="15"/>
                <w:color w:val="auto"/>
              </w:rPr>
            </w:pPr>
          </w:p>
        </w:tc>
        <w:tc>
          <w:tcPr>
            <w:tcW w:w="7000" w:type="dxa"/>
            <w:vAlign w:val="bottom"/>
            <w:gridSpan w:val="4"/>
          </w:tcPr>
          <w:p>
            <w:pPr>
              <w:jc w:val="center"/>
              <w:ind w:left="169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6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24"/>
        </w:trPr>
        <w:tc>
          <w:tcPr>
            <w:tcW w:w="760" w:type="dxa"/>
            <w:vAlign w:val="bottom"/>
          </w:tcPr>
          <w:p>
            <w:pPr>
              <w:spacing w:after="0"/>
              <w:rPr>
                <w:sz w:val="19"/>
                <w:szCs w:val="19"/>
                <w:color w:val="auto"/>
              </w:rPr>
            </w:pPr>
          </w:p>
        </w:tc>
        <w:tc>
          <w:tcPr>
            <w:tcW w:w="7000" w:type="dxa"/>
            <w:vAlign w:val="bottom"/>
            <w:gridSpan w:val="4"/>
          </w:tcPr>
          <w:p>
            <w:pPr>
              <w:jc w:val="center"/>
              <w:ind w:left="1715"/>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6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95"/>
        </w:trPr>
        <w:tc>
          <w:tcPr>
            <w:tcW w:w="760" w:type="dxa"/>
            <w:vAlign w:val="bottom"/>
          </w:tcPr>
          <w:p>
            <w:pPr>
              <w:spacing w:after="0"/>
              <w:rPr>
                <w:sz w:val="16"/>
                <w:szCs w:val="16"/>
                <w:color w:val="auto"/>
              </w:rPr>
            </w:pPr>
          </w:p>
        </w:tc>
        <w:tc>
          <w:tcPr>
            <w:tcW w:w="5140" w:type="dxa"/>
            <w:vAlign w:val="bottom"/>
            <w:gridSpan w:val="2"/>
          </w:tcPr>
          <w:p>
            <w:pPr>
              <w:jc w:val="center"/>
              <w:ind w:right="1679"/>
              <w:spacing w:after="0"/>
              <w:rPr>
                <w:sz w:val="20"/>
                <w:szCs w:val="20"/>
                <w:color w:val="auto"/>
              </w:rPr>
            </w:pPr>
            <w:r>
              <w:rPr>
                <w:rFonts w:ascii="Arial" w:cs="Arial" w:eastAsia="Arial" w:hAnsi="Arial"/>
                <w:sz w:val="14"/>
                <w:szCs w:val="14"/>
                <w:b w:val="1"/>
                <w:bCs w:val="1"/>
                <w:color w:val="auto"/>
                <w:w w:val="84"/>
              </w:rPr>
              <w:t>Title of each class</w:t>
            </w:r>
          </w:p>
        </w:tc>
        <w:tc>
          <w:tcPr>
            <w:tcW w:w="480" w:type="dxa"/>
            <w:vAlign w:val="bottom"/>
          </w:tcPr>
          <w:p>
            <w:pPr>
              <w:spacing w:after="0"/>
              <w:rPr>
                <w:sz w:val="16"/>
                <w:szCs w:val="16"/>
                <w:color w:val="auto"/>
              </w:rPr>
            </w:pPr>
          </w:p>
        </w:tc>
        <w:tc>
          <w:tcPr>
            <w:tcW w:w="3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204"/>
        </w:trPr>
        <w:tc>
          <w:tcPr>
            <w:tcW w:w="760" w:type="dxa"/>
            <w:vAlign w:val="bottom"/>
          </w:tcPr>
          <w:p>
            <w:pPr>
              <w:spacing w:after="0"/>
              <w:rPr>
                <w:sz w:val="17"/>
                <w:szCs w:val="17"/>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Common Stock, $.00001, par value</w:t>
            </w:r>
          </w:p>
        </w:tc>
        <w:tc>
          <w:tcPr>
            <w:tcW w:w="1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34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6"/>
              </w:rPr>
              <w:t>NASDAQ Stock Market</w:t>
            </w:r>
          </w:p>
        </w:tc>
      </w:tr>
      <w:tr>
        <w:trPr>
          <w:trHeight w:val="229"/>
        </w:trPr>
        <w:tc>
          <w:tcPr>
            <w:tcW w:w="760" w:type="dxa"/>
            <w:vAlign w:val="bottom"/>
          </w:tcPr>
          <w:p>
            <w:pPr>
              <w:spacing w:after="0"/>
              <w:rPr>
                <w:sz w:val="19"/>
                <w:szCs w:val="19"/>
                <w:color w:val="auto"/>
              </w:rPr>
            </w:pPr>
          </w:p>
        </w:tc>
        <w:tc>
          <w:tcPr>
            <w:tcW w:w="7000" w:type="dxa"/>
            <w:vAlign w:val="bottom"/>
            <w:gridSpan w:val="4"/>
          </w:tcPr>
          <w:p>
            <w:pPr>
              <w:jc w:val="center"/>
              <w:ind w:left="1695"/>
              <w:spacing w:after="0"/>
              <w:rPr>
                <w:sz w:val="20"/>
                <w:szCs w:val="20"/>
                <w:color w:val="auto"/>
              </w:rPr>
            </w:pPr>
            <w:r>
              <w:rPr>
                <w:rFonts w:ascii="Arial" w:cs="Arial" w:eastAsia="Arial" w:hAnsi="Arial"/>
                <w:sz w:val="16"/>
                <w:szCs w:val="16"/>
                <w:b w:val="1"/>
                <w:bCs w:val="1"/>
                <w:color w:val="auto"/>
                <w:w w:val="90"/>
              </w:rPr>
              <w:t>Securities registered pursuant to section 12(g) of the Act: None</w:t>
            </w:r>
          </w:p>
        </w:tc>
        <w:tc>
          <w:tcPr>
            <w:tcW w:w="6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6"/>
        </w:trPr>
        <w:tc>
          <w:tcPr>
            <w:tcW w:w="7760" w:type="dxa"/>
            <w:vAlign w:val="bottom"/>
            <w:gridSpan w:val="5"/>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620" w:type="dxa"/>
            <w:vAlign w:val="bottom"/>
          </w:tcPr>
          <w:p>
            <w:pPr>
              <w:jc w:val="center"/>
              <w:ind w:right="79"/>
              <w:spacing w:after="0" w:line="184" w:lineRule="exact"/>
              <w:rPr>
                <w:sz w:val="20"/>
                <w:szCs w:val="20"/>
                <w:color w:val="auto"/>
              </w:rPr>
            </w:pPr>
            <w:r>
              <w:rPr>
                <w:rFonts w:ascii="Arial" w:cs="Arial" w:eastAsia="Arial" w:hAnsi="Arial"/>
                <w:sz w:val="16"/>
                <w:szCs w:val="16"/>
                <w:color w:val="auto"/>
                <w:w w:val="95"/>
              </w:rPr>
              <w:t xml:space="preserve">Yes </w:t>
            </w:r>
            <w:r>
              <w:rPr>
                <w:rFonts w:ascii="MS PGothic" w:cs="MS PGothic" w:eastAsia="MS PGothic" w:hAnsi="MS PGothic"/>
                <w:sz w:val="16"/>
                <w:szCs w:val="16"/>
                <w:color w:val="auto"/>
                <w:w w:val="95"/>
              </w:rPr>
              <w:t>☒</w:t>
            </w:r>
          </w:p>
        </w:tc>
        <w:tc>
          <w:tcPr>
            <w:tcW w:w="134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54"/>
        </w:trPr>
        <w:tc>
          <w:tcPr>
            <w:tcW w:w="7760" w:type="dxa"/>
            <w:vAlign w:val="bottom"/>
            <w:gridSpan w:val="5"/>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620" w:type="dxa"/>
            <w:vAlign w:val="bottom"/>
          </w:tcPr>
          <w:p>
            <w:pPr>
              <w:ind w:left="160"/>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6"/>
                <w:szCs w:val="16"/>
                <w:color w:val="auto"/>
                <w:w w:val="91"/>
              </w:rPr>
              <w:t>☐</w:t>
            </w:r>
          </w:p>
        </w:tc>
        <w:tc>
          <w:tcPr>
            <w:tcW w:w="134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bl>
    <w:p>
      <w:pPr>
        <w:spacing w:after="0" w:line="19" w:lineRule="exact"/>
        <w:rPr>
          <w:sz w:val="24"/>
          <w:szCs w:val="24"/>
          <w:color w:val="auto"/>
        </w:rPr>
      </w:pPr>
    </w:p>
    <w:p>
      <w:pPr>
        <w:ind w:right="480" w:firstLine="555"/>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ind w:firstLine="555"/>
        <w:spacing w:after="0" w:line="214" w:lineRule="exact"/>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w:t>
      </w:r>
      <w:r>
        <w:rPr>
          <w:rFonts w:ascii="MS PGothic" w:cs="MS PGothic" w:eastAsia="MS PGothic" w:hAnsi="MS PGothic"/>
          <w:sz w:val="15"/>
          <w:szCs w:val="15"/>
          <w:color w:val="auto"/>
        </w:rPr>
        <w:t>‑</w:t>
      </w:r>
      <w:r>
        <w:rPr>
          <w:rFonts w:ascii="Arial" w:cs="Arial" w:eastAsia="Arial" w:hAnsi="Arial"/>
          <w:sz w:val="15"/>
          <w:szCs w:val="15"/>
          <w:color w:val="auto"/>
        </w:rPr>
        <w:t xml:space="preserve">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 w:lineRule="exact"/>
        <w:rPr>
          <w:sz w:val="24"/>
          <w:szCs w:val="24"/>
          <w:color w:val="auto"/>
        </w:rPr>
      </w:pPr>
    </w:p>
    <w:p>
      <w:pPr>
        <w:ind w:right="60" w:firstLine="555"/>
        <w:spacing w:after="0" w:line="210"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(§299.405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20" w:lineRule="exact"/>
        <w:rPr>
          <w:sz w:val="24"/>
          <w:szCs w:val="24"/>
          <w:color w:val="auto"/>
        </w:rPr>
      </w:pPr>
    </w:p>
    <w:p>
      <w:pPr>
        <w:jc w:val="both"/>
        <w:ind w:firstLine="555"/>
        <w:spacing w:after="0" w:line="204" w:lineRule="exact"/>
        <w:rPr>
          <w:sz w:val="20"/>
          <w:szCs w:val="20"/>
          <w:color w:val="auto"/>
        </w:rPr>
      </w:pPr>
      <w:r>
        <w:rPr>
          <w:rFonts w:ascii="Arial" w:cs="Arial" w:eastAsia="Arial" w:hAnsi="Arial"/>
          <w:sz w:val="14"/>
          <w:szCs w:val="14"/>
          <w:color w:val="auto"/>
        </w:rPr>
        <w:t>Indicate by check mark whether the registrant is a large accelerated filer, an accelerated filer, a non</w:t>
      </w:r>
      <w:r>
        <w:rPr>
          <w:rFonts w:ascii="MS PGothic" w:cs="MS PGothic" w:eastAsia="MS PGothic" w:hAnsi="MS PGothic"/>
          <w:sz w:val="14"/>
          <w:szCs w:val="14"/>
          <w:color w:val="auto"/>
        </w:rPr>
        <w:t>‑</w:t>
      </w:r>
      <w:r>
        <w:rPr>
          <w:rFonts w:ascii="Arial" w:cs="Arial" w:eastAsia="Arial" w:hAnsi="Arial"/>
          <w:sz w:val="14"/>
          <w:szCs w:val="14"/>
          <w:color w:val="auto"/>
        </w:rPr>
        <w:t>accelerated filer, a smaller reporting company, or emerging growth company. 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Arial" w:cs="Arial" w:eastAsia="Arial" w:hAnsi="Arial"/>
          <w:sz w:val="14"/>
          <w:szCs w:val="14"/>
          <w:color w:val="auto"/>
        </w:rPr>
        <w:t>2 of the Exchange Act.</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6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spacing w:after="0"/>
              <w:rPr>
                <w:sz w:val="17"/>
                <w:szCs w:val="17"/>
                <w:color w:val="auto"/>
              </w:rPr>
            </w:pPr>
          </w:p>
        </w:tc>
        <w:tc>
          <w:tcPr>
            <w:tcW w:w="3380" w:type="dxa"/>
            <w:vAlign w:val="bottom"/>
          </w:tcPr>
          <w:p>
            <w:pPr>
              <w:ind w:left="1360"/>
              <w:spacing w:after="0"/>
              <w:rPr>
                <w:sz w:val="20"/>
                <w:szCs w:val="20"/>
                <w:color w:val="auto"/>
              </w:rPr>
            </w:pPr>
            <w:r>
              <w:rPr>
                <w:rFonts w:ascii="Arial" w:cs="Arial" w:eastAsia="Arial" w:hAnsi="Arial"/>
                <w:sz w:val="16"/>
                <w:szCs w:val="16"/>
                <w:color w:val="auto"/>
              </w:rPr>
              <w:t>Accelerated filer</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40" w:type="dxa"/>
            <w:vAlign w:val="bottom"/>
          </w:tcPr>
          <w:p>
            <w:pPr>
              <w:spacing w:after="0" w:line="184"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accelerated filer</w:t>
            </w:r>
          </w:p>
        </w:tc>
        <w:tc>
          <w:tcPr>
            <w:tcW w:w="6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20"/>
              <w:spacing w:after="0"/>
              <w:rPr>
                <w:sz w:val="20"/>
                <w:szCs w:val="20"/>
                <w:color w:val="auto"/>
              </w:rPr>
            </w:pPr>
            <w:r>
              <w:rPr>
                <w:rFonts w:ascii="Arial" w:cs="Arial" w:eastAsia="Arial" w:hAnsi="Arial"/>
                <w:sz w:val="16"/>
                <w:szCs w:val="16"/>
                <w:color w:val="auto"/>
              </w:rPr>
              <w:t>(Do not check if a smaller reporting company)</w:t>
            </w:r>
          </w:p>
        </w:tc>
        <w:tc>
          <w:tcPr>
            <w:tcW w:w="3380" w:type="dxa"/>
            <w:vAlign w:val="bottom"/>
          </w:tcPr>
          <w:p>
            <w:pPr>
              <w:ind w:left="1360"/>
              <w:spacing w:after="0"/>
              <w:rPr>
                <w:sz w:val="20"/>
                <w:szCs w:val="20"/>
                <w:color w:val="auto"/>
              </w:rPr>
            </w:pPr>
            <w:r>
              <w:rPr>
                <w:rFonts w:ascii="Arial" w:cs="Arial" w:eastAsia="Arial" w:hAnsi="Arial"/>
                <w:sz w:val="16"/>
                <w:szCs w:val="16"/>
                <w:color w:val="auto"/>
              </w:rPr>
              <w:t>Smaller reporting company</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6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400" w:type="dxa"/>
            <w:vAlign w:val="bottom"/>
          </w:tcPr>
          <w:p>
            <w:pPr>
              <w:spacing w:after="0"/>
              <w:rPr>
                <w:sz w:val="22"/>
                <w:szCs w:val="22"/>
                <w:color w:val="auto"/>
              </w:rPr>
            </w:pPr>
          </w:p>
        </w:tc>
      </w:tr>
    </w:tbl>
    <w:p>
      <w:pPr>
        <w:spacing w:after="0" w:line="86" w:lineRule="exact"/>
        <w:rPr>
          <w:sz w:val="24"/>
          <w:szCs w:val="24"/>
          <w:color w:val="auto"/>
        </w:rPr>
      </w:pPr>
    </w:p>
    <w:p>
      <w:pPr>
        <w:ind w:right="220" w:firstLine="555"/>
        <w:spacing w:after="0" w:line="214" w:lineRule="exact"/>
        <w:rPr>
          <w:sz w:val="20"/>
          <w:szCs w:val="20"/>
          <w:color w:val="auto"/>
        </w:rPr>
      </w:pPr>
      <w:r>
        <w:rPr>
          <w:rFonts w:ascii="Arial" w:cs="Arial" w:eastAsia="Arial" w:hAnsi="Arial"/>
          <w:sz w:val="16"/>
          <w:szCs w:val="16"/>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560"/>
        <w:spacing w:after="0" w:line="184" w:lineRule="exact"/>
        <w:tabs>
          <w:tab w:leader="none" w:pos="8060" w:val="left"/>
          <w:tab w:leader="none" w:pos="8680" w:val="left"/>
        </w:tabs>
        <w:rPr>
          <w:sz w:val="20"/>
          <w:szCs w:val="20"/>
          <w:color w:val="auto"/>
        </w:rPr>
      </w:pPr>
      <w:r>
        <w:rPr>
          <w:rFonts w:ascii="Arial" w:cs="Arial" w:eastAsia="Arial" w:hAnsi="Arial"/>
          <w:sz w:val="15"/>
          <w:szCs w:val="15"/>
          <w:color w:val="auto"/>
        </w:rPr>
        <w:t>Indicate by check mark whether the registrant is a shell company (as defined in Rule 12b</w:t>
      </w:r>
      <w:r>
        <w:rPr>
          <w:rFonts w:ascii="MS PGothic" w:cs="MS PGothic" w:eastAsia="MS PGothic" w:hAnsi="MS PGothic"/>
          <w:sz w:val="15"/>
          <w:szCs w:val="15"/>
          <w:color w:val="auto"/>
        </w:rPr>
        <w:t>‑</w:t>
      </w:r>
      <w:r>
        <w:rPr>
          <w:rFonts w:ascii="Arial" w:cs="Arial" w:eastAsia="Arial" w:hAnsi="Arial"/>
          <w:sz w:val="15"/>
          <w:szCs w:val="15"/>
          <w:color w:val="auto"/>
        </w:rPr>
        <w:t>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64" w:lineRule="exact"/>
        <w:rPr>
          <w:sz w:val="24"/>
          <w:szCs w:val="24"/>
          <w:color w:val="auto"/>
        </w:rPr>
      </w:pPr>
    </w:p>
    <w:p>
      <w:pPr>
        <w:ind w:right="100" w:firstLine="555"/>
        <w:spacing w:after="0" w:line="290" w:lineRule="auto"/>
        <w:rPr>
          <w:sz w:val="20"/>
          <w:szCs w:val="20"/>
          <w:color w:val="auto"/>
        </w:rPr>
      </w:pPr>
      <w:r>
        <w:rPr>
          <w:rFonts w:ascii="Arial" w:cs="Arial" w:eastAsia="Arial" w:hAnsi="Arial"/>
          <w:sz w:val="16"/>
          <w:szCs w:val="16"/>
          <w:color w:val="auto"/>
        </w:rPr>
        <w:t>The aggregate market value of the common stock held by non-affiliates of the Registrant was $2.5 billion at June 30, 2018 based upon the closing price for the shares of ERI’s common stock as reported by The Nasdaq Stock Market.</w:t>
      </w:r>
    </w:p>
    <w:p>
      <w:pPr>
        <w:spacing w:after="0" w:line="1" w:lineRule="exact"/>
        <w:rPr>
          <w:sz w:val="24"/>
          <w:szCs w:val="24"/>
          <w:color w:val="auto"/>
        </w:rPr>
      </w:pPr>
    </w:p>
    <w:p>
      <w:pPr>
        <w:ind w:left="560"/>
        <w:spacing w:after="0"/>
        <w:rPr>
          <w:sz w:val="20"/>
          <w:szCs w:val="20"/>
          <w:color w:val="auto"/>
        </w:rPr>
      </w:pPr>
      <w:r>
        <w:rPr>
          <w:rFonts w:ascii="Arial" w:cs="Arial" w:eastAsia="Arial" w:hAnsi="Arial"/>
          <w:sz w:val="16"/>
          <w:szCs w:val="16"/>
          <w:color w:val="auto"/>
        </w:rPr>
        <w:t>As of February 25, 2019, there were 77,433,982 outstanding shares of the Registrant’s Common Stock.</w:t>
      </w:r>
    </w:p>
    <w:p>
      <w:pPr>
        <w:spacing w:after="0" w:line="42" w:lineRule="exact"/>
        <w:rPr>
          <w:sz w:val="24"/>
          <w:szCs w:val="24"/>
          <w:color w:val="auto"/>
        </w:rPr>
      </w:pPr>
    </w:p>
    <w:p>
      <w:pPr>
        <w:ind w:left="438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ind w:right="180" w:firstLine="555"/>
        <w:spacing w:after="0" w:line="278" w:lineRule="auto"/>
        <w:rPr>
          <w:sz w:val="20"/>
          <w:szCs w:val="20"/>
          <w:color w:val="auto"/>
        </w:rPr>
      </w:pPr>
      <w:r>
        <w:rPr>
          <w:rFonts w:ascii="Arial" w:cs="Arial" w:eastAsia="Arial" w:hAnsi="Arial"/>
          <w:sz w:val="16"/>
          <w:szCs w:val="16"/>
          <w:color w:val="auto"/>
        </w:rPr>
        <w:t>Portions of the Registrant’s definitive proxy statement to be filed with the Commission pursuant to Regulation 14A in connection with the Registrant’s Annual Meeting of Stockholders (the “Proxy Statement”) are incorporated by reference into Part III of this report. Such Proxy Statement will be filed with the Commission not later than 120 days after the conclusion of the Registrant’s fiscal year ended 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239395</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0" w:type="dxa"/>
            <w:vAlign w:val="bottom"/>
            <w:gridSpan w:val="9"/>
          </w:tcPr>
          <w:p>
            <w:pPr>
              <w:jc w:val="center"/>
              <w:ind w:right="3100"/>
              <w:spacing w:after="0"/>
              <w:rPr>
                <w:sz w:val="20"/>
                <w:szCs w:val="20"/>
                <w:color w:val="auto"/>
              </w:rPr>
            </w:pPr>
            <w:r>
              <w:rPr>
                <w:rFonts w:ascii="Arial" w:cs="Arial" w:eastAsia="Arial" w:hAnsi="Arial"/>
                <w:sz w:val="18"/>
                <w:szCs w:val="18"/>
                <w:b w:val="1"/>
                <w:bCs w:val="1"/>
                <w:color w:val="auto"/>
                <w:w w:val="98"/>
              </w:rPr>
              <w:t>ELDORADO RESORTS, INC.</w:t>
            </w:r>
          </w:p>
        </w:tc>
        <w:tc>
          <w:tcPr>
            <w:tcW w:w="11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80" w:type="dxa"/>
            <w:vAlign w:val="bottom"/>
            <w:gridSpan w:val="12"/>
          </w:tcPr>
          <w:p>
            <w:pPr>
              <w:jc w:val="center"/>
              <w:ind w:right="1800"/>
              <w:spacing w:after="0"/>
              <w:rPr>
                <w:sz w:val="20"/>
                <w:szCs w:val="20"/>
                <w:color w:val="auto"/>
              </w:rPr>
            </w:pPr>
            <w:r>
              <w:rPr>
                <w:rFonts w:ascii="Arial" w:cs="Arial" w:eastAsia="Arial" w:hAnsi="Arial"/>
                <w:sz w:val="18"/>
                <w:szCs w:val="18"/>
                <w:b w:val="1"/>
                <w:bCs w:val="1"/>
                <w:color w:val="auto"/>
                <w:w w:val="98"/>
              </w:rPr>
              <w:t>ANNUAL REPORT FOR THE YEAR ENDED DECEMBER 31, 2018</w:t>
            </w:r>
          </w:p>
        </w:tc>
        <w:tc>
          <w:tcPr>
            <w:tcW w:w="1160" w:type="dxa"/>
            <w:vAlign w:val="bottom"/>
          </w:tcPr>
          <w:p>
            <w:pPr>
              <w:spacing w:after="0"/>
              <w:rPr>
                <w:sz w:val="18"/>
                <w:szCs w:val="18"/>
                <w:color w:val="auto"/>
              </w:rPr>
            </w:pP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0" w:type="dxa"/>
            <w:vAlign w:val="bottom"/>
            <w:gridSpan w:val="9"/>
          </w:tcPr>
          <w:p>
            <w:pPr>
              <w:jc w:val="center"/>
              <w:ind w:right="3080"/>
              <w:spacing w:after="0"/>
              <w:rPr>
                <w:sz w:val="20"/>
                <w:szCs w:val="20"/>
                <w:color w:val="auto"/>
              </w:rPr>
            </w:pPr>
            <w:r>
              <w:rPr>
                <w:rFonts w:ascii="Arial" w:cs="Arial" w:eastAsia="Arial" w:hAnsi="Arial"/>
                <w:sz w:val="18"/>
                <w:szCs w:val="18"/>
                <w:b w:val="1"/>
                <w:bCs w:val="1"/>
                <w:color w:val="auto"/>
                <w:w w:val="98"/>
              </w:rPr>
              <w:t>TABLE OF CONTENTS</w:t>
            </w:r>
          </w:p>
        </w:tc>
        <w:tc>
          <w:tcPr>
            <w:tcW w:w="1160" w:type="dxa"/>
            <w:vAlign w:val="bottom"/>
          </w:tcPr>
          <w:p>
            <w:pPr>
              <w:spacing w:after="0"/>
              <w:rPr>
                <w:sz w:val="20"/>
                <w:szCs w:val="20"/>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97"/>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4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Risk Factors</w:t>
              </w:r>
            </w:hyperlink>
          </w:p>
        </w:tc>
        <w:tc>
          <w:tcPr>
            <w:tcW w:w="8420" w:type="dxa"/>
            <w:vAlign w:val="bottom"/>
            <w:gridSpan w:val="17"/>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Unresolved Staff Comments</w:t>
              </w:r>
            </w:hyperlink>
          </w:p>
        </w:tc>
        <w:tc>
          <w:tcPr>
            <w:tcW w:w="7280" w:type="dxa"/>
            <w:vAlign w:val="bottom"/>
            <w:gridSpan w:val="12"/>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28">
              <w:r>
                <w:rPr>
                  <w:rFonts w:ascii="Arial" w:cs="Arial" w:eastAsia="Arial" w:hAnsi="Arial"/>
                  <w:sz w:val="18"/>
                  <w:szCs w:val="18"/>
                  <w:color w:val="0000EE"/>
                  <w:w w:val="87"/>
                </w:rPr>
                <w:t>Properties</w:t>
              </w:r>
            </w:hyperlink>
          </w:p>
        </w:tc>
        <w:tc>
          <w:tcPr>
            <w:tcW w:w="8600" w:type="dxa"/>
            <w:vAlign w:val="bottom"/>
            <w:gridSpan w:val="18"/>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340" w:type="dxa"/>
            <w:vAlign w:val="bottom"/>
            <w:gridSpan w:val="2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6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40" w:type="dxa"/>
            <w:vAlign w:val="bottom"/>
            <w:gridSpan w:val="2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58"/>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97"/>
        </w:trPr>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340" w:type="dxa"/>
            <w:vAlign w:val="bottom"/>
            <w:gridSpan w:val="2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Market for Registrants’ Common Equity and Related Stockholder Matters and Issuer Purchases of Equity Securities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Selected Financial Data</w:t>
              </w:r>
            </w:hyperlink>
          </w:p>
        </w:tc>
        <w:tc>
          <w:tcPr>
            <w:tcW w:w="6640" w:type="dxa"/>
            <w:vAlign w:val="bottom"/>
            <w:tcBorders>
              <w:top w:val="single" w:sz="8" w:color="0000EE"/>
            </w:tcBorders>
            <w:gridSpan w:val="14"/>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7.</w:t>
            </w:r>
          </w:p>
        </w:tc>
        <w:tc>
          <w:tcPr>
            <w:tcW w:w="9340" w:type="dxa"/>
            <w:vAlign w:val="bottom"/>
            <w:gridSpan w:val="2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 Results of Operations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7"/>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Quantitative and Qualitative Disclosures About Market Risk</w:t>
              </w:r>
            </w:hyperlink>
          </w:p>
        </w:tc>
        <w:tc>
          <w:tcPr>
            <w:tcW w:w="2880" w:type="dxa"/>
            <w:vAlign w:val="bottom"/>
            <w:gridSpan w:val="4"/>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24"/>
                <w:szCs w:val="24"/>
                <w:color w:val="auto"/>
              </w:rPr>
            </w:pPr>
          </w:p>
        </w:tc>
        <w:tc>
          <w:tcPr>
            <w:tcW w:w="4980" w:type="dxa"/>
            <w:vAlign w:val="bottom"/>
            <w:gridSpan w:val="7"/>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9.</w:t>
            </w:r>
          </w:p>
        </w:tc>
        <w:tc>
          <w:tcPr>
            <w:tcW w:w="9340" w:type="dxa"/>
            <w:vAlign w:val="bottom"/>
            <w:gridSpan w:val="21"/>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Changes in and Disagreements with Accountants on Accounting and Financial Disclosure</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62">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1"/>
          </w:tcPr>
          <w:p>
            <w:pPr>
              <w:spacing w:after="0"/>
              <w:rPr>
                <w:sz w:val="24"/>
                <w:szCs w:val="24"/>
                <w:color w:val="auto"/>
              </w:rPr>
            </w:pPr>
          </w:p>
        </w:tc>
        <w:tc>
          <w:tcPr>
            <w:tcW w:w="2860" w:type="dxa"/>
            <w:vAlign w:val="bottom"/>
            <w:gridSpan w:val="3"/>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9340" w:type="dxa"/>
            <w:vAlign w:val="bottom"/>
            <w:gridSpan w:val="21"/>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Other Information</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58"/>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97"/>
        </w:trPr>
        <w:tc>
          <w:tcPr>
            <w:tcW w:w="92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9340" w:type="dxa"/>
            <w:vAlign w:val="bottom"/>
            <w:gridSpan w:val="21"/>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Directors, Executive Officers and Corporate Governance</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66">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24"/>
                <w:szCs w:val="24"/>
                <w:color w:val="auto"/>
              </w:rPr>
            </w:pPr>
          </w:p>
        </w:tc>
        <w:tc>
          <w:tcPr>
            <w:tcW w:w="5240" w:type="dxa"/>
            <w:vAlign w:val="bottom"/>
            <w:gridSpan w:val="8"/>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66">
              <w:r>
                <w:rPr>
                  <w:rFonts w:ascii="Arial" w:cs="Arial" w:eastAsia="Arial" w:hAnsi="Arial"/>
                  <w:sz w:val="18"/>
                  <w:szCs w:val="18"/>
                  <w:color w:val="0000EE"/>
                  <w:w w:val="90"/>
                </w:rPr>
                <w:t>Security Ownership of Certain Beneficial Owners and Management and Related Stockholder Matters</w:t>
              </w:r>
            </w:hyperlink>
          </w:p>
        </w:tc>
        <w:tc>
          <w:tcPr>
            <w:tcW w:w="2040" w:type="dxa"/>
            <w:vAlign w:val="bottom"/>
            <w:gridSpan w:val="2"/>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Certain Relationships and Related Transactions, and Director Independence</w:t>
              </w:r>
            </w:hyperlink>
          </w:p>
        </w:tc>
        <w:tc>
          <w:tcPr>
            <w:tcW w:w="3880" w:type="dxa"/>
            <w:vAlign w:val="bottom"/>
            <w:gridSpan w:val="6"/>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9340" w:type="dxa"/>
            <w:vAlign w:val="bottom"/>
            <w:gridSpan w:val="21"/>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Principal Accounting Fees and Services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58"/>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97"/>
        </w:trPr>
        <w:tc>
          <w:tcPr>
            <w:tcW w:w="92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9340" w:type="dxa"/>
            <w:vAlign w:val="bottom"/>
            <w:gridSpan w:val="21"/>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Financial Statement Schedules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18"/>
        </w:trPr>
        <w:tc>
          <w:tcPr>
            <w:tcW w:w="920" w:type="dxa"/>
            <w:vAlign w:val="bottom"/>
            <w:gridSpan w:val="2"/>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EXHIBITS</w:t>
              </w:r>
            </w:hyperlink>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8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940" w:type="dxa"/>
            <w:vAlign w:val="bottom"/>
            <w:gridSpan w:val="15"/>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18"/>
        </w:trPr>
        <w:tc>
          <w:tcPr>
            <w:tcW w:w="10260" w:type="dxa"/>
            <w:vAlign w:val="bottom"/>
            <w:gridSpan w:val="23"/>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SIGNATURES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5940" w:type="dxa"/>
            <w:vAlign w:val="bottom"/>
            <w:gridSpan w:val="15"/>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18"/>
        </w:trPr>
        <w:tc>
          <w:tcPr>
            <w:tcW w:w="7040" w:type="dxa"/>
            <w:vAlign w:val="bottom"/>
            <w:tcBorders>
              <w:bottom w:val="single" w:sz="8" w:color="0000EE"/>
            </w:tcBorders>
            <w:gridSpan w:val="18"/>
          </w:tcPr>
          <w:p>
            <w:pPr>
              <w:spacing w:after="0"/>
              <w:rPr>
                <w:rFonts w:ascii="Arial" w:cs="Arial" w:eastAsia="Arial" w:hAnsi="Arial"/>
                <w:sz w:val="18"/>
                <w:szCs w:val="18"/>
                <w:color w:val="0000EE"/>
                <w:w w:val="96"/>
              </w:rPr>
            </w:pPr>
            <w:hyperlink w:anchor="page75">
              <w:r>
                <w:rPr>
                  <w:rFonts w:ascii="Arial" w:cs="Arial" w:eastAsia="Arial" w:hAnsi="Arial"/>
                  <w:sz w:val="18"/>
                  <w:szCs w:val="18"/>
                  <w:color w:val="0000EE"/>
                  <w:w w:val="96"/>
                </w:rPr>
                <w:t>INDEX TO CONSOLIDATED FINANCIAL STATEMENTS OF ELDORADO RESORTS, INC.</w:t>
              </w:r>
            </w:hyperlink>
          </w:p>
        </w:tc>
        <w:tc>
          <w:tcPr>
            <w:tcW w:w="3220" w:type="dxa"/>
            <w:vAlign w:val="bottom"/>
            <w:gridSpan w:val="5"/>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i w:val="1"/>
          <w:iCs w:val="1"/>
          <w:color w:val="auto"/>
        </w:rPr>
        <w:t>Eldorado Resorts, Inc., a Nevada corporation, is referred to as the “Company,” “ERI,” or the “Registrant,” and together with its subsidiaries may also be referred to as “we,” “us” or “our.”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We are a geographically diversified gaming and hospitality company. As of December 31, 2018, we owned 28 gaming facilities in 13 states. Our properties, which are located in Ohio, Louisiana, Nevada, New Jersey, Pennsylvania, West Virginia, Colorado, Florida, Iowa, Mississippi, Illinois, Indiana and Missouri, feature approximately 30,000 slot machines and video lottery terminals (“VLTs”), approximately 800 table games and approximately 12,600 hotel rooms. Our primary source of revenue is generated by gaming operations, and we utilize our hotels, restaurants, bars, entertainment, racing, retail shops and other services to attract customers to our properties.</w:t>
      </w:r>
    </w:p>
    <w:p>
      <w:pPr>
        <w:spacing w:after="0" w:line="188" w:lineRule="exact"/>
        <w:rPr>
          <w:sz w:val="20"/>
          <w:szCs w:val="20"/>
          <w:color w:val="auto"/>
        </w:rPr>
      </w:pPr>
    </w:p>
    <w:p>
      <w:pPr>
        <w:ind w:right="40" w:firstLine="555"/>
        <w:spacing w:after="0" w:line="290" w:lineRule="auto"/>
        <w:rPr>
          <w:sz w:val="20"/>
          <w:szCs w:val="20"/>
          <w:color w:val="auto"/>
        </w:rPr>
      </w:pPr>
      <w:r>
        <w:rPr>
          <w:rFonts w:ascii="Arial" w:cs="Arial" w:eastAsia="Arial" w:hAnsi="Arial"/>
          <w:sz w:val="16"/>
          <w:szCs w:val="16"/>
          <w:color w:val="auto"/>
        </w:rPr>
        <w:t>We were founded in 1973 by the Carano family with the opening of the Eldorado Hotel Casino in Reno, Nevada. In 1993, we partnered with MGM Resorts International to build Silver Legacy Resort Casino (“Silver Legacy”), the first mega-themed resort in Reno. In 2005, we acquired our first property outside of Reno when we purchased a casino in Shreveport, Louisiana, now known as Eldorado Shreveport. In September 2014, we merged with MTR Gaming Group, Inc. and acquired its three gaming and racing facilities in Ohio, Pennsylvania and West Virginia. The following year, in November 2015, we acquired Circus Circus Reno (“Circus Reno”) and the 50% membership interest in the Silver Legacy that was owned by MGM Resorts International. On May 1, 2017, we completed our acquisition of Isle of Capri Casinos, Inc. (“Isle” or “Isle of Capri”), adding 13 gaming properties to our portfolio. On August 7, 2018, we acquired the Elgin Riverboat Resort – Riverboat Casino d/b/a Grand Victoria Casino (“Elgin”) (“Elgin Acquisition”). On October 1, 2018, we completed our acquisition of Tropicana Entertainment, Inc. (“Tropicana”), adding seven properties to our portfolio (the “Tropicana Acquisition”).</w:t>
      </w:r>
    </w:p>
    <w:p>
      <w:pPr>
        <w:spacing w:after="0" w:line="166"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color w:val="auto"/>
        </w:rPr>
        <w:t>We own 22 of our casinos and lease or manage our remaining casinos, including five casinos that are subject to a master lease with GLP Capital, L.P., the operating partnership of Gaming and Leisure Properties, Inc. (“GLPI”), that we entered into in connection with the Tropicana Acquisition on October 1, 2018 (the “Master Lease”). (See full description under “Master Lease”).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The following table sets forth certain information regarding our properties (listed by the segment in which each property is reported) as of and for the year ended December 31,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5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Year</w:t>
            </w: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Slot</w:t>
            </w: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Table and</w:t>
            </w:r>
          </w:p>
        </w:tc>
        <w:tc>
          <w:tcPr>
            <w:tcW w:w="15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Hotel</w:t>
            </w: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Machines</w:t>
            </w:r>
          </w:p>
        </w:tc>
        <w:tc>
          <w:tcPr>
            <w:tcW w:w="154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Casino Square</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Acquired</w:t>
            </w: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and VLTs</w:t>
            </w: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Poker Games</w:t>
            </w:r>
          </w:p>
        </w:tc>
        <w:tc>
          <w:tcPr>
            <w:tcW w:w="1540" w:type="dxa"/>
            <w:vAlign w:val="bottom"/>
            <w:gridSpan w:val="2"/>
          </w:tcPr>
          <w:p>
            <w:pPr>
              <w:ind w:left="420"/>
              <w:spacing w:after="0"/>
              <w:rPr>
                <w:sz w:val="20"/>
                <w:szCs w:val="20"/>
                <w:color w:val="auto"/>
              </w:rPr>
            </w:pPr>
            <w:r>
              <w:rPr>
                <w:rFonts w:ascii="Arial" w:cs="Arial" w:eastAsia="Arial" w:hAnsi="Arial"/>
                <w:sz w:val="14"/>
                <w:szCs w:val="14"/>
                <w:b w:val="1"/>
                <w:bCs w:val="1"/>
                <w:color w:val="auto"/>
              </w:rPr>
              <w:t>Rooms</w:t>
            </w: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Footage</w:t>
            </w:r>
          </w:p>
        </w:tc>
        <w:tc>
          <w:tcPr>
            <w:tcW w:w="0" w:type="dxa"/>
            <w:vAlign w:val="bottom"/>
          </w:tcPr>
          <w:p>
            <w:pPr>
              <w:spacing w:after="0"/>
              <w:rPr>
                <w:sz w:val="1"/>
                <w:szCs w:val="1"/>
                <w:color w:val="auto"/>
              </w:rPr>
            </w:pPr>
          </w:p>
        </w:tc>
      </w:tr>
      <w:tr>
        <w:trPr>
          <w:trHeight w:val="210"/>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West Region:</w:t>
            </w:r>
          </w:p>
        </w:tc>
        <w:tc>
          <w:tcPr>
            <w:tcW w:w="14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40" w:type="dxa"/>
            <w:vAlign w:val="bottom"/>
          </w:tcPr>
          <w:p>
            <w:pPr>
              <w:ind w:left="260"/>
              <w:spacing w:after="0"/>
              <w:rPr>
                <w:sz w:val="20"/>
                <w:szCs w:val="20"/>
                <w:color w:val="auto"/>
              </w:rPr>
            </w:pPr>
            <w:r>
              <w:rPr>
                <w:rFonts w:ascii="Arial" w:cs="Arial" w:eastAsia="Arial" w:hAnsi="Arial"/>
                <w:sz w:val="16"/>
                <w:szCs w:val="16"/>
                <w:color w:val="auto"/>
              </w:rPr>
              <w:t>Eldorado Resort Casino Reno</w:t>
            </w:r>
          </w:p>
        </w:tc>
        <w:tc>
          <w:tcPr>
            <w:tcW w:w="1540" w:type="dxa"/>
            <w:vAlign w:val="bottom"/>
            <w:gridSpan w:val="2"/>
          </w:tcPr>
          <w:p>
            <w:pPr>
              <w:jc w:val="center"/>
              <w:ind w:right="180"/>
              <w:spacing w:after="0"/>
              <w:rPr>
                <w:sz w:val="20"/>
                <w:szCs w:val="20"/>
                <w:color w:val="auto"/>
              </w:rPr>
            </w:pPr>
            <w:r>
              <w:rPr>
                <w:rFonts w:ascii="Arial" w:cs="Arial" w:eastAsia="Arial" w:hAnsi="Arial"/>
                <w:sz w:val="16"/>
                <w:szCs w:val="16"/>
                <w:color w:val="auto"/>
              </w:rPr>
              <w:t>N/A</w:t>
            </w:r>
          </w:p>
        </w:tc>
        <w:tc>
          <w:tcPr>
            <w:tcW w:w="1280" w:type="dxa"/>
            <w:vAlign w:val="bottom"/>
          </w:tcPr>
          <w:p>
            <w:pPr>
              <w:jc w:val="right"/>
              <w:spacing w:after="0"/>
              <w:rPr>
                <w:sz w:val="20"/>
                <w:szCs w:val="20"/>
                <w:color w:val="auto"/>
              </w:rPr>
            </w:pPr>
            <w:r>
              <w:rPr>
                <w:rFonts w:ascii="Arial" w:cs="Arial" w:eastAsia="Arial" w:hAnsi="Arial"/>
                <w:sz w:val="16"/>
                <w:szCs w:val="16"/>
                <w:color w:val="auto"/>
              </w:rPr>
              <w:t>1,117</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814</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71,500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Silver Legacy Resort Casino</w:t>
            </w:r>
          </w:p>
        </w:tc>
        <w:tc>
          <w:tcPr>
            <w:tcW w:w="14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2015</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1,119</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1,685</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90,100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40" w:type="dxa"/>
            <w:vAlign w:val="bottom"/>
          </w:tcPr>
          <w:p>
            <w:pPr>
              <w:ind w:left="260"/>
              <w:spacing w:after="0"/>
              <w:rPr>
                <w:sz w:val="20"/>
                <w:szCs w:val="20"/>
                <w:color w:val="auto"/>
              </w:rPr>
            </w:pPr>
            <w:r>
              <w:rPr>
                <w:rFonts w:ascii="Arial" w:cs="Arial" w:eastAsia="Arial" w:hAnsi="Arial"/>
                <w:sz w:val="16"/>
                <w:szCs w:val="16"/>
                <w:color w:val="auto"/>
              </w:rPr>
              <w:t>Circus Circus Reno</w:t>
            </w:r>
          </w:p>
        </w:tc>
        <w:tc>
          <w:tcPr>
            <w:tcW w:w="1400" w:type="dxa"/>
            <w:vAlign w:val="bottom"/>
          </w:tcPr>
          <w:p>
            <w:pPr>
              <w:jc w:val="center"/>
              <w:spacing w:after="0"/>
              <w:rPr>
                <w:sz w:val="20"/>
                <w:szCs w:val="20"/>
                <w:color w:val="auto"/>
              </w:rPr>
            </w:pPr>
            <w:r>
              <w:rPr>
                <w:rFonts w:ascii="Arial" w:cs="Arial" w:eastAsia="Arial" w:hAnsi="Arial"/>
                <w:sz w:val="16"/>
                <w:szCs w:val="16"/>
                <w:color w:val="auto"/>
                <w:w w:val="89"/>
              </w:rPr>
              <w:t>2015</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722</w:t>
            </w:r>
          </w:p>
        </w:tc>
        <w:tc>
          <w:tcPr>
            <w:tcW w:w="260" w:type="dxa"/>
            <w:vAlign w:val="bottom"/>
          </w:tcPr>
          <w:p>
            <w:pPr>
              <w:spacing w:after="0"/>
              <w:rPr>
                <w:sz w:val="18"/>
                <w:szCs w:val="18"/>
                <w:color w:val="auto"/>
              </w:rPr>
            </w:pPr>
          </w:p>
        </w:tc>
        <w:tc>
          <w:tcPr>
            <w:tcW w:w="1540" w:type="dxa"/>
            <w:vAlign w:val="bottom"/>
            <w:gridSpan w:val="2"/>
          </w:tcPr>
          <w:p>
            <w:pPr>
              <w:ind w:left="1000"/>
              <w:spacing w:after="0"/>
              <w:rPr>
                <w:sz w:val="20"/>
                <w:szCs w:val="20"/>
                <w:color w:val="auto"/>
              </w:rPr>
            </w:pPr>
            <w:r>
              <w:rPr>
                <w:rFonts w:ascii="Arial" w:cs="Arial" w:eastAsia="Arial" w:hAnsi="Arial"/>
                <w:sz w:val="16"/>
                <w:szCs w:val="16"/>
                <w:color w:val="auto"/>
              </w:rPr>
              <w:t>N/A</w:t>
            </w:r>
          </w:p>
        </w:tc>
        <w:tc>
          <w:tcPr>
            <w:tcW w:w="1280" w:type="dxa"/>
            <w:vAlign w:val="bottom"/>
          </w:tcPr>
          <w:p>
            <w:pPr>
              <w:jc w:val="right"/>
              <w:spacing w:after="0"/>
              <w:rPr>
                <w:sz w:val="20"/>
                <w:szCs w:val="20"/>
                <w:color w:val="auto"/>
              </w:rPr>
            </w:pPr>
            <w:r>
              <w:rPr>
                <w:rFonts w:ascii="Arial" w:cs="Arial" w:eastAsia="Arial" w:hAnsi="Arial"/>
                <w:sz w:val="16"/>
                <w:szCs w:val="16"/>
                <w:color w:val="auto"/>
              </w:rPr>
              <w:t>1,571</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MontBleu Casino Resort &amp; Spa</w:t>
            </w:r>
          </w:p>
        </w:tc>
        <w:tc>
          <w:tcPr>
            <w:tcW w:w="14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2018</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474</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438</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40" w:type="dxa"/>
            <w:vAlign w:val="bottom"/>
          </w:tcPr>
          <w:p>
            <w:pPr>
              <w:ind w:left="260"/>
              <w:spacing w:after="0"/>
              <w:rPr>
                <w:sz w:val="20"/>
                <w:szCs w:val="20"/>
                <w:color w:val="auto"/>
              </w:rPr>
            </w:pPr>
            <w:r>
              <w:rPr>
                <w:rFonts w:ascii="Arial" w:cs="Arial" w:eastAsia="Arial" w:hAnsi="Arial"/>
                <w:sz w:val="16"/>
                <w:szCs w:val="16"/>
                <w:color w:val="auto"/>
              </w:rPr>
              <w:t>Tropicana Laughlin Hotel and Casino</w:t>
            </w:r>
          </w:p>
        </w:tc>
        <w:tc>
          <w:tcPr>
            <w:tcW w:w="1400" w:type="dxa"/>
            <w:vAlign w:val="bottom"/>
          </w:tcPr>
          <w:p>
            <w:pPr>
              <w:jc w:val="center"/>
              <w:spacing w:after="0"/>
              <w:rPr>
                <w:sz w:val="20"/>
                <w:szCs w:val="20"/>
                <w:color w:val="auto"/>
              </w:rPr>
            </w:pPr>
            <w:r>
              <w:rPr>
                <w:rFonts w:ascii="Arial" w:cs="Arial" w:eastAsia="Arial" w:hAnsi="Arial"/>
                <w:sz w:val="16"/>
                <w:szCs w:val="16"/>
                <w:color w:val="auto"/>
                <w:w w:val="89"/>
              </w:rPr>
              <w:t>2018</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895</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1,487</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Isle Casino Hotel - Black Hawk</w:t>
            </w:r>
          </w:p>
        </w:tc>
        <w:tc>
          <w:tcPr>
            <w:tcW w:w="14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2017</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966</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40" w:type="dxa"/>
            <w:vAlign w:val="bottom"/>
          </w:tcPr>
          <w:p>
            <w:pPr>
              <w:ind w:left="260"/>
              <w:spacing w:after="0"/>
              <w:rPr>
                <w:sz w:val="20"/>
                <w:szCs w:val="20"/>
                <w:color w:val="auto"/>
              </w:rPr>
            </w:pPr>
            <w:r>
              <w:rPr>
                <w:rFonts w:ascii="Arial" w:cs="Arial" w:eastAsia="Arial" w:hAnsi="Arial"/>
                <w:sz w:val="16"/>
                <w:szCs w:val="16"/>
                <w:color w:val="auto"/>
              </w:rPr>
              <w:t>Lady Luck Casino - Black Hawk</w:t>
            </w:r>
          </w:p>
        </w:tc>
        <w:tc>
          <w:tcPr>
            <w:tcW w:w="1400" w:type="dxa"/>
            <w:vAlign w:val="bottom"/>
          </w:tcPr>
          <w:p>
            <w:pPr>
              <w:jc w:val="center"/>
              <w:spacing w:after="0"/>
              <w:rPr>
                <w:sz w:val="20"/>
                <w:szCs w:val="20"/>
                <w:color w:val="auto"/>
              </w:rPr>
            </w:pPr>
            <w:r>
              <w:rPr>
                <w:rFonts w:ascii="Arial" w:cs="Arial" w:eastAsia="Arial" w:hAnsi="Arial"/>
                <w:sz w:val="16"/>
                <w:szCs w:val="16"/>
                <w:color w:val="auto"/>
                <w:w w:val="89"/>
              </w:rPr>
              <w:t>2017</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442</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164</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14,900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Midwest Region:</w:t>
            </w: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40" w:type="dxa"/>
            <w:vAlign w:val="bottom"/>
          </w:tcPr>
          <w:p>
            <w:pPr>
              <w:ind w:left="260"/>
              <w:spacing w:after="0"/>
              <w:rPr>
                <w:sz w:val="20"/>
                <w:szCs w:val="20"/>
                <w:color w:val="auto"/>
              </w:rPr>
            </w:pPr>
            <w:r>
              <w:rPr>
                <w:rFonts w:ascii="Arial" w:cs="Arial" w:eastAsia="Arial" w:hAnsi="Arial"/>
                <w:sz w:val="16"/>
                <w:szCs w:val="16"/>
                <w:color w:val="auto"/>
              </w:rPr>
              <w:t>Isle Casino Waterloo</w:t>
            </w:r>
          </w:p>
        </w:tc>
        <w:tc>
          <w:tcPr>
            <w:tcW w:w="1400" w:type="dxa"/>
            <w:vAlign w:val="bottom"/>
          </w:tcPr>
          <w:p>
            <w:pPr>
              <w:jc w:val="center"/>
              <w:spacing w:after="0"/>
              <w:rPr>
                <w:sz w:val="20"/>
                <w:szCs w:val="20"/>
                <w:color w:val="auto"/>
              </w:rPr>
            </w:pPr>
            <w:r>
              <w:rPr>
                <w:rFonts w:ascii="Arial" w:cs="Arial" w:eastAsia="Arial" w:hAnsi="Arial"/>
                <w:sz w:val="16"/>
                <w:szCs w:val="16"/>
                <w:color w:val="auto"/>
                <w:w w:val="89"/>
              </w:rPr>
              <w:t>2017</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939</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194</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39,300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Isle Casino Bettendorf</w:t>
            </w:r>
          </w:p>
        </w:tc>
        <w:tc>
          <w:tcPr>
            <w:tcW w:w="14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2017</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969</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509</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40" w:type="dxa"/>
            <w:vAlign w:val="bottom"/>
          </w:tcPr>
          <w:p>
            <w:pPr>
              <w:ind w:left="260"/>
              <w:spacing w:after="0"/>
              <w:rPr>
                <w:sz w:val="20"/>
                <w:szCs w:val="20"/>
                <w:color w:val="auto"/>
              </w:rPr>
            </w:pPr>
            <w:r>
              <w:rPr>
                <w:rFonts w:ascii="Arial" w:cs="Arial" w:eastAsia="Arial" w:hAnsi="Arial"/>
                <w:sz w:val="16"/>
                <w:szCs w:val="16"/>
                <w:color w:val="auto"/>
              </w:rPr>
              <w:t>Isle of Capri Casino Boonville</w:t>
            </w:r>
          </w:p>
        </w:tc>
        <w:tc>
          <w:tcPr>
            <w:tcW w:w="1400" w:type="dxa"/>
            <w:vAlign w:val="bottom"/>
          </w:tcPr>
          <w:p>
            <w:pPr>
              <w:jc w:val="center"/>
              <w:spacing w:after="0"/>
              <w:rPr>
                <w:sz w:val="20"/>
                <w:szCs w:val="20"/>
                <w:color w:val="auto"/>
              </w:rPr>
            </w:pPr>
            <w:r>
              <w:rPr>
                <w:rFonts w:ascii="Arial" w:cs="Arial" w:eastAsia="Arial" w:hAnsi="Arial"/>
                <w:sz w:val="16"/>
                <w:szCs w:val="16"/>
                <w:color w:val="auto"/>
                <w:w w:val="89"/>
              </w:rPr>
              <w:t>2017</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881</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140</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26,600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Isle Casino Cape Girardeau</w:t>
            </w:r>
          </w:p>
        </w:tc>
        <w:tc>
          <w:tcPr>
            <w:tcW w:w="14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2017</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863</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ind w:left="1000"/>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40" w:type="dxa"/>
            <w:vAlign w:val="bottom"/>
          </w:tcPr>
          <w:p>
            <w:pPr>
              <w:ind w:left="260"/>
              <w:spacing w:after="0"/>
              <w:rPr>
                <w:sz w:val="20"/>
                <w:szCs w:val="20"/>
                <w:color w:val="auto"/>
              </w:rPr>
            </w:pPr>
            <w:r>
              <w:rPr>
                <w:rFonts w:ascii="Arial" w:cs="Arial" w:eastAsia="Arial" w:hAnsi="Arial"/>
                <w:sz w:val="16"/>
                <w:szCs w:val="16"/>
                <w:color w:val="auto"/>
              </w:rPr>
              <w:t>Lady Luck Casino Caruthersville</w:t>
            </w:r>
          </w:p>
        </w:tc>
        <w:tc>
          <w:tcPr>
            <w:tcW w:w="1400" w:type="dxa"/>
            <w:vAlign w:val="bottom"/>
          </w:tcPr>
          <w:p>
            <w:pPr>
              <w:jc w:val="center"/>
              <w:spacing w:after="0"/>
              <w:rPr>
                <w:sz w:val="20"/>
                <w:szCs w:val="20"/>
                <w:color w:val="auto"/>
              </w:rPr>
            </w:pPr>
            <w:r>
              <w:rPr>
                <w:rFonts w:ascii="Arial" w:cs="Arial" w:eastAsia="Arial" w:hAnsi="Arial"/>
                <w:sz w:val="16"/>
                <w:szCs w:val="16"/>
                <w:color w:val="auto"/>
                <w:w w:val="89"/>
              </w:rPr>
              <w:t>2017</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507</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18"/>
                <w:szCs w:val="18"/>
                <w:color w:val="auto"/>
              </w:rPr>
            </w:pPr>
          </w:p>
        </w:tc>
        <w:tc>
          <w:tcPr>
            <w:tcW w:w="1540" w:type="dxa"/>
            <w:vAlign w:val="bottom"/>
            <w:gridSpan w:val="2"/>
          </w:tcPr>
          <w:p>
            <w:pPr>
              <w:ind w:left="1000"/>
              <w:spacing w:after="0"/>
              <w:rPr>
                <w:sz w:val="20"/>
                <w:szCs w:val="20"/>
                <w:color w:val="auto"/>
              </w:rPr>
            </w:pPr>
            <w:r>
              <w:rPr>
                <w:rFonts w:ascii="Arial" w:cs="Arial" w:eastAsia="Arial" w:hAnsi="Arial"/>
                <w:sz w:val="16"/>
                <w:szCs w:val="16"/>
                <w:color w:val="auto"/>
              </w:rPr>
              <w:t>N/A</w:t>
            </w:r>
          </w:p>
        </w:tc>
        <w:tc>
          <w:tcPr>
            <w:tcW w:w="1300" w:type="dxa"/>
            <w:vAlign w:val="bottom"/>
          </w:tcPr>
          <w:p>
            <w:pPr>
              <w:jc w:val="right"/>
              <w:spacing w:after="0"/>
              <w:rPr>
                <w:sz w:val="20"/>
                <w:szCs w:val="20"/>
                <w:color w:val="auto"/>
              </w:rPr>
            </w:pPr>
            <w:r>
              <w:rPr>
                <w:rFonts w:ascii="Arial" w:cs="Arial" w:eastAsia="Arial" w:hAnsi="Arial"/>
                <w:sz w:val="16"/>
                <w:szCs w:val="16"/>
                <w:color w:val="auto"/>
              </w:rPr>
              <w:t>21,000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Isle of Capri Casino Kansas City</w:t>
            </w:r>
          </w:p>
        </w:tc>
        <w:tc>
          <w:tcPr>
            <w:tcW w:w="14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2017</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938</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ind w:left="1000"/>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40" w:type="dxa"/>
            <w:vAlign w:val="bottom"/>
          </w:tcPr>
          <w:p>
            <w:pPr>
              <w:spacing w:after="0"/>
              <w:rPr>
                <w:sz w:val="20"/>
                <w:szCs w:val="20"/>
                <w:color w:val="auto"/>
              </w:rPr>
            </w:pPr>
            <w:r>
              <w:rPr>
                <w:rFonts w:ascii="Arial" w:cs="Arial" w:eastAsia="Arial" w:hAnsi="Arial"/>
                <w:sz w:val="16"/>
                <w:szCs w:val="16"/>
                <w:b w:val="1"/>
                <w:bCs w:val="1"/>
                <w:color w:val="auto"/>
              </w:rPr>
              <w:t>South Region:</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Isle Casino Racing Pompano Park</w:t>
            </w:r>
          </w:p>
        </w:tc>
        <w:tc>
          <w:tcPr>
            <w:tcW w:w="14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2017</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1,596</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2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ind w:left="1000"/>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40" w:type="dxa"/>
            <w:vAlign w:val="bottom"/>
          </w:tcPr>
          <w:p>
            <w:pPr>
              <w:ind w:left="260"/>
              <w:spacing w:after="0"/>
              <w:rPr>
                <w:sz w:val="20"/>
                <w:szCs w:val="20"/>
                <w:color w:val="auto"/>
              </w:rPr>
            </w:pPr>
            <w:r>
              <w:rPr>
                <w:rFonts w:ascii="Arial" w:cs="Arial" w:eastAsia="Arial" w:hAnsi="Arial"/>
                <w:sz w:val="16"/>
                <w:szCs w:val="16"/>
                <w:color w:val="auto"/>
              </w:rPr>
              <w:t>Eldorado Resort Casino Shreveport</w:t>
            </w:r>
          </w:p>
        </w:tc>
        <w:tc>
          <w:tcPr>
            <w:tcW w:w="1400" w:type="dxa"/>
            <w:vAlign w:val="bottom"/>
          </w:tcPr>
          <w:p>
            <w:pPr>
              <w:jc w:val="center"/>
              <w:spacing w:after="0"/>
              <w:rPr>
                <w:sz w:val="20"/>
                <w:szCs w:val="20"/>
                <w:color w:val="auto"/>
              </w:rPr>
            </w:pPr>
            <w:r>
              <w:rPr>
                <w:rFonts w:ascii="Arial" w:cs="Arial" w:eastAsia="Arial" w:hAnsi="Arial"/>
                <w:sz w:val="16"/>
                <w:szCs w:val="16"/>
                <w:color w:val="auto"/>
                <w:w w:val="89"/>
              </w:rPr>
              <w:t>2005</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1,388</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403</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80,600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Isle of Capri Casino Lula</w:t>
            </w:r>
          </w:p>
        </w:tc>
        <w:tc>
          <w:tcPr>
            <w:tcW w:w="14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2017</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862</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40" w:type="dxa"/>
            <w:vAlign w:val="bottom"/>
          </w:tcPr>
          <w:p>
            <w:pPr>
              <w:ind w:left="260"/>
              <w:spacing w:after="0"/>
              <w:rPr>
                <w:sz w:val="20"/>
                <w:szCs w:val="20"/>
                <w:color w:val="auto"/>
              </w:rPr>
            </w:pPr>
            <w:r>
              <w:rPr>
                <w:rFonts w:ascii="Arial" w:cs="Arial" w:eastAsia="Arial" w:hAnsi="Arial"/>
                <w:sz w:val="16"/>
                <w:szCs w:val="16"/>
                <w:color w:val="auto"/>
              </w:rPr>
              <w:t>Lady Luck Casino Vicksburg</w:t>
            </w:r>
          </w:p>
        </w:tc>
        <w:tc>
          <w:tcPr>
            <w:tcW w:w="1400" w:type="dxa"/>
            <w:vAlign w:val="bottom"/>
          </w:tcPr>
          <w:p>
            <w:pPr>
              <w:jc w:val="center"/>
              <w:spacing w:after="0"/>
              <w:rPr>
                <w:sz w:val="20"/>
                <w:szCs w:val="20"/>
                <w:color w:val="auto"/>
              </w:rPr>
            </w:pPr>
            <w:r>
              <w:rPr>
                <w:rFonts w:ascii="Arial" w:cs="Arial" w:eastAsia="Arial" w:hAnsi="Arial"/>
                <w:sz w:val="16"/>
                <w:szCs w:val="16"/>
                <w:color w:val="auto"/>
                <w:w w:val="89"/>
              </w:rPr>
              <w:t>2017</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607</w:t>
            </w:r>
          </w:p>
        </w:tc>
        <w:tc>
          <w:tcPr>
            <w:tcW w:w="260" w:type="dxa"/>
            <w:vAlign w:val="bottom"/>
          </w:tcPr>
          <w:p>
            <w:pPr>
              <w:spacing w:after="0"/>
              <w:rPr>
                <w:sz w:val="18"/>
                <w:szCs w:val="18"/>
                <w:color w:val="auto"/>
              </w:rPr>
            </w:pPr>
          </w:p>
        </w:tc>
        <w:tc>
          <w:tcPr>
            <w:tcW w:w="1540" w:type="dxa"/>
            <w:vAlign w:val="bottom"/>
            <w:gridSpan w:val="2"/>
          </w:tcPr>
          <w:p>
            <w:pPr>
              <w:ind w:left="1000"/>
              <w:spacing w:after="0"/>
              <w:rPr>
                <w:sz w:val="20"/>
                <w:szCs w:val="20"/>
                <w:color w:val="auto"/>
              </w:rPr>
            </w:pPr>
            <w:r>
              <w:rPr>
                <w:rFonts w:ascii="Arial" w:cs="Arial" w:eastAsia="Arial" w:hAnsi="Arial"/>
                <w:sz w:val="16"/>
                <w:szCs w:val="16"/>
                <w:color w:val="auto"/>
              </w:rPr>
              <w:t>N/A</w:t>
            </w:r>
          </w:p>
        </w:tc>
        <w:tc>
          <w:tcPr>
            <w:tcW w:w="1280" w:type="dxa"/>
            <w:vAlign w:val="bottom"/>
          </w:tcPr>
          <w:p>
            <w:pPr>
              <w:jc w:val="right"/>
              <w:spacing w:after="0"/>
              <w:rPr>
                <w:sz w:val="20"/>
                <w:szCs w:val="20"/>
                <w:color w:val="auto"/>
              </w:rPr>
            </w:pPr>
            <w:r>
              <w:rPr>
                <w:rFonts w:ascii="Arial" w:cs="Arial" w:eastAsia="Arial" w:hAnsi="Arial"/>
                <w:sz w:val="16"/>
                <w:szCs w:val="16"/>
                <w:color w:val="auto"/>
              </w:rPr>
              <w:t>89</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Isle of Capri Casino Hotel Lake Charles</w:t>
            </w:r>
          </w:p>
        </w:tc>
        <w:tc>
          <w:tcPr>
            <w:tcW w:w="14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2017</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1,164</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40" w:type="dxa"/>
            <w:vAlign w:val="bottom"/>
          </w:tcPr>
          <w:p>
            <w:pPr>
              <w:ind w:left="260"/>
              <w:spacing w:after="0"/>
              <w:rPr>
                <w:sz w:val="20"/>
                <w:szCs w:val="20"/>
                <w:color w:val="auto"/>
              </w:rPr>
            </w:pPr>
            <w:r>
              <w:rPr>
                <w:rFonts w:ascii="Arial" w:cs="Arial" w:eastAsia="Arial" w:hAnsi="Arial"/>
                <w:sz w:val="16"/>
                <w:szCs w:val="16"/>
                <w:color w:val="auto"/>
              </w:rPr>
              <w:t>Belle of Baton Rouge Casino &amp; Hotel</w:t>
            </w:r>
          </w:p>
        </w:tc>
        <w:tc>
          <w:tcPr>
            <w:tcW w:w="1400" w:type="dxa"/>
            <w:vAlign w:val="bottom"/>
          </w:tcPr>
          <w:p>
            <w:pPr>
              <w:jc w:val="center"/>
              <w:spacing w:after="0"/>
              <w:rPr>
                <w:sz w:val="20"/>
                <w:szCs w:val="20"/>
                <w:color w:val="auto"/>
              </w:rPr>
            </w:pPr>
            <w:r>
              <w:rPr>
                <w:rFonts w:ascii="Arial" w:cs="Arial" w:eastAsia="Arial" w:hAnsi="Arial"/>
                <w:sz w:val="16"/>
                <w:szCs w:val="16"/>
                <w:color w:val="auto"/>
                <w:w w:val="89"/>
              </w:rPr>
              <w:t>2018</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773</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288</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Trop Casino Greenville</w:t>
            </w:r>
          </w:p>
        </w:tc>
        <w:tc>
          <w:tcPr>
            <w:tcW w:w="14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2018</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590</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40" w:type="dxa"/>
            <w:vAlign w:val="bottom"/>
          </w:tcPr>
          <w:p>
            <w:pPr>
              <w:spacing w:after="0"/>
              <w:rPr>
                <w:sz w:val="20"/>
                <w:szCs w:val="20"/>
                <w:color w:val="auto"/>
              </w:rPr>
            </w:pPr>
            <w:r>
              <w:rPr>
                <w:rFonts w:ascii="Arial" w:cs="Arial" w:eastAsia="Arial" w:hAnsi="Arial"/>
                <w:sz w:val="16"/>
                <w:szCs w:val="16"/>
                <w:b w:val="1"/>
                <w:bCs w:val="1"/>
                <w:color w:val="auto"/>
              </w:rPr>
              <w:t>East Region:</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Presque Isle Downs &amp; Casino (1)</w:t>
            </w:r>
          </w:p>
        </w:tc>
        <w:tc>
          <w:tcPr>
            <w:tcW w:w="14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2014</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1,596</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2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ind w:left="1000"/>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59,400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40" w:type="dxa"/>
            <w:vAlign w:val="bottom"/>
          </w:tcPr>
          <w:p>
            <w:pPr>
              <w:ind w:left="260"/>
              <w:spacing w:after="0"/>
              <w:rPr>
                <w:sz w:val="20"/>
                <w:szCs w:val="20"/>
                <w:color w:val="auto"/>
              </w:rPr>
            </w:pPr>
            <w:r>
              <w:rPr>
                <w:rFonts w:ascii="Arial" w:cs="Arial" w:eastAsia="Arial" w:hAnsi="Arial"/>
                <w:sz w:val="16"/>
                <w:szCs w:val="16"/>
                <w:color w:val="auto"/>
              </w:rPr>
              <w:t>Lady Luck Casino Nemacolin (1)</w:t>
            </w:r>
          </w:p>
        </w:tc>
        <w:tc>
          <w:tcPr>
            <w:tcW w:w="1400" w:type="dxa"/>
            <w:vAlign w:val="bottom"/>
          </w:tcPr>
          <w:p>
            <w:pPr>
              <w:jc w:val="center"/>
              <w:spacing w:after="0"/>
              <w:rPr>
                <w:sz w:val="20"/>
                <w:szCs w:val="20"/>
                <w:color w:val="auto"/>
              </w:rPr>
            </w:pPr>
            <w:r>
              <w:rPr>
                <w:rFonts w:ascii="Arial" w:cs="Arial" w:eastAsia="Arial" w:hAnsi="Arial"/>
                <w:sz w:val="16"/>
                <w:szCs w:val="16"/>
                <w:color w:val="auto"/>
                <w:w w:val="89"/>
              </w:rPr>
              <w:t>2017</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600</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w:t>
            </w:r>
          </w:p>
        </w:tc>
        <w:tc>
          <w:tcPr>
            <w:tcW w:w="260" w:type="dxa"/>
            <w:vAlign w:val="bottom"/>
          </w:tcPr>
          <w:p>
            <w:pPr>
              <w:spacing w:after="0"/>
              <w:rPr>
                <w:sz w:val="18"/>
                <w:szCs w:val="18"/>
                <w:color w:val="auto"/>
              </w:rPr>
            </w:pPr>
          </w:p>
        </w:tc>
        <w:tc>
          <w:tcPr>
            <w:tcW w:w="1540" w:type="dxa"/>
            <w:vAlign w:val="bottom"/>
            <w:gridSpan w:val="2"/>
          </w:tcPr>
          <w:p>
            <w:pPr>
              <w:ind w:left="1000"/>
              <w:spacing w:after="0"/>
              <w:rPr>
                <w:sz w:val="20"/>
                <w:szCs w:val="20"/>
                <w:color w:val="auto"/>
              </w:rPr>
            </w:pPr>
            <w:r>
              <w:rPr>
                <w:rFonts w:ascii="Arial" w:cs="Arial" w:eastAsia="Arial" w:hAnsi="Arial"/>
                <w:sz w:val="16"/>
                <w:szCs w:val="16"/>
                <w:color w:val="auto"/>
              </w:rPr>
              <w:t>N/A</w:t>
            </w:r>
          </w:p>
        </w:tc>
        <w:tc>
          <w:tcPr>
            <w:tcW w:w="1300" w:type="dxa"/>
            <w:vAlign w:val="bottom"/>
          </w:tcPr>
          <w:p>
            <w:pPr>
              <w:jc w:val="right"/>
              <w:spacing w:after="0"/>
              <w:rPr>
                <w:sz w:val="20"/>
                <w:szCs w:val="20"/>
                <w:color w:val="auto"/>
              </w:rPr>
            </w:pPr>
            <w:r>
              <w:rPr>
                <w:rFonts w:ascii="Arial" w:cs="Arial" w:eastAsia="Arial" w:hAnsi="Arial"/>
                <w:sz w:val="16"/>
                <w:szCs w:val="16"/>
                <w:color w:val="auto"/>
              </w:rPr>
              <w:t>24,700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Eldorado Gaming Scioto Downs</w:t>
            </w:r>
          </w:p>
        </w:tc>
        <w:tc>
          <w:tcPr>
            <w:tcW w:w="14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2014</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2,238</w:t>
            </w:r>
          </w:p>
        </w:tc>
        <w:tc>
          <w:tcPr>
            <w:tcW w:w="2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ind w:left="1000"/>
              <w:spacing w:after="0"/>
              <w:rPr>
                <w:sz w:val="20"/>
                <w:szCs w:val="20"/>
                <w:color w:val="auto"/>
              </w:rPr>
            </w:pPr>
            <w:r>
              <w:rPr>
                <w:rFonts w:ascii="Arial" w:cs="Arial" w:eastAsia="Arial" w:hAnsi="Arial"/>
                <w:sz w:val="16"/>
                <w:szCs w:val="16"/>
                <w:color w:val="auto"/>
              </w:rPr>
              <w:t>N/A</w:t>
            </w:r>
          </w:p>
        </w:tc>
        <w:tc>
          <w:tcPr>
            <w:tcW w:w="1540" w:type="dxa"/>
            <w:vAlign w:val="bottom"/>
            <w:gridSpan w:val="2"/>
            <w:shd w:val="clear" w:color="auto" w:fill="CFF0FC"/>
          </w:tcPr>
          <w:p>
            <w:pPr>
              <w:ind w:left="1000"/>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840" w:type="dxa"/>
            <w:vAlign w:val="bottom"/>
          </w:tcPr>
          <w:p>
            <w:pPr>
              <w:ind w:left="260"/>
              <w:spacing w:after="0"/>
              <w:rPr>
                <w:sz w:val="20"/>
                <w:szCs w:val="20"/>
                <w:color w:val="auto"/>
              </w:rPr>
            </w:pPr>
            <w:r>
              <w:rPr>
                <w:rFonts w:ascii="Arial" w:cs="Arial" w:eastAsia="Arial" w:hAnsi="Arial"/>
                <w:sz w:val="16"/>
                <w:szCs w:val="16"/>
                <w:color w:val="auto"/>
              </w:rPr>
              <w:t>Mountaineer Casino, Racetrack &amp;</w:t>
            </w: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40" w:type="dxa"/>
            <w:vAlign w:val="bottom"/>
          </w:tcPr>
          <w:p>
            <w:pPr>
              <w:ind w:left="380"/>
              <w:spacing w:after="0"/>
              <w:rPr>
                <w:sz w:val="20"/>
                <w:szCs w:val="20"/>
                <w:color w:val="auto"/>
              </w:rPr>
            </w:pPr>
            <w:r>
              <w:rPr>
                <w:rFonts w:ascii="Arial" w:cs="Arial" w:eastAsia="Arial" w:hAnsi="Arial"/>
                <w:sz w:val="16"/>
                <w:szCs w:val="16"/>
                <w:color w:val="auto"/>
              </w:rPr>
              <w:t>Resort</w:t>
            </w:r>
          </w:p>
        </w:tc>
        <w:tc>
          <w:tcPr>
            <w:tcW w:w="1400" w:type="dxa"/>
            <w:vAlign w:val="bottom"/>
          </w:tcPr>
          <w:p>
            <w:pPr>
              <w:jc w:val="center"/>
              <w:spacing w:after="0"/>
              <w:rPr>
                <w:sz w:val="20"/>
                <w:szCs w:val="20"/>
                <w:color w:val="auto"/>
              </w:rPr>
            </w:pPr>
            <w:r>
              <w:rPr>
                <w:rFonts w:ascii="Arial" w:cs="Arial" w:eastAsia="Arial" w:hAnsi="Arial"/>
                <w:sz w:val="16"/>
                <w:szCs w:val="16"/>
                <w:color w:val="auto"/>
                <w:w w:val="89"/>
              </w:rPr>
              <w:t>2014</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1,486</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357</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75,500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Tropicana Casino and Resort, Atlantic</w:t>
            </w: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City</w:t>
            </w:r>
          </w:p>
        </w:tc>
        <w:tc>
          <w:tcPr>
            <w:tcW w:w="14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2018</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2,464</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2,366</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40" w:type="dxa"/>
            <w:vAlign w:val="bottom"/>
          </w:tcPr>
          <w:p>
            <w:pPr>
              <w:spacing w:after="0"/>
              <w:rPr>
                <w:sz w:val="20"/>
                <w:szCs w:val="20"/>
                <w:color w:val="auto"/>
              </w:rPr>
            </w:pPr>
            <w:r>
              <w:rPr>
                <w:rFonts w:ascii="Arial" w:cs="Arial" w:eastAsia="Arial" w:hAnsi="Arial"/>
                <w:sz w:val="16"/>
                <w:szCs w:val="16"/>
                <w:b w:val="1"/>
                <w:bCs w:val="1"/>
                <w:color w:val="auto"/>
              </w:rPr>
              <w:t>Central Region:</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Grand Victoria Casino</w:t>
            </w:r>
          </w:p>
        </w:tc>
        <w:tc>
          <w:tcPr>
            <w:tcW w:w="14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2018</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1,088</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2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ind w:left="1000"/>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40" w:type="dxa"/>
            <w:vAlign w:val="bottom"/>
          </w:tcPr>
          <w:p>
            <w:pPr>
              <w:ind w:left="260"/>
              <w:spacing w:after="0"/>
              <w:rPr>
                <w:sz w:val="20"/>
                <w:szCs w:val="20"/>
                <w:color w:val="auto"/>
              </w:rPr>
            </w:pPr>
            <w:r>
              <w:rPr>
                <w:rFonts w:ascii="Arial" w:cs="Arial" w:eastAsia="Arial" w:hAnsi="Arial"/>
                <w:sz w:val="16"/>
                <w:szCs w:val="16"/>
                <w:color w:val="auto"/>
              </w:rPr>
              <w:t>Lumière Place Casino</w:t>
            </w:r>
          </w:p>
        </w:tc>
        <w:tc>
          <w:tcPr>
            <w:tcW w:w="1400" w:type="dxa"/>
            <w:vAlign w:val="bottom"/>
          </w:tcPr>
          <w:p>
            <w:pPr>
              <w:jc w:val="center"/>
              <w:spacing w:after="0"/>
              <w:rPr>
                <w:sz w:val="20"/>
                <w:szCs w:val="20"/>
                <w:color w:val="auto"/>
              </w:rPr>
            </w:pPr>
            <w:r>
              <w:rPr>
                <w:rFonts w:ascii="Arial" w:cs="Arial" w:eastAsia="Arial" w:hAnsi="Arial"/>
                <w:sz w:val="16"/>
                <w:szCs w:val="16"/>
                <w:color w:val="auto"/>
                <w:w w:val="89"/>
              </w:rPr>
              <w:t>2018</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1,401</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58</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494</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Tropicana Evansville</w:t>
            </w:r>
          </w:p>
        </w:tc>
        <w:tc>
          <w:tcPr>
            <w:tcW w:w="14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2018</w:t>
            </w:r>
          </w:p>
        </w:tc>
        <w:tc>
          <w:tcPr>
            <w:tcW w:w="140" w:type="dxa"/>
            <w:vAlign w:val="bottom"/>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1,128</w:t>
            </w:r>
          </w:p>
        </w:tc>
        <w:tc>
          <w:tcPr>
            <w:tcW w:w="260" w:type="dxa"/>
            <w:vAlign w:val="bottom"/>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260" w:type="dxa"/>
            <w:vAlign w:val="bottom"/>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338</w:t>
            </w:r>
          </w:p>
        </w:tc>
        <w:tc>
          <w:tcPr>
            <w:tcW w:w="260" w:type="dxa"/>
            <w:vAlign w:val="bottom"/>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45,400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84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29,813</w:t>
            </w:r>
          </w:p>
        </w:tc>
        <w:tc>
          <w:tcPr>
            <w:tcW w:w="26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843</w:t>
            </w:r>
          </w:p>
        </w:tc>
        <w:tc>
          <w:tcPr>
            <w:tcW w:w="26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12,594</w:t>
            </w:r>
          </w:p>
        </w:tc>
        <w:tc>
          <w:tcPr>
            <w:tcW w:w="26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1,434,300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560" w:right="400" w:hanging="552"/>
        <w:spacing w:after="0" w:line="277"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sold Presque Isle Downs &amp; Casino in January 2019 and have entered into an agreement to sell Lady Luck Casino Nemacolin. The Lady Luck Casino Nemacolin sale is expected to close in the first quarter of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 Region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West segment consists of seven properties in Nevada and Colorado.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Eldorado Resort Casino Reno</w:t>
      </w:r>
    </w:p>
    <w:p>
      <w:pPr>
        <w:spacing w:after="0" w:line="117" w:lineRule="exact"/>
        <w:rPr>
          <w:sz w:val="20"/>
          <w:szCs w:val="20"/>
          <w:color w:val="auto"/>
        </w:rPr>
      </w:pPr>
    </w:p>
    <w:p>
      <w:pPr>
        <w:ind w:right="80" w:firstLine="555"/>
        <w:spacing w:after="0" w:line="273" w:lineRule="auto"/>
        <w:rPr>
          <w:sz w:val="20"/>
          <w:szCs w:val="20"/>
          <w:color w:val="auto"/>
        </w:rPr>
      </w:pPr>
      <w:r>
        <w:rPr>
          <w:rFonts w:ascii="Arial" w:cs="Arial" w:eastAsia="Arial" w:hAnsi="Arial"/>
          <w:sz w:val="17"/>
          <w:szCs w:val="17"/>
          <w:color w:val="auto"/>
        </w:rPr>
        <w:t>Eldorado Resort Casino Reno (“Eldorado Reno”) is a premier hotel, casino and entertainment facility. The interior of the hotel is designed to create a European ambiance where hotel guests enjoy panoramic views of Reno’s skyline and the majestic Sierra Nevada mountain range. Eldorado Reno is centrally located in downtown Reno, Nevada. Eldorado Reno includes a casino, 11 restaurants, a showroom, VIP room, retail shops, convention center and an outdoor plaza located diagonal to Eldorado Reno which hosts a variety of special events. Eldorado Reno is connected with our other two Reno properties, Silver Legacy and Circus Reno, in a “seamless” manner by enclosed climate controlled skywalks (branded as “the Row”). The Row draws from residents of the Reno area as well as tourist visitation from northern California and the Pacific Northwest.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Silver Legacy Resort Casino</w:t>
      </w:r>
    </w:p>
    <w:p>
      <w:pPr>
        <w:spacing w:after="0" w:line="117"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 xml:space="preserve">Silver Legacy is the tallest building in northern Nevada consisting of 37-, 34- and 31-floor tiers. Silver Legacy’s opulent interior showcases a casino built around Sam Fairchild’s 120-foot tall mining rig, which appears to mine for silver. The rig is situated beneath a 180-foot diameter dome, which is a distinctive landmark on the Reno skyline. The Silver Legacy is centrally located in downtown Reno, Nevada and offers a casino, six restaurants, including the recently opened Ruth’s Chris Steak House, a 21,000 square-foot spa which opened in the fourth quarter of 2018, </w:t>
      </w:r>
      <w:r>
        <w:rPr>
          <w:rFonts w:ascii="Arial" w:cs="Arial" w:eastAsia="Arial" w:hAnsi="Arial"/>
          <w:sz w:val="18"/>
          <w:szCs w:val="18"/>
          <w:i w:val="1"/>
          <w:iCs w:val="1"/>
          <w:color w:val="auto"/>
        </w:rPr>
        <w:t>The Spa at Silver Legacy,</w:t>
      </w:r>
      <w:r>
        <w:rPr>
          <w:rFonts w:ascii="Arial" w:cs="Arial" w:eastAsia="Arial" w:hAnsi="Arial"/>
          <w:sz w:val="18"/>
          <w:szCs w:val="18"/>
          <w:color w:val="auto"/>
        </w:rPr>
        <w:t xml:space="preserve"> an outdoor swimming pool and sundeck and retail shops.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Circus Circus Reno</w:t>
      </w:r>
    </w:p>
    <w:p>
      <w:pPr>
        <w:spacing w:after="0" w:line="117" w:lineRule="exact"/>
        <w:rPr>
          <w:sz w:val="20"/>
          <w:szCs w:val="20"/>
          <w:color w:val="auto"/>
        </w:rPr>
      </w:pPr>
    </w:p>
    <w:p>
      <w:pPr>
        <w:ind w:right="80" w:firstLine="555"/>
        <w:spacing w:after="0" w:line="221" w:lineRule="exact"/>
        <w:rPr>
          <w:sz w:val="20"/>
          <w:szCs w:val="20"/>
          <w:color w:val="auto"/>
        </w:rPr>
      </w:pPr>
      <w:r>
        <w:rPr>
          <w:rFonts w:ascii="Arial" w:cs="Arial" w:eastAsia="Arial" w:hAnsi="Arial"/>
          <w:sz w:val="18"/>
          <w:szCs w:val="18"/>
          <w:color w:val="auto"/>
        </w:rPr>
        <w:t>Circus Reno is an iconic, circus</w:t>
      </w:r>
      <w:r>
        <w:rPr>
          <w:rFonts w:ascii="MS PGothic" w:cs="MS PGothic" w:eastAsia="MS PGothic" w:hAnsi="MS PGothic"/>
          <w:sz w:val="18"/>
          <w:szCs w:val="18"/>
          <w:color w:val="auto"/>
        </w:rPr>
        <w:t>‑</w:t>
      </w:r>
      <w:r>
        <w:rPr>
          <w:rFonts w:ascii="Arial" w:cs="Arial" w:eastAsia="Arial" w:hAnsi="Arial"/>
          <w:sz w:val="18"/>
          <w:szCs w:val="18"/>
          <w:color w:val="auto"/>
        </w:rPr>
        <w:t>themed hotel</w:t>
      </w:r>
      <w:r>
        <w:rPr>
          <w:rFonts w:ascii="MS PGothic" w:cs="MS PGothic" w:eastAsia="MS PGothic" w:hAnsi="MS PGothic"/>
          <w:sz w:val="18"/>
          <w:szCs w:val="18"/>
          <w:color w:val="auto"/>
        </w:rPr>
        <w:t>‑</w:t>
      </w:r>
      <w:r>
        <w:rPr>
          <w:rFonts w:ascii="Arial" w:cs="Arial" w:eastAsia="Arial" w:hAnsi="Arial"/>
          <w:sz w:val="18"/>
          <w:szCs w:val="18"/>
          <w:color w:val="auto"/>
        </w:rPr>
        <w:t>casino and entertainment complex with two hotel towers. It is conveniently located as the first casino directly off Interstate 80 when entering downtown Reno, Nevada. Circus Reno offers a casino, eight dining venues including a recently renovated food court, a midway featuring over 150 games, live circus acts, an arcade and a full service wedding chapel.</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Isle Casino Hotel-Black Hawk</w:t>
      </w:r>
    </w:p>
    <w:p>
      <w:pPr>
        <w:spacing w:after="0" w:line="117"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Isle Casino Hotel-Black Hawk (“Isle Black Hawk”) is one of the first gaming facilities reached by customers arriving from Denver via Highway 119, the main thoroughfare connecting Denver to Black Hawk. Black Hawk is located approximately 40 miles east of the Denver, Colorado metropolitan area which serves as Isle Black Hawk’s primary feeder market. The property includes a casino, hotel, three dining venues, approximately 5,000 square feet of flexible space that can be used for meetings and special events, along with numerous surface parking spaces and an attached parking garage. Isle Black Hawk is connected to our Lady Luck Casino-Black Hawk property via sky bridges.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Lady Luck Casino-Black Hawk</w:t>
      </w:r>
    </w:p>
    <w:p>
      <w:pPr>
        <w:spacing w:after="0" w:line="117"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Lady Luck Casino-Black Hawk (“Lady Luck Black Hawk”) is located across the intersection of Main Street and Mill Street from the Isle Black Hawk. The property consists of a casino, hotel, a restaurant, approximately 2,250 square feet of flexible space that can be used for meetings and special events, along with numerous surface parking spaces. Lady Luck Black Hawk is connected to our Isle Casino Hotel-Black Hawk property via sky bridges. The Denver, Colorado metropolitan area also serves as Lady Luck Black Hawk’s primary feeder market.</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 Laughlin Hotel and Casino</w:t>
      </w:r>
    </w:p>
    <w:p>
      <w:pPr>
        <w:spacing w:after="0" w:line="117" w:lineRule="exact"/>
        <w:rPr>
          <w:sz w:val="20"/>
          <w:szCs w:val="20"/>
          <w:color w:val="auto"/>
        </w:rPr>
      </w:pPr>
    </w:p>
    <w:p>
      <w:pPr>
        <w:ind w:right="200" w:firstLine="555"/>
        <w:spacing w:after="0" w:line="279" w:lineRule="auto"/>
        <w:rPr>
          <w:sz w:val="20"/>
          <w:szCs w:val="20"/>
          <w:color w:val="auto"/>
        </w:rPr>
      </w:pPr>
      <w:r>
        <w:rPr>
          <w:rFonts w:ascii="Arial" w:cs="Arial" w:eastAsia="Arial" w:hAnsi="Arial"/>
          <w:sz w:val="17"/>
          <w:szCs w:val="17"/>
          <w:color w:val="auto"/>
        </w:rPr>
        <w:t>Tropicana Laughlin Hotel and Casino ("Tropicana Laughlin") is located on an approximately 31-acre site on Casino Drive, Laughlin, Nevada's principal thoroughfare. Amenities include a hotel, a heated outdoor swimming pool, seven restaurants, an entertainment lounge with live music, a premium lounge for high-end players, an 800-seat multi-purpose showroom and concert hall, meeting and convention space, retail stores, an arcade and a covered parking structure. Tropicana Laughlin primarily draws customers from southern California and Arizona.</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MontBleu Casino Resort &amp; Spa</w:t>
      </w:r>
    </w:p>
    <w:p>
      <w:pPr>
        <w:spacing w:after="0" w:line="117"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MontBleu Casino Resort &amp; Spa (“MontBleu”) is situated on approximately 21 acres in South Lake Tahoe, Nevada surrounded by the Sierra Nevada Mountains. In addition to the casino, the property offers a hotel, three restaurants and various non-gaming amenities, including retail shops, two nightclubs, a 1,300-seat showroom, approximately 14,000 square feet of meeting and convention space, a parking garage, a full-service health spa and workout area, an indoor heated lagoon-style pool with whirlpool and a 110-seat wedding chapel. MontBleu’s primary feeder markets include Northern California, the Reno area and the Pacific Northwest.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Midwest Region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Midwest segment consists of six properties, four of which are dockside casinos and two land-based casinos, located in Iowa and Missouri.</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Isle Casino Waterloo</w:t>
      </w:r>
    </w:p>
    <w:p>
      <w:pPr>
        <w:spacing w:after="0" w:line="117"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Isle Casino Waterloo (“Waterloo”) is located in Iowa adjacent to Highway 218 and US 20. The property consists of a single-level land-based casino and offers a wide variety of non-gaming amenities including a hotel and three restaurants. Waterloo primarily draws customers from within a twenty-five mile radius of the property. The property also attracts customers from Cedar Rapids and Mason City, Iowa.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Isle Casino Bettendorf</w:t>
      </w:r>
    </w:p>
    <w:p>
      <w:pPr>
        <w:spacing w:after="0" w:line="117" w:lineRule="exact"/>
        <w:rPr>
          <w:sz w:val="20"/>
          <w:szCs w:val="20"/>
          <w:color w:val="auto"/>
        </w:rPr>
      </w:pPr>
    </w:p>
    <w:p>
      <w:pPr>
        <w:ind w:right="180" w:firstLine="555"/>
        <w:spacing w:after="0" w:line="259" w:lineRule="auto"/>
        <w:rPr>
          <w:sz w:val="20"/>
          <w:szCs w:val="20"/>
          <w:color w:val="auto"/>
        </w:rPr>
      </w:pPr>
      <w:r>
        <w:rPr>
          <w:rFonts w:ascii="Arial" w:cs="Arial" w:eastAsia="Arial" w:hAnsi="Arial"/>
          <w:sz w:val="18"/>
          <w:szCs w:val="18"/>
          <w:color w:val="auto"/>
        </w:rPr>
        <w:t>Isle Casino Bettendorf (“Bettendorf”) is located in Iowa off Interstate 74, an interstate highway serving the Quad Cities metropolitan area, which consists of Bettendorf and Davenport, Iowa and Moline and Rock Island, Illinois. Bettendorf consists of a land-based casino, three dining venues, two hotel towers and 40,000 square feet of convention and banquet space. The Quad Cities metropolitan area currently has three gaming operations, including our gaming facility, and is the main feeder market for Bettendorf.</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Isle of Capri Casino Boonville</w:t>
      </w:r>
    </w:p>
    <w:p>
      <w:pPr>
        <w:spacing w:after="0" w:line="117" w:lineRule="exact"/>
        <w:rPr>
          <w:sz w:val="20"/>
          <w:szCs w:val="20"/>
          <w:color w:val="auto"/>
        </w:rPr>
      </w:pPr>
    </w:p>
    <w:p>
      <w:pPr>
        <w:ind w:right="100" w:firstLine="555"/>
        <w:spacing w:after="0" w:line="286" w:lineRule="auto"/>
        <w:rPr>
          <w:sz w:val="20"/>
          <w:szCs w:val="20"/>
          <w:color w:val="auto"/>
        </w:rPr>
      </w:pPr>
      <w:r>
        <w:rPr>
          <w:rFonts w:ascii="Arial" w:cs="Arial" w:eastAsia="Arial" w:hAnsi="Arial"/>
          <w:sz w:val="17"/>
          <w:szCs w:val="17"/>
          <w:color w:val="auto"/>
        </w:rPr>
        <w:t>Isle of Capri Casino Boonville (“Boonville”) is located in Missouri three miles off Interstate 70, approximately halfway between Kansas City and St. Louis. It is the only gaming facility in central Missouri. The property consists of a single level dockside casino, three dining venues and offers a 32,400 square foot pavilion and entertainment center. Boonville attracts customers primarily from the Columbia and Jefferson City areas.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Isle Casino Cape Girardeau</w:t>
      </w:r>
    </w:p>
    <w:p>
      <w:pPr>
        <w:spacing w:after="0" w:line="117"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Isle Casino Cape Girardeau (“Cape Girardeau”) is located three and a half miles from Interstate 55 in Southeast Missouri, approximately 120 miles south of St. Louis, Missouri. Cape Girardeau consists of a dockside casino, three dining venues and a pavilion and entertainment center with a wide variety of non-gaming amenities, including an events center, and overlooks the Mississippi river. Cape Girardeau primarily attracts customers from within a fifty-mile radius of the property.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Lady Luck Casino Caruthersville</w:t>
      </w:r>
    </w:p>
    <w:p>
      <w:pPr>
        <w:spacing w:after="0" w:line="117" w:lineRule="exact"/>
        <w:rPr>
          <w:sz w:val="20"/>
          <w:szCs w:val="20"/>
          <w:color w:val="auto"/>
        </w:rPr>
      </w:pPr>
    </w:p>
    <w:p>
      <w:pPr>
        <w:ind w:right="500" w:firstLine="555"/>
        <w:spacing w:after="0" w:line="302" w:lineRule="auto"/>
        <w:rPr>
          <w:sz w:val="20"/>
          <w:szCs w:val="20"/>
          <w:color w:val="auto"/>
        </w:rPr>
      </w:pPr>
      <w:r>
        <w:rPr>
          <w:rFonts w:ascii="Arial" w:cs="Arial" w:eastAsia="Arial" w:hAnsi="Arial"/>
          <w:sz w:val="16"/>
          <w:szCs w:val="16"/>
          <w:color w:val="auto"/>
        </w:rPr>
        <w:t>Lady Luck Casino Caruthersville (“Caruthersville”) is a riverboat casino located in Missouri along the Mississippi River in Southeast Missouri. Caruthersville consists of a dockside casino, two dining venues, a 40,000 square foot pavilion and a 28-space RV park. Cape Girardeau is located approximately 85 miles north of Caruthersville. Caruthersville draws a significant amount of customers from the state of Tennessee including the communities of Dyersburg and Jackson. The property also attracts customers from Blytheville, Paragould and Jonesboro, Arkansas.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Isle of Capri Casino Kansas City</w:t>
      </w:r>
    </w:p>
    <w:p>
      <w:pPr>
        <w:spacing w:after="0" w:line="117"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color w:val="auto"/>
        </w:rPr>
        <w:t>Isle of Capri Kansas City (“Kansas City”) consists of a dockside casino and two dining venues. It is the closest gaming facility to downtown Kansas City, Missouri. Kansas City attracts customers primarily from the Kansas City metropolitan area.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 Region</w:t>
      </w:r>
    </w:p>
    <w:p>
      <w:pPr>
        <w:spacing w:after="0" w:line="121"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color w:val="auto"/>
        </w:rPr>
        <w:t>The South segment consists of seven properties, including five dockside casinos in Louisiana and Mississippi, one land-based casino in Mississippi and one racino in Florida.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Isle Casino Racing Pompano Park</w:t>
      </w:r>
    </w:p>
    <w:p>
      <w:pPr>
        <w:spacing w:after="0" w:line="117" w:lineRule="exact"/>
        <w:rPr>
          <w:sz w:val="20"/>
          <w:szCs w:val="20"/>
          <w:color w:val="auto"/>
        </w:rPr>
      </w:pPr>
    </w:p>
    <w:p>
      <w:pPr>
        <w:ind w:right="60" w:firstLine="555"/>
        <w:spacing w:after="0" w:line="276" w:lineRule="auto"/>
        <w:rPr>
          <w:sz w:val="20"/>
          <w:szCs w:val="20"/>
          <w:color w:val="auto"/>
        </w:rPr>
      </w:pPr>
      <w:r>
        <w:rPr>
          <w:rFonts w:ascii="Arial" w:cs="Arial" w:eastAsia="Arial" w:hAnsi="Arial"/>
          <w:sz w:val="17"/>
          <w:szCs w:val="17"/>
          <w:color w:val="auto"/>
        </w:rPr>
        <w:t>Isle Casino Racing Pompano Park (“Pompano”), a casino and harness racing track located in Pompano Beach, Florida, is located off Interstate 95 and the Florida Turnpike on a 223-acre owned site, near Fort Lauderdale, midway between Miami and West Palm Beach. Pompano offers four dining venues and is the only racetrack licensed to conduct harness racing in Florida. In April 2018, we announced the formation of a joint venture with the Cordish Companies (“Cordish”) to master plan and develop a mixed-use entertainment and hospitality destination expected to be located on unused land adjacent to the casino and racetrack. Pompano primarily attracts customers from with a 25-mile radius of the property.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Eldorado Resort Casino Shreveport</w:t>
      </w:r>
    </w:p>
    <w:p>
      <w:pPr>
        <w:spacing w:after="0" w:line="117"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Eldorado Resort Casino Shreveport (“Eldorado Shreveport”) is a premier resort with a tri-level riverboat casino and an all-suite art deco-style hotel located in Shreveport, Louisiana adjacent to Interstate 20, a major highway that connects the Shreveport market with the attractive feeder markets of East Texas and Dallas/Fort Worth, Texas. The property offers five restaurants, including a gourmet steakhouse, and a 380-seat grand ballroom. The principal target markets for Eldorado Shreveport are patrons from the Dallas/Fort Worth Metroplex and East Texas, which provides Eldorado Shreveport access to a large customer base within approximately 200 miles of Shreveport.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Isle of Capri Casino Lula</w:t>
      </w:r>
    </w:p>
    <w:p>
      <w:pPr>
        <w:spacing w:after="0" w:line="117"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Isle of Capri Casino Lula (“Lula”) is located off of Highway 49, the only road crossing the Mississippi River between Mississippi and Arkansas for more than 50 miles in either direction. Lula consists of two dockside casinos, three dining venues and a land-based pavilion and entertainment center. Lula draws a significant amount of business from the Little Rock, Arkansas metropolitan area, which is located approximately 120 miles west of the property. Lula is also located approximately 60 miles southwest of Memphis, Tennessee.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Lady Luck Casino Vicksburg</w:t>
      </w:r>
    </w:p>
    <w:p>
      <w:pPr>
        <w:spacing w:after="0" w:line="117"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color w:val="auto"/>
        </w:rPr>
        <w:t>Lady Luck Vicksburg (“Vicksburg”) is located off Interstate 20 and Highway 61 in western Mississippi, approximately 50 miles west of Jackson, Mississippi, and consists of a dockside casino, hotel and four dining venues. Vicksburg’s customers are drawn primarily from within a 60-mile radius of the property.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Isle of Capri Casino Hotel Lake Charles</w:t>
      </w:r>
    </w:p>
    <w:p>
      <w:pPr>
        <w:spacing w:after="0" w:line="117" w:lineRule="exact"/>
        <w:rPr>
          <w:sz w:val="20"/>
          <w:szCs w:val="20"/>
          <w:color w:val="auto"/>
        </w:rPr>
      </w:pPr>
    </w:p>
    <w:p>
      <w:pPr>
        <w:ind w:right="80" w:firstLine="555"/>
        <w:spacing w:after="0" w:line="257" w:lineRule="auto"/>
        <w:rPr>
          <w:sz w:val="20"/>
          <w:szCs w:val="20"/>
          <w:color w:val="auto"/>
        </w:rPr>
      </w:pPr>
      <w:r>
        <w:rPr>
          <w:rFonts w:ascii="Arial" w:cs="Arial" w:eastAsia="Arial" w:hAnsi="Arial"/>
          <w:sz w:val="18"/>
          <w:szCs w:val="18"/>
          <w:color w:val="auto"/>
        </w:rPr>
        <w:t>Isle of Capri Casino Hotel Lake Charles (“Lake Charles”) is located on a 19-acre site along Interstate 10, the main thoroughfare connecting Houston, Texas to Lake Charles, Louisiana. Lake Charles offers a dockside casino, three dining venues and a 14,750 square foot entertainment center comprised of a 1,142-seat special events center designed for concerts, banquets and other events, meeting facilities and administrative offices. Lake Charles is the closest gaming market to the Houston metropolitan area, which is located approximately 140 miles west of Lake Charles. Lake Charles attracts customers primarily from southeast Texas and from local residents.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 Casino Greenville</w:t>
      </w:r>
    </w:p>
    <w:p>
      <w:pPr>
        <w:spacing w:after="0" w:line="117" w:lineRule="exact"/>
        <w:rPr>
          <w:sz w:val="20"/>
          <w:szCs w:val="20"/>
          <w:color w:val="auto"/>
        </w:rPr>
      </w:pPr>
    </w:p>
    <w:p>
      <w:pPr>
        <w:ind w:right="160" w:firstLine="555"/>
        <w:spacing w:after="0" w:line="259" w:lineRule="auto"/>
        <w:rPr>
          <w:sz w:val="20"/>
          <w:szCs w:val="20"/>
          <w:color w:val="auto"/>
        </w:rPr>
      </w:pPr>
      <w:r>
        <w:rPr>
          <w:rFonts w:ascii="Arial" w:cs="Arial" w:eastAsia="Arial" w:hAnsi="Arial"/>
          <w:sz w:val="18"/>
          <w:szCs w:val="18"/>
          <w:color w:val="auto"/>
        </w:rPr>
        <w:t>Trop Casino Greenville (“Greenville”), located in Greenville, Mississippi, is a land-based gaming facility with slot machines and table games, two restaurants, a bar and 734 onsite parking spaces. The property also leases and operates the Greenville Inn &amp; Suites, located less than a mile from the casino, and offers free shuttle service to and from Greenville. The property draws customers primarily from the local market and, to some extent, from the Little Rock, Vicksburg and Tunica markets.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Belle of Baton Rouge Casino &amp; Hotel</w:t>
      </w:r>
    </w:p>
    <w:p>
      <w:pPr>
        <w:spacing w:after="0" w:line="117"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Belle of Baton Rouge Casino &amp; Hotel (“Baton Rouge”) is a dockside riverboat situated on approximately 23 acres on the Mississippi River in the downtown historic district of Baton Rouge, Louisiana. Amenities include a hotel, 25,000 square feet of meeting space, an outdoor pool, a fitness center, three dining venues and an entertainment venue inside a 56,000-square-foot glass atrium. The majority of Baton Rouge’s customers are drawn from within a 50-mile radius of the property.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 Region</w:t>
      </w:r>
    </w:p>
    <w:p>
      <w:pPr>
        <w:spacing w:after="0" w:line="121" w:lineRule="exact"/>
        <w:rPr>
          <w:sz w:val="20"/>
          <w:szCs w:val="20"/>
          <w:color w:val="auto"/>
        </w:rPr>
      </w:pPr>
    </w:p>
    <w:p>
      <w:pPr>
        <w:ind w:right="940" w:firstLine="555"/>
        <w:spacing w:after="0" w:line="277" w:lineRule="auto"/>
        <w:rPr>
          <w:sz w:val="20"/>
          <w:szCs w:val="20"/>
          <w:color w:val="auto"/>
        </w:rPr>
      </w:pPr>
      <w:r>
        <w:rPr>
          <w:rFonts w:ascii="Arial" w:cs="Arial" w:eastAsia="Arial" w:hAnsi="Arial"/>
          <w:sz w:val="18"/>
          <w:szCs w:val="18"/>
          <w:color w:val="auto"/>
        </w:rPr>
        <w:t>The East segment consists of five properties, including three racinos located in Pennsylvania, Ohio and West Virginia, and two casinos in Pennsylvania and New Jersey.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Presque Isle Downs &amp; Casino</w:t>
      </w:r>
    </w:p>
    <w:p>
      <w:pPr>
        <w:spacing w:after="0" w:line="117" w:lineRule="exact"/>
        <w:rPr>
          <w:sz w:val="20"/>
          <w:szCs w:val="20"/>
          <w:color w:val="auto"/>
        </w:rPr>
      </w:pPr>
    </w:p>
    <w:p>
      <w:pPr>
        <w:ind w:right="140" w:firstLine="555"/>
        <w:spacing w:after="0" w:line="220" w:lineRule="exact"/>
        <w:rPr>
          <w:sz w:val="20"/>
          <w:szCs w:val="20"/>
          <w:color w:val="auto"/>
        </w:rPr>
      </w:pPr>
      <w:r>
        <w:rPr>
          <w:rFonts w:ascii="Arial" w:cs="Arial" w:eastAsia="Arial" w:hAnsi="Arial"/>
          <w:sz w:val="17"/>
          <w:szCs w:val="17"/>
          <w:color w:val="auto"/>
        </w:rPr>
        <w:t>Presque Isle Downs &amp; Casino (“Presque Isle Downs”) is a casino and live thoroughbred horse racing facility located along Interstate 90 in Erie, Pennsylvania. The property offers live thoroughbred horse racing conducted from May through September and on</w:t>
      </w:r>
      <w:r>
        <w:rPr>
          <w:rFonts w:ascii="MS PGothic" w:cs="MS PGothic" w:eastAsia="MS PGothic" w:hAnsi="MS PGothic"/>
          <w:sz w:val="17"/>
          <w:szCs w:val="17"/>
          <w:color w:val="auto"/>
        </w:rPr>
        <w:t>‑</w:t>
      </w:r>
      <w:r>
        <w:rPr>
          <w:rFonts w:ascii="Arial" w:cs="Arial" w:eastAsia="Arial" w:hAnsi="Arial"/>
          <w:sz w:val="17"/>
          <w:szCs w:val="17"/>
          <w:color w:val="auto"/>
        </w:rPr>
        <w:t>site pari</w:t>
      </w:r>
      <w:r>
        <w:rPr>
          <w:rFonts w:ascii="MS PGothic" w:cs="MS PGothic" w:eastAsia="MS PGothic" w:hAnsi="MS PGothic"/>
          <w:sz w:val="17"/>
          <w:szCs w:val="17"/>
          <w:color w:val="auto"/>
        </w:rPr>
        <w:t>‑</w:t>
      </w:r>
      <w:r>
        <w:rPr>
          <w:rFonts w:ascii="Arial" w:cs="Arial" w:eastAsia="Arial" w:hAnsi="Arial"/>
          <w:sz w:val="17"/>
          <w:szCs w:val="17"/>
          <w:color w:val="auto"/>
        </w:rPr>
        <w:t>mutuel wagering and thoroughbred and harness racing simulcast from other prominent tracks, as well as wagering on Presque Isle Downs’ races. Additionally, the property offers four dining venues. Presque Isle Downs’ primary customers are locals or customers who reside within shorter distances from the property.</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Lady Luck Casino Nemacolin</w:t>
      </w:r>
    </w:p>
    <w:p>
      <w:pPr>
        <w:spacing w:after="0" w:line="11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Lady Luck Casino Nemacolin (“Nemacolin”) is a casino located on the 2,000-acre Nemacolin Woodlands Resort in Western Pennsylvania. Nemacolin is the only casino in Fayette County, Pennsylvania. The property offers one dining option. Nemacolin attracts customers staying at the Nemacolin Woodlands Resort as well as from the 2.5 million people who reside within 60 miles of the property.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Eldorado Gaming Scioto Downs</w:t>
      </w:r>
    </w:p>
    <w:p>
      <w:pPr>
        <w:spacing w:after="0" w:line="117" w:lineRule="exact"/>
        <w:rPr>
          <w:sz w:val="20"/>
          <w:szCs w:val="20"/>
          <w:color w:val="auto"/>
        </w:rPr>
      </w:pPr>
    </w:p>
    <w:p>
      <w:pPr>
        <w:ind w:right="20" w:firstLine="555"/>
        <w:spacing w:after="0" w:line="219" w:lineRule="exact"/>
        <w:rPr>
          <w:sz w:val="20"/>
          <w:szCs w:val="20"/>
          <w:color w:val="auto"/>
        </w:rPr>
      </w:pPr>
      <w:r>
        <w:rPr>
          <w:rFonts w:ascii="Arial" w:cs="Arial" w:eastAsia="Arial" w:hAnsi="Arial"/>
          <w:sz w:val="17"/>
          <w:szCs w:val="17"/>
          <w:color w:val="auto"/>
        </w:rPr>
        <w:t>Eldorado Gaming Scioto Downs (“Scioto Downs”) is a modern “racino” located in the heart of central Ohio, off Highway 23/South High Street, approximately eight miles from downtown Columbus. Scioto Downs is one of only two licensed gaming facilities in the Columbus area. Scioto Downs racino offers live standard bred harness horse racing conducted from May through mid</w:t>
      </w:r>
      <w:r>
        <w:rPr>
          <w:rFonts w:ascii="MS PGothic" w:cs="MS PGothic" w:eastAsia="MS PGothic" w:hAnsi="MS PGothic"/>
          <w:sz w:val="17"/>
          <w:szCs w:val="17"/>
          <w:color w:val="auto"/>
        </w:rPr>
        <w:t>‑</w:t>
      </w:r>
      <w:r>
        <w:rPr>
          <w:rFonts w:ascii="Arial" w:cs="Arial" w:eastAsia="Arial" w:hAnsi="Arial"/>
          <w:sz w:val="17"/>
          <w:szCs w:val="17"/>
          <w:color w:val="auto"/>
        </w:rPr>
        <w:t>September and on</w:t>
      </w:r>
      <w:r>
        <w:rPr>
          <w:rFonts w:ascii="MS PGothic" w:cs="MS PGothic" w:eastAsia="MS PGothic" w:hAnsi="MS PGothic"/>
          <w:sz w:val="17"/>
          <w:szCs w:val="17"/>
          <w:color w:val="auto"/>
        </w:rPr>
        <w:t>‑</w:t>
      </w:r>
      <w:r>
        <w:rPr>
          <w:rFonts w:ascii="Arial" w:cs="Arial" w:eastAsia="Arial" w:hAnsi="Arial"/>
          <w:sz w:val="17"/>
          <w:szCs w:val="17"/>
          <w:color w:val="auto"/>
        </w:rPr>
        <w:t>site pari</w:t>
      </w:r>
      <w:r>
        <w:rPr>
          <w:rFonts w:ascii="MS PGothic" w:cs="MS PGothic" w:eastAsia="MS PGothic" w:hAnsi="MS PGothic"/>
          <w:sz w:val="17"/>
          <w:szCs w:val="17"/>
          <w:color w:val="auto"/>
        </w:rPr>
        <w:t>‑</w:t>
      </w:r>
      <w:r>
        <w:rPr>
          <w:rFonts w:ascii="Arial" w:cs="Arial" w:eastAsia="Arial" w:hAnsi="Arial"/>
          <w:sz w:val="17"/>
          <w:szCs w:val="17"/>
          <w:color w:val="auto"/>
        </w:rPr>
        <w:t>mutuel wagering and thoroughbred, harness and greyhound racing simulcast from other prominent tracks, as well as wagering on Scioto Downs’ races. Scioto Downs also offers three dining venues and a 118-room third party hotel connected to the casino. Scioto Downs attracts customers primarily from the greater Columbus area.</w:t>
      </w:r>
    </w:p>
    <w:p>
      <w:pPr>
        <w:spacing w:after="0" w:line="205" w:lineRule="exact"/>
        <w:rPr>
          <w:sz w:val="20"/>
          <w:szCs w:val="20"/>
          <w:color w:val="auto"/>
        </w:rPr>
      </w:pPr>
    </w:p>
    <w:p>
      <w:pPr>
        <w:ind w:right="280" w:firstLine="555"/>
        <w:spacing w:after="0" w:line="308" w:lineRule="auto"/>
        <w:rPr>
          <w:sz w:val="20"/>
          <w:szCs w:val="20"/>
          <w:color w:val="auto"/>
        </w:rPr>
      </w:pPr>
      <w:r>
        <w:rPr>
          <w:rFonts w:ascii="Arial" w:cs="Arial" w:eastAsia="Arial" w:hAnsi="Arial"/>
          <w:sz w:val="17"/>
          <w:szCs w:val="17"/>
          <w:color w:val="auto"/>
        </w:rPr>
        <w:t>In addition, Scioto Downs, through its subsidiary RacelineBet, Inc., also operates Racelinebet.com, a national account wagering service that offers online and telephone wagering on horse races as a marketing affiliate of TwinSpires.com, an affiliate of Churchill Downs Incorporated.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Mountaineer Casino, Racetrack &amp; Resort</w:t>
      </w:r>
    </w:p>
    <w:p>
      <w:pPr>
        <w:spacing w:after="0" w:line="117" w:lineRule="exact"/>
        <w:rPr>
          <w:sz w:val="20"/>
          <w:szCs w:val="20"/>
          <w:color w:val="auto"/>
        </w:rPr>
      </w:pPr>
    </w:p>
    <w:p>
      <w:pPr>
        <w:ind w:right="40" w:firstLine="555"/>
        <w:spacing w:after="0" w:line="219" w:lineRule="exact"/>
        <w:rPr>
          <w:sz w:val="20"/>
          <w:szCs w:val="20"/>
          <w:color w:val="auto"/>
        </w:rPr>
      </w:pPr>
      <w:r>
        <w:rPr>
          <w:rFonts w:ascii="Arial" w:cs="Arial" w:eastAsia="Arial" w:hAnsi="Arial"/>
          <w:sz w:val="18"/>
          <w:szCs w:val="18"/>
          <w:color w:val="auto"/>
        </w:rPr>
        <w:t>Mountaineer Casino, Racetrack &amp; Resort (“Mountaineer”) is a hotel, casino, entertainment and live thoroughbred horse racing facility located on the Ohio River at the northern tip of West Virginia’s northwestern panhandle approximately thirty miles from the Pittsburgh International Airport and a one</w:t>
      </w:r>
      <w:r>
        <w:rPr>
          <w:rFonts w:ascii="MS PGothic" w:cs="MS PGothic" w:eastAsia="MS PGothic" w:hAnsi="MS PGothic"/>
          <w:sz w:val="18"/>
          <w:szCs w:val="18"/>
          <w:color w:val="auto"/>
        </w:rPr>
        <w:t>‑</w:t>
      </w:r>
      <w:r>
        <w:rPr>
          <w:rFonts w:ascii="Arial" w:cs="Arial" w:eastAsia="Arial" w:hAnsi="Arial"/>
          <w:sz w:val="18"/>
          <w:szCs w:val="18"/>
          <w:color w:val="auto"/>
        </w:rPr>
        <w:t>hour drive from downtown Pittsburgh. Mountaineer is a diverse gaming, entertainment and convention complex offering live thoroughbred horse racing conducted from March through December and on</w:t>
      </w:r>
      <w:r>
        <w:rPr>
          <w:rFonts w:ascii="MS PGothic" w:cs="MS PGothic" w:eastAsia="MS PGothic" w:hAnsi="MS PGothic"/>
          <w:sz w:val="18"/>
          <w:szCs w:val="18"/>
          <w:color w:val="auto"/>
        </w:rPr>
        <w:t>‑</w:t>
      </w:r>
      <w:r>
        <w:rPr>
          <w:rFonts w:ascii="Arial" w:cs="Arial" w:eastAsia="Arial" w:hAnsi="Arial"/>
          <w:sz w:val="18"/>
          <w:szCs w:val="18"/>
          <w:color w:val="auto"/>
        </w:rPr>
        <w:t>site pari</w:t>
      </w:r>
      <w:r>
        <w:rPr>
          <w:rFonts w:ascii="MS PGothic" w:cs="MS PGothic" w:eastAsia="MS PGothic" w:hAnsi="MS PGothic"/>
          <w:sz w:val="18"/>
          <w:szCs w:val="18"/>
          <w:color w:val="auto"/>
        </w:rPr>
        <w:t>‑</w:t>
      </w:r>
      <w:r>
        <w:rPr>
          <w:rFonts w:ascii="Arial" w:cs="Arial" w:eastAsia="Arial" w:hAnsi="Arial"/>
          <w:sz w:val="18"/>
          <w:szCs w:val="18"/>
          <w:color w:val="auto"/>
        </w:rPr>
        <w:t>mutuel wagering and thoroughbred, harness and greyhound racing simulcast from other prominent tracks as well as wagering on Mountaineer’s races. Additionally, the property offers five dining venues. Mountaineer attracts customers primarily from the greater Pittsburgh area.</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 Casino and Resort, Atlantic City</w:t>
      </w:r>
    </w:p>
    <w:p>
      <w:pPr>
        <w:spacing w:after="0" w:line="117" w:lineRule="exact"/>
        <w:rPr>
          <w:sz w:val="20"/>
          <w:szCs w:val="20"/>
          <w:color w:val="auto"/>
        </w:rPr>
      </w:pPr>
    </w:p>
    <w:p>
      <w:pPr>
        <w:ind w:right="60" w:firstLine="555"/>
        <w:spacing w:after="0" w:line="272" w:lineRule="auto"/>
        <w:rPr>
          <w:sz w:val="20"/>
          <w:szCs w:val="20"/>
          <w:color w:val="auto"/>
        </w:rPr>
      </w:pPr>
      <w:r>
        <w:rPr>
          <w:rFonts w:ascii="Arial" w:cs="Arial" w:eastAsia="Arial" w:hAnsi="Arial"/>
          <w:sz w:val="17"/>
          <w:szCs w:val="17"/>
          <w:color w:val="auto"/>
        </w:rPr>
        <w:t>Tropicana Casino and Resort, Atlantic City (“Trop AC”) is situated on approximately 15 acres with approximately 660 feet of ocean frontage in Atlantic City, New Jersey. Located within driving distance from the densely populated New York-to-Washington D.C. corridor, the Atlantic City market typically attracts day-trip and overnight customers from within a 300-mile radius. Trop AC is one of the larger properties in Atlantic City featuring four hotel towers and the adjacent Chelsea Hotel in addition to approximately 124,800 square feet of gaming space. The property also features The Quarter, a Havana-themed, Las Vegas-style, approximately 200,000 square-foot indoor entertainment and retail center, 23 restaurants, nightclubs, shops and an IMAX theatre. Other amenities include a 2,000-seat showroom, an up-scale Disco themed nightclub, a full-service spa and salon, a health club and indoor pool, a beach and pool bar and approximately 99,000 square feet of meeting and convention space.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Central Region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Central segment consists of three properties located in Indiana, Illinois and Missouri.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 Evansville</w:t>
      </w:r>
    </w:p>
    <w:p>
      <w:pPr>
        <w:spacing w:after="0" w:line="117" w:lineRule="exact"/>
        <w:rPr>
          <w:sz w:val="20"/>
          <w:szCs w:val="20"/>
          <w:color w:val="auto"/>
        </w:rPr>
      </w:pPr>
    </w:p>
    <w:p>
      <w:pPr>
        <w:ind w:right="80" w:firstLine="555"/>
        <w:spacing w:after="0" w:line="257" w:lineRule="auto"/>
        <w:rPr>
          <w:sz w:val="20"/>
          <w:szCs w:val="20"/>
          <w:color w:val="auto"/>
        </w:rPr>
      </w:pPr>
      <w:r>
        <w:rPr>
          <w:rFonts w:ascii="Arial" w:cs="Arial" w:eastAsia="Arial" w:hAnsi="Arial"/>
          <w:sz w:val="18"/>
          <w:szCs w:val="18"/>
          <w:color w:val="auto"/>
        </w:rPr>
        <w:t>Tropicana Evansville (“Evansville”) is a large casino hotel and entertainment complex and a popular attraction in Evansville, the third largest city in the state of Indiana. The property serves customers in the tri-state region of southern Indiana, southeastern Illinois and western Kentucky and is the only full-service casino within an 85-mile radius. The land-based complex, which is anchored on each end by two hotels and encompasses approximately 79,000 square feet of enclosed space, includes approximately 45,000 square feet of casino floor, four dining venues, an entertainment lounge and back of house space.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Lumière Place Casino</w:t>
      </w:r>
    </w:p>
    <w:p>
      <w:pPr>
        <w:spacing w:after="0" w:line="117"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color w:val="auto"/>
        </w:rPr>
        <w:t>Lumière Place Casino (“Lumière”) is located on approximately 20 acres in historic downtown St. Louis, Missouri near business and entertainment districts and overlooks the Mississippi River. Its location provides significant foot traffic from nearby venues including The Dome at America's Center, a multi-purpose stadium and convention center which is connected to Lumière via a pedestrian tunnel, the Gateway Arch and Busch Stadium. In addition to the casino, the Lumière complex includes the all-suites HoteLumière, the luxury Four Seasons Hotel St. Louis, three full service restaurants, retail shops, indoor pool and fitness center, full service spa and 28,000 square feet of meeting and convention space.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Grand Victoria Casino</w:t>
      </w:r>
    </w:p>
    <w:p>
      <w:pPr>
        <w:spacing w:after="0" w:line="117" w:lineRule="exact"/>
        <w:rPr>
          <w:sz w:val="20"/>
          <w:szCs w:val="20"/>
          <w:color w:val="auto"/>
        </w:rPr>
      </w:pPr>
    </w:p>
    <w:p>
      <w:pPr>
        <w:jc w:val="both"/>
        <w:ind w:right="320" w:firstLine="555"/>
        <w:spacing w:after="0" w:line="312" w:lineRule="auto"/>
        <w:rPr>
          <w:sz w:val="20"/>
          <w:szCs w:val="20"/>
          <w:color w:val="auto"/>
        </w:rPr>
      </w:pPr>
      <w:r>
        <w:rPr>
          <w:rFonts w:ascii="Arial" w:cs="Arial" w:eastAsia="Arial" w:hAnsi="Arial"/>
          <w:sz w:val="16"/>
          <w:szCs w:val="16"/>
          <w:color w:val="auto"/>
        </w:rPr>
        <w:t>The Elgin Riverboat Resort – Riverboat Casino d/b/a Grand Victoria Casino (“Elgin”) is located in Elgin, Illinois approximately 40 miles west of downtown Chicago along the banks of the Fox River. The property features a dock-side casino and four dining venues. It also offers approximately 7,500 square feet of meeting, event and banquet space, a 1,450-space parking garage and additional surface parking for 600 vehicles.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 Lease</w:t>
      </w:r>
    </w:p>
    <w:p>
      <w:pPr>
        <w:spacing w:after="0" w:line="121"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The Master Lease provides for the lease of land, buildings, structures and other improvements on the land (including barges and riverboats), easements and similar appurtenances to the land and improvements relating to the operation of the leased properties. Our properties that are currently subject to the Master Lease are Trop AC, Laughlin, Greenville, Baton Rouge and Evansville. The Master Lease provides for an initial term of fifteen years with no purchase option. At our option, the Master Lease may be extended for up to four five-year renewal terms beyond the initial 15-year term. If we elect to renew the term of the Master Lease, the renewal will be effective as to all, but not less than all, of the leased property then subject to the Master Lease. We do not have the ability to terminate its obligations under the Master Lease prior to its expiration without GLPI’s consent. The obligations of the tenant under the Master Lease are guaranteed by ERI.</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rent payable under the Master Lease is comprised of “Base Rent” and “Percentage Rent.” Base rent is the sum of:</w:t>
      </w:r>
    </w:p>
    <w:p>
      <w:pPr>
        <w:spacing w:after="0" w:line="117" w:lineRule="exact"/>
        <w:rPr>
          <w:sz w:val="20"/>
          <w:szCs w:val="20"/>
          <w:color w:val="auto"/>
        </w:rPr>
      </w:pPr>
    </w:p>
    <w:p>
      <w:pPr>
        <w:jc w:val="both"/>
        <w:ind w:left="1120" w:right="160" w:hanging="558"/>
        <w:spacing w:after="0" w:line="264"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Building Base Rent: a fixed component equal to $60.9 million during the first year of the Master Lease, and thereafter escalated annually by 2%, subject to a cap that would cause the preceding year’s adjusted revenue to rent ratio for the properties in the aggregate not to fall below 1.20:1.00 for the first five years of the Master Lease and 1.80:1.00 thereafter; plus</w:t>
      </w:r>
    </w:p>
    <w:p>
      <w:pPr>
        <w:spacing w:after="0" w:line="73" w:lineRule="exact"/>
        <w:rPr>
          <w:rFonts w:ascii="Arial" w:cs="Arial" w:eastAsia="Arial" w:hAnsi="Arial"/>
          <w:sz w:val="18"/>
          <w:szCs w:val="18"/>
          <w:color w:val="auto"/>
        </w:rPr>
      </w:pPr>
    </w:p>
    <w:p>
      <w:pPr>
        <w:ind w:left="1120" w:right="38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Land Base Rent: a fixed component equal to $13.4 million, subject to adjustment in the event of the termination of the Master Lease with respect to any of the leased properties.</w:t>
      </w:r>
    </w:p>
    <w:p>
      <w:pPr>
        <w:spacing w:after="0" w:line="170" w:lineRule="exact"/>
        <w:rPr>
          <w:sz w:val="20"/>
          <w:szCs w:val="20"/>
          <w:color w:val="auto"/>
        </w:rPr>
      </w:pPr>
    </w:p>
    <w:p>
      <w:pPr>
        <w:ind w:right="200" w:firstLine="555"/>
        <w:spacing w:after="0" w:line="264" w:lineRule="auto"/>
        <w:rPr>
          <w:sz w:val="20"/>
          <w:szCs w:val="20"/>
          <w:color w:val="auto"/>
        </w:rPr>
      </w:pPr>
      <w:r>
        <w:rPr>
          <w:rFonts w:ascii="Arial" w:cs="Arial" w:eastAsia="Arial" w:hAnsi="Arial"/>
          <w:sz w:val="18"/>
          <w:szCs w:val="18"/>
          <w:color w:val="auto"/>
        </w:rPr>
        <w:t>The percentage rent payable under the Master Lease is adjusted every two years based on the actual net revenues of the leased properties during the two-year period then ended. The initial variable rent percentage, which is fixed for the first two years, is $13.4 million per year. The actual percentage increase is based on actual performance and may change materially.</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Master Lease is commonly known as a triple net lease. Accordingly, in addition to rent, we are required to pay the following, among other things:</w:t>
      </w:r>
    </w:p>
    <w:p>
      <w:pPr>
        <w:spacing w:after="0" w:line="46" w:lineRule="exact"/>
        <w:rPr>
          <w:sz w:val="20"/>
          <w:szCs w:val="20"/>
          <w:color w:val="auto"/>
        </w:rPr>
      </w:pPr>
    </w:p>
    <w:p>
      <w:pPr>
        <w:ind w:right="80" w:firstLine="8"/>
        <w:spacing w:after="0" w:line="254" w:lineRule="auto"/>
        <w:tabs>
          <w:tab w:leader="none" w:pos="21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lease payments to the underlying ground lessor for properties that are subject to ground leases; (ii) facility maintenance costs; (iii) all insurance premiums for insurance with respect to the leased properties and the business conducted on the leased properties; (iv) taxes levied on or with respect to the leased properties (other than taxes on the income of the lessor); and (v) all utilities and other services necessary or appropriate for the leased properties and the business conducted on the leased properties.</w:t>
      </w:r>
    </w:p>
    <w:p>
      <w:pPr>
        <w:spacing w:after="0" w:line="190" w:lineRule="exact"/>
        <w:rPr>
          <w:sz w:val="20"/>
          <w:szCs w:val="20"/>
          <w:color w:val="auto"/>
        </w:rPr>
      </w:pPr>
    </w:p>
    <w:p>
      <w:pPr>
        <w:ind w:right="100" w:firstLine="555"/>
        <w:spacing w:after="0" w:line="312" w:lineRule="auto"/>
        <w:rPr>
          <w:sz w:val="20"/>
          <w:szCs w:val="20"/>
          <w:color w:val="auto"/>
        </w:rPr>
      </w:pPr>
      <w:r>
        <w:rPr>
          <w:rFonts w:ascii="Arial" w:cs="Arial" w:eastAsia="Arial" w:hAnsi="Arial"/>
          <w:sz w:val="16"/>
          <w:szCs w:val="16"/>
          <w:color w:val="auto"/>
        </w:rPr>
        <w:t>The foregoing summary of the Master Lease is qualified in its entirety by reference to the Master Lease, which has been filed with the Securities and Exchange Commission. It was determined that the Master Lease did not meet the requirements of a normal leaseback under Accounting Standards Codification (“ASC”) 840 “Leases” due to prohibited forms of continuing involvement and is therefore accounted for as a financing obligation.</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Business Strengths and Strategy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Personal service and high-quality amenities</w:t>
      </w:r>
    </w:p>
    <w:p>
      <w:pPr>
        <w:spacing w:after="0" w:line="117"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We focus on customer satisfaction and delivering superior guest experiences. We seek to provide our customers with an extraordinary level of personal service and popular gaming, dining and entertainment experiences designed to exceed customer expectations in a clean, safe, friendly and fun environment. Our senior management is actively involved in the daily operations of our properties, frequently interacting with gaming, hotel and restaurant patrons to ensure that they are receiving the highest level of personal attention. Management believes that personal service is an integral part of fostering customer loyalty and generating repeat business. We continually monitor our casino operations to react to changing market conditions and customer demands. We target both premium-play and value-conscious gaming patrons with differentiated offerings at our state-of-the-art casinos, which feature the latest in game technology, innovative bonus options, dynamic signage, customer-convenient features and non-gaming amenities at a reasonable value and price point. As we acquire properties, we have the ability to connect systems and market to our new customers by offering the benefits of our One Club player loyalty program which allows players to earn and redeem rewards across our portfolio.</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Diversified portfolio across markets and customer segments</w:t>
      </w:r>
    </w:p>
    <w:p>
      <w:pPr>
        <w:spacing w:after="0" w:line="117" w:lineRule="exact"/>
        <w:rPr>
          <w:sz w:val="20"/>
          <w:szCs w:val="20"/>
          <w:color w:val="auto"/>
        </w:rPr>
      </w:pPr>
    </w:p>
    <w:p>
      <w:pPr>
        <w:ind w:right="80" w:firstLine="555"/>
        <w:spacing w:after="0" w:line="257" w:lineRule="auto"/>
        <w:rPr>
          <w:sz w:val="20"/>
          <w:szCs w:val="20"/>
          <w:color w:val="auto"/>
        </w:rPr>
      </w:pPr>
      <w:r>
        <w:rPr>
          <w:rFonts w:ascii="Arial" w:cs="Arial" w:eastAsia="Arial" w:hAnsi="Arial"/>
          <w:sz w:val="18"/>
          <w:szCs w:val="18"/>
          <w:color w:val="auto"/>
        </w:rPr>
        <w:t>We are geographically diversified across the United States, with no single property accounting for more than 14% of our net revenues for the year ended December 31, 2018 after giving pro forma effect to the Elgin Acquisition and Tropicana Acquisition. Our customer pool draws from a diversified base of both local and out-of-town patrons. We have also implemented changes to our marketing strategies to reach more potential customers through targeted direct mail, expanded electronic communications and cross-property marketing initiatives. We believe we have assembled a platform on which we can continue to grow and provide a differentiated customer experience.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team with deep gaming industry experience and strong local relationships</w:t>
      </w:r>
    </w:p>
    <w:p>
      <w:pPr>
        <w:spacing w:after="0" w:line="117" w:lineRule="exact"/>
        <w:rPr>
          <w:sz w:val="20"/>
          <w:szCs w:val="20"/>
          <w:color w:val="auto"/>
        </w:rPr>
      </w:pPr>
    </w:p>
    <w:p>
      <w:pPr>
        <w:ind w:right="120" w:firstLine="555"/>
        <w:spacing w:after="0" w:line="255" w:lineRule="auto"/>
        <w:rPr>
          <w:sz w:val="20"/>
          <w:szCs w:val="20"/>
          <w:color w:val="auto"/>
        </w:rPr>
      </w:pPr>
      <w:r>
        <w:rPr>
          <w:rFonts w:ascii="Arial" w:cs="Arial" w:eastAsia="Arial" w:hAnsi="Arial"/>
          <w:sz w:val="18"/>
          <w:szCs w:val="18"/>
          <w:color w:val="auto"/>
        </w:rPr>
        <w:t>We have a management team that includes senior executives with significant experience in the gaming and finance industries. Our extensive management experience, ability to identify attractive acquisition opportunities and implement our operating strategies to realize synergies and unwavering commitment to our team members, guests and equity holders have been the primary drivers of our strategic goals and success. We take pride in our reinvestment in our properties and the communities we support along with emphasizing our family-style approach to build loyalty among our team members and guests. We will continue to focus on the future growth and diversification of our company while maintaining our core values and striving for operational excellence.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Betting, Online Gaming and Development Opportunities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William Hill</w:t>
      </w:r>
    </w:p>
    <w:p>
      <w:pPr>
        <w:spacing w:after="0" w:line="117" w:lineRule="exact"/>
        <w:rPr>
          <w:sz w:val="20"/>
          <w:szCs w:val="20"/>
          <w:color w:val="auto"/>
        </w:rPr>
      </w:pPr>
    </w:p>
    <w:p>
      <w:pPr>
        <w:ind w:right="60" w:firstLine="555"/>
        <w:spacing w:after="0" w:line="270" w:lineRule="auto"/>
        <w:rPr>
          <w:sz w:val="20"/>
          <w:szCs w:val="20"/>
          <w:color w:val="auto"/>
        </w:rPr>
      </w:pPr>
      <w:r>
        <w:rPr>
          <w:rFonts w:ascii="Arial" w:cs="Arial" w:eastAsia="Arial" w:hAnsi="Arial"/>
          <w:sz w:val="17"/>
          <w:szCs w:val="17"/>
          <w:color w:val="auto"/>
        </w:rPr>
        <w:t>In September 2018, we entered into a 25-year agreement, which became effective January 2019, with William Hill PLC and William Hill US, its U.S. subsidiary (together, “William Hill”) pursuant to which we (i) granted to William Hill the right to conduct betting activities in retail channels and under our first skin and third skin for online channels with respect to our current and future properties located in the United States and the territories and possessions of the United States, including Puerto Rico and the U.S. Virgin Islands and (ii) agreed that William Hill will have the right to conduct real money online gaming activities utilizing our second skin available with respect to properties in such territory</w:t>
      </w:r>
      <w:r>
        <w:rPr>
          <w:rFonts w:ascii="Arial" w:cs="Arial" w:eastAsia="Arial" w:hAnsi="Arial"/>
          <w:sz w:val="17"/>
          <w:szCs w:val="17"/>
          <w:i w:val="1"/>
          <w:iCs w:val="1"/>
          <w:color w:val="auto"/>
        </w:rPr>
        <w:t>.</w:t>
      </w:r>
      <w:r>
        <w:rPr>
          <w:rFonts w:ascii="Arial" w:cs="Arial" w:eastAsia="Arial" w:hAnsi="Arial"/>
          <w:sz w:val="17"/>
          <w:szCs w:val="17"/>
          <w:color w:val="auto"/>
        </w:rPr>
        <w:t xml:space="preserve"> Pursuant to the terms of the agreement, in January 2019 we received a 20% equity stake in William Hill US as well as 13.4 million ordinary shares of William Hill PLC, and we will receive a revenue share from the operation of retail betting and online betting and gaming activities. “Skin” in the context of this agreement refers to Eldorado’s ability to grant to William Hill an online channel that allows William Hill to operate online casino and sports gaming activities in reliance on, and utilizing the benefit of, any licenses granted to Eldorado or its subsidiaries.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Stars Group</w:t>
      </w:r>
    </w:p>
    <w:p>
      <w:pPr>
        <w:spacing w:after="0" w:line="117"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In November 2018, we entered into a 20-year agreement with The Stars Group Inc. (“TSG”) pursuant to which we agreed to provide TSG with options to obtain access to our second skin for online sports wagering and third skin for real money online gaming and poker, in each case with respect to our properties in the United States. Under the terms of the agreement, we will receive a revenue share from the operation of the applicable verticals by TSG under our licenses. Pursuant to the terms of the TSG agreement, we received 1.1 million TSG common shares and we may receive an additional $5.0 million in TSG common shares upon the exercise of the first option by TSG. We may also receive additional TSG common shares in the future based on TSG net gaming revenue generated in our markets.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Pompano</w:t>
      </w:r>
    </w:p>
    <w:p>
      <w:pPr>
        <w:spacing w:after="0" w:line="117" w:lineRule="exact"/>
        <w:rPr>
          <w:sz w:val="20"/>
          <w:szCs w:val="20"/>
          <w:color w:val="auto"/>
        </w:rPr>
      </w:pPr>
    </w:p>
    <w:p>
      <w:pPr>
        <w:ind w:right="40" w:firstLine="555"/>
        <w:spacing w:after="0" w:line="272" w:lineRule="auto"/>
        <w:rPr>
          <w:sz w:val="20"/>
          <w:szCs w:val="20"/>
          <w:color w:val="auto"/>
        </w:rPr>
      </w:pPr>
      <w:r>
        <w:rPr>
          <w:rFonts w:ascii="Arial" w:cs="Arial" w:eastAsia="Arial" w:hAnsi="Arial"/>
          <w:sz w:val="17"/>
          <w:szCs w:val="17"/>
          <w:color w:val="auto"/>
        </w:rPr>
        <w:t>In April 2018, we entered into a joint venture with Cordish to master plan and develop a mixed-use entertainment and hospitality destination expected to be located on unused land adjacent to the casino and racetrack at our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our input and will submit it for our review and approval. We and Cordish have made initial cash contributions of $250,000 each and could be required to make additional contributions to a maximum of $2.0 million ($1.0 million per member) at the request of the managing member. We have agreed to contribute land to the joint venture for the project. We will participate evenly with Cordish in the profits and losses of the joint venture.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80" w:firstLine="555"/>
        <w:spacing w:after="0" w:line="284" w:lineRule="auto"/>
        <w:rPr>
          <w:sz w:val="20"/>
          <w:szCs w:val="20"/>
          <w:color w:val="auto"/>
        </w:rPr>
      </w:pPr>
      <w:r>
        <w:rPr>
          <w:rFonts w:ascii="Arial" w:cs="Arial" w:eastAsia="Arial" w:hAnsi="Arial"/>
          <w:sz w:val="16"/>
          <w:szCs w:val="16"/>
          <w:color w:val="auto"/>
        </w:rPr>
        <w:t>The gaming industry is characterized by an increasingly high degree of competition and competition is intense in most of the markets in which we operate. We compete with a variety of gaming operations, including land-based casinos, dockside casinos, riverboat casinos, casinos located on racing tracks and casinos located on Native American reservations as well as other forms of legalized gaming such as video gaming terminals (VGTs) at bars, restaurants and truck stops. We also compete, to a lesser extent, with other forms of legalized gaming and entertainment such as online gambling, bingo, pull tab games, card parlors, sports books, fantasy sports websites, “cruise-to-nowhere” operations, pari-mutuel or telephonic betting on horse racing and dog racing, state-sponsored lotteries, jai-alai, and, in the future, may compete with gaming at other venues. In addition, we compete more generally with other forms of entertainment for the discretionary spending of our customers. Certain of our competitors are large gaming companies with greater name recognition and marketing and financial resources. In some instances, particularly in the case of Native American casinos, our competitors pay lower taxes or no</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taxes. These factors create additional challenges for us in competing for customers and accessing cash flow or financing to fund improvements for our casino and entertainment product that enable us to remain competitive.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Gaming Regulations</w:t>
      </w:r>
    </w:p>
    <w:p>
      <w:pPr>
        <w:spacing w:after="0" w:line="121" w:lineRule="exact"/>
        <w:rPr>
          <w:sz w:val="20"/>
          <w:szCs w:val="20"/>
          <w:color w:val="auto"/>
        </w:rPr>
      </w:pPr>
    </w:p>
    <w:p>
      <w:pPr>
        <w:ind w:right="20" w:firstLine="555"/>
        <w:spacing w:after="0" w:line="253" w:lineRule="auto"/>
        <w:rPr>
          <w:sz w:val="20"/>
          <w:szCs w:val="20"/>
          <w:color w:val="auto"/>
        </w:rPr>
      </w:pPr>
      <w:r>
        <w:rPr>
          <w:rFonts w:ascii="Arial" w:cs="Arial" w:eastAsia="Arial" w:hAnsi="Arial"/>
          <w:sz w:val="18"/>
          <w:szCs w:val="18"/>
          <w:color w:val="auto"/>
        </w:rPr>
        <w:t>The gaming and racing industries are highly regulated, and we must maintain our licenses and pay gaming taxes to continue our operations. We are subject to extensive regulation under laws, rules and supervisory procedures primarily in the jurisdictions where our facilities are located or docked. These laws, rules and regulations generally concern the responsibility, financial stability and characters of the owners, managers, and persons with financial interests in the gaming operations. If additional gaming regulations are adopted in a jurisdiction in which we operate, such regulations could impose restrictions or costs that could have a significant adverse effect on us. From time to time, various proposals have been introduced in legislatures of jurisdictions in which we have operations that, if enacted, could adversely affect the tax, regulatory, operational or other aspects of the gaming industry and us. We do not know whether or when such legislation will be enacted. Gaming companies are currently subject to significant state and local taxes and fees in addition to normal federal and state corporate income taxes, and such taxes and fees are subject to increase at any time. Any material increase in these taxes or fees could adversely affect us.</w:t>
      </w:r>
    </w:p>
    <w:p>
      <w:pPr>
        <w:spacing w:after="0" w:line="197"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Some jurisdictions, including those in which we are licensed, empower their regulators to investigate participation by licensees in gaming outside their jurisdiction and require access to periodic reports respecting those gaming activities. Violations of laws in one jurisdiction could result in disciplinary action in other jurisdictions.</w:t>
      </w:r>
    </w:p>
    <w:p>
      <w:pPr>
        <w:spacing w:after="0" w:line="181" w:lineRule="exact"/>
        <w:rPr>
          <w:sz w:val="20"/>
          <w:szCs w:val="20"/>
          <w:color w:val="auto"/>
        </w:rPr>
      </w:pPr>
    </w:p>
    <w:p>
      <w:pPr>
        <w:ind w:right="200" w:firstLine="555"/>
        <w:spacing w:after="0" w:line="312" w:lineRule="auto"/>
        <w:rPr>
          <w:sz w:val="20"/>
          <w:szCs w:val="20"/>
          <w:color w:val="auto"/>
        </w:rPr>
      </w:pPr>
      <w:r>
        <w:rPr>
          <w:rFonts w:ascii="Arial" w:cs="Arial" w:eastAsia="Arial" w:hAnsi="Arial"/>
          <w:sz w:val="16"/>
          <w:szCs w:val="16"/>
          <w:color w:val="auto"/>
        </w:rPr>
        <w:t>Under provisions of gaming laws in jurisdictions in which we have operations, and under our organizational documents, certain of our securities are subject to restriction on ownership which may be imposed by specified governmental authorities. The restrictions may require a holder of our securities to dispose of the securities or, if the holder refuses, or is unable, to dispose of the securities, we may be required to repurchase the securities.</w:t>
      </w:r>
    </w:p>
    <w:p>
      <w:pPr>
        <w:spacing w:after="0" w:line="147" w:lineRule="exact"/>
        <w:rPr>
          <w:sz w:val="20"/>
          <w:szCs w:val="20"/>
          <w:color w:val="auto"/>
        </w:rPr>
      </w:pPr>
    </w:p>
    <w:p>
      <w:pPr>
        <w:ind w:right="400" w:firstLine="555"/>
        <w:spacing w:after="0" w:line="223" w:lineRule="exact"/>
        <w:rPr>
          <w:sz w:val="20"/>
          <w:szCs w:val="20"/>
          <w:color w:val="auto"/>
        </w:rPr>
      </w:pPr>
      <w:r>
        <w:rPr>
          <w:rFonts w:ascii="Arial" w:cs="Arial" w:eastAsia="Arial" w:hAnsi="Arial"/>
          <w:sz w:val="18"/>
          <w:szCs w:val="18"/>
          <w:color w:val="auto"/>
        </w:rPr>
        <w:t>A more detailed description of the regulations to which we are subject is contained in Exhibit 99.1 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which is incorporated herein by reference.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spacing w:after="0" w:line="207" w:lineRule="exact"/>
        <w:rPr>
          <w:sz w:val="20"/>
          <w:szCs w:val="20"/>
          <w:color w:val="auto"/>
        </w:rPr>
      </w:pPr>
      <w:r>
        <w:rPr>
          <w:rFonts w:ascii="Arial" w:cs="Arial" w:eastAsia="Arial" w:hAnsi="Arial"/>
          <w:sz w:val="18"/>
          <w:szCs w:val="18"/>
          <w:b w:val="1"/>
          <w:bCs w:val="1"/>
          <w:color w:val="auto"/>
        </w:rPr>
        <w:t>Reporting and Record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Keeping Requirements</w:t>
      </w:r>
    </w:p>
    <w:p>
      <w:pPr>
        <w:spacing w:after="0" w:line="121" w:lineRule="exact"/>
        <w:rPr>
          <w:sz w:val="20"/>
          <w:szCs w:val="20"/>
          <w:color w:val="auto"/>
        </w:rPr>
      </w:pPr>
    </w:p>
    <w:p>
      <w:pPr>
        <w:ind w:right="100" w:firstLine="555"/>
        <w:spacing w:after="0" w:line="276" w:lineRule="auto"/>
        <w:rPr>
          <w:sz w:val="20"/>
          <w:szCs w:val="20"/>
          <w:color w:val="auto"/>
        </w:rPr>
      </w:pPr>
      <w:r>
        <w:rPr>
          <w:rFonts w:ascii="Arial" w:cs="Arial" w:eastAsia="Arial" w:hAnsi="Arial"/>
          <w:sz w:val="17"/>
          <w:szCs w:val="17"/>
          <w:color w:val="auto"/>
        </w:rPr>
        <w:t>We are required periodically to submit detailed financial and operating reports and furnish any other information about us and our subsidiaries that gaming authorities may require. We are required to maintain a current stock ledger that may be examined by gaming authorities at any time. If any securities are held in trust by an agent or by a nominee, the record holder may be required to disclose the identity of the beneficial owner to gaming authorities. A failure to make such disclosure may be grounds for finding the record holder unsuitable. Gaming authorities may, and in certain jurisdictions do, require certificates for our securities to bear a legend indicating that the securities are subject to specified gaming laws.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Gaming companies are typically subject to significant taxes and fees in addition to normal federal, state and local income taxes, and such taxes and fees are subject to increase at any time. We pay substantial taxes and fees with respect to our operations. From time to time, federal, state, local and provincial legislators and officials have proposed changes in tax laws, or in the administration of such laws, affecting the gaming industry. It is not possible to determine with certainty the likelihood of changes in tax laws or in the administration of such 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Revenue Service Regulations</w:t>
      </w:r>
    </w:p>
    <w:p>
      <w:pPr>
        <w:spacing w:after="0" w:line="121" w:lineRule="exact"/>
        <w:rPr>
          <w:sz w:val="20"/>
          <w:szCs w:val="20"/>
          <w:color w:val="auto"/>
        </w:rPr>
      </w:pPr>
    </w:p>
    <w:p>
      <w:pPr>
        <w:ind w:right="20" w:firstLine="555"/>
        <w:spacing w:after="0" w:line="279" w:lineRule="auto"/>
        <w:rPr>
          <w:sz w:val="20"/>
          <w:szCs w:val="20"/>
          <w:color w:val="auto"/>
        </w:rPr>
      </w:pPr>
      <w:r>
        <w:rPr>
          <w:rFonts w:ascii="Arial" w:cs="Arial" w:eastAsia="Arial" w:hAnsi="Arial"/>
          <w:sz w:val="17"/>
          <w:szCs w:val="17"/>
          <w:color w:val="auto"/>
        </w:rPr>
        <w:t>The Internal Revenue Service requires operators of casinos located in the United States to file information returns for U.S. citizens, including names and addresses of winners, for keno, bingo and slot machine winnings in excess of stipulated amounts. The Internal Revenue Service also requires operators to withhold taxes on some keno, bingo and slot machine winnings of nonresident aliens. We are unable to predict the extent to which these requirements, if extended, might impede or otherwise adversely affect operations of, and/or income from, the other games.</w:t>
      </w:r>
    </w:p>
    <w:p>
      <w:pPr>
        <w:spacing w:after="0" w:line="171"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Regulations adopted by the Financial Crimes Enforcement Network of the Treasury Department (“FINCEN”) and the Nevada Gaming Authorities require the reporting of currency transactions in excess of $10,000 occurring within a gaming day, including identification of the patron by name and social security number. This reporting obligation began in May 1985 and may have resulted in the loss of gaming revenues to jurisdictions outside the United States which are exempt from the ambit of these regulations. In addition to currency transaction reporting requirements, suspicious financial activity is also required to be reported to FINCEN.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Laws and Regulations</w:t>
      </w:r>
    </w:p>
    <w:p>
      <w:pPr>
        <w:spacing w:after="0" w:line="121"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color w:val="auto"/>
        </w:rPr>
        <w:t>Our businesses are subject to various federal, state and local laws and regulations in addition to gaming regulations. These laws and regulations include, but are not limited to, restrictions and conditions concerning alcoholic beverages, food service, smoking, environmental matters, employees and employment practices, currency transactions, taxation, zoning and building codes, and marketing and advertising. Such laws and regulations could change or could be interpreted differently in the future, or new laws and regulations could be enacted. Material changes, new laws or regulations, or material differences in interpretations by courts or governmental authorities could adversely affect our operating results.</w:t>
      </w:r>
    </w:p>
    <w:p>
      <w:pPr>
        <w:spacing w:after="0" w:line="173" w:lineRule="exact"/>
        <w:rPr>
          <w:sz w:val="20"/>
          <w:szCs w:val="20"/>
          <w:color w:val="auto"/>
        </w:rPr>
      </w:pPr>
    </w:p>
    <w:p>
      <w:pPr>
        <w:ind w:right="180" w:firstLine="555"/>
        <w:spacing w:after="0" w:line="264" w:lineRule="auto"/>
        <w:rPr>
          <w:sz w:val="20"/>
          <w:szCs w:val="20"/>
          <w:color w:val="auto"/>
        </w:rPr>
      </w:pPr>
      <w:r>
        <w:rPr>
          <w:rFonts w:ascii="Arial" w:cs="Arial" w:eastAsia="Arial" w:hAnsi="Arial"/>
          <w:sz w:val="18"/>
          <w:szCs w:val="18"/>
          <w:color w:val="auto"/>
        </w:rPr>
        <w:t>The sale of alcoholic beverages is subject to licensing, control and regulation by applicable local regulatory agencies. All licenses are revocable and are not transferable. The agencies involved have full power to limit, condition, suspend or revoke any license, and any disciplinary action could, and revocation would, have a material adverse effect upon our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We use a variety of trade names, service marks, trademarks, patents and copyrights in our operations and believe that we have all the licenses necessary to conduct our continuing operations. We have registered several service marks, trademarks, patents and copyrights with the United States Patent and Trademark Office or otherwise acquired the licenses to use those which are material to conduct our business. We also own patents relating to unique casino games. We file copyright applications to protect our creative artworks, which are often featured in property branding, as well as our distinctive website content.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300" w:firstLine="555"/>
        <w:spacing w:after="0" w:line="264" w:lineRule="auto"/>
        <w:rPr>
          <w:sz w:val="20"/>
          <w:szCs w:val="20"/>
          <w:color w:val="auto"/>
        </w:rPr>
      </w:pPr>
      <w:r>
        <w:rPr>
          <w:rFonts w:ascii="Arial" w:cs="Arial" w:eastAsia="Arial" w:hAnsi="Arial"/>
          <w:sz w:val="18"/>
          <w:szCs w:val="18"/>
          <w:color w:val="auto"/>
        </w:rPr>
        <w:t>Casino, hotel and racing operations in our markets are subject to seasonal variation. Seasonal weather conditions can frequently adversely affect transportation routes to each of our properties and may cause flooding and other effects that result in the closure of our properties. As a result, unfavorable seasonal conditions could have a material adverse effect on our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ind w:firstLine="555"/>
        <w:spacing w:after="0" w:line="217" w:lineRule="exact"/>
        <w:rPr>
          <w:sz w:val="20"/>
          <w:szCs w:val="20"/>
          <w:color w:val="auto"/>
        </w:rPr>
      </w:pPr>
      <w:r>
        <w:rPr>
          <w:rFonts w:ascii="Arial" w:cs="Arial" w:eastAsia="Arial" w:hAnsi="Arial"/>
          <w:sz w:val="16"/>
          <w:szCs w:val="16"/>
          <w:color w:val="auto"/>
        </w:rPr>
        <w:t>We are subject to various federal, state and local environmental, health and safety laws and regulations, including those relating to the use, storage, discharge, emission and disposal of hazardous materials and solid, animal and hazardous wastes and exposure to hazardous materials. Such laws and regulations can impose liability on potentially responsible parties, including the owners or operators of real property, to clean up, or contribute to the cost of cleaning up, sites at which hazardous wastes or materials were disposed of or released. In addition to investigation and remediation liabilities that could arise under such laws and regulations, we could also face personal injury, property damage, fines or other claims by third parties concerning environmental compliance or contamination or exposure to hazardous materials and could be subject to significant fines or penalties for any violations. We have from time to time been responsible for investigating and remediating, or contributing to remediation costs related to, contamination located at or near certain of our facilities, including contamination related to underground storage tanks and groundwater contamination arising from prior uses of land on which certain of our facilities are located. In addition, we have been, and may in the future be, required to manage, abate, remove or contain manure and wastewater generated by concentrated animal feeding operations due to our racetrack operations, mold, lead, asbestos</w:t>
      </w:r>
      <w:r>
        <w:rPr>
          <w:rFonts w:ascii="MS PGothic" w:cs="MS PGothic" w:eastAsia="MS PGothic" w:hAnsi="MS PGothic"/>
          <w:sz w:val="16"/>
          <w:szCs w:val="16"/>
          <w:color w:val="auto"/>
        </w:rPr>
        <w:t>‑</w:t>
      </w:r>
      <w:r>
        <w:rPr>
          <w:rFonts w:ascii="Arial" w:cs="Arial" w:eastAsia="Arial" w:hAnsi="Arial"/>
          <w:sz w:val="16"/>
          <w:szCs w:val="16"/>
          <w:color w:val="auto"/>
        </w:rPr>
        <w:t>containing materials or other hazardous conditions found in or on our properties. Although we have incurred, and expect that we will continue to incur, costs related to the investigation, identification and remediation of hazardous materials or conditions known or discovered to exist at our properties, those costs have not had, and are not expected to have, a material adverse effect on our financial condition, results of operations or cash flow.</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Labor Relations</w:t>
      </w:r>
    </w:p>
    <w:p>
      <w:pPr>
        <w:spacing w:after="0" w:line="121" w:lineRule="exact"/>
        <w:rPr>
          <w:sz w:val="20"/>
          <w:szCs w:val="20"/>
          <w:color w:val="auto"/>
        </w:rPr>
      </w:pPr>
    </w:p>
    <w:p>
      <w:pPr>
        <w:ind w:right="160" w:firstLine="555"/>
        <w:spacing w:after="0" w:line="302" w:lineRule="auto"/>
        <w:rPr>
          <w:sz w:val="20"/>
          <w:szCs w:val="20"/>
          <w:color w:val="auto"/>
        </w:rPr>
      </w:pPr>
      <w:r>
        <w:rPr>
          <w:rFonts w:ascii="Arial" w:cs="Arial" w:eastAsia="Arial" w:hAnsi="Arial"/>
          <w:sz w:val="16"/>
          <w:szCs w:val="16"/>
          <w:color w:val="auto"/>
        </w:rPr>
        <w:t>As of December 31, 2018, we had approximately 18,700 employees. As of such date, we had 21 collective bargaining agreements covering approximately 3,400 employees. Two collective bargaining agreements are scheduled to expire in 2019, and we are currently renegotiating three collective bargaining agreements that expired in 2018. There can be no assurance that we will be able to extend or enter into replacement agreements. If we are able to extend or enter into replacement agreements, there can be no assurance as to whether the terms will be on comparable terms to the existing agreements.</w:t>
      </w:r>
    </w:p>
    <w:p>
      <w:pPr>
        <w:spacing w:after="0" w:line="25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Cautionary Statement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Information</w:t>
      </w:r>
    </w:p>
    <w:p>
      <w:pPr>
        <w:spacing w:after="0" w:line="121" w:lineRule="exact"/>
        <w:rPr>
          <w:sz w:val="20"/>
          <w:szCs w:val="20"/>
          <w:color w:val="auto"/>
        </w:rPr>
      </w:pPr>
    </w:p>
    <w:p>
      <w:pPr>
        <w:ind w:right="120" w:firstLine="555"/>
        <w:spacing w:after="0" w:line="219" w:lineRule="exact"/>
        <w:rPr>
          <w:sz w:val="20"/>
          <w:szCs w:val="20"/>
          <w:color w:val="auto"/>
        </w:rPr>
      </w:pPr>
      <w:r>
        <w:rPr>
          <w:rFonts w:ascii="Arial" w:cs="Arial" w:eastAsia="Arial" w:hAnsi="Arial"/>
          <w:sz w:val="17"/>
          <w:szCs w:val="17"/>
          <w:color w:val="auto"/>
        </w:rPr>
        <w:t>This report includes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Section 27A of the Securities Act of 1933, as amended, and Section 21E of the Securities Exchange Act of 1934, as amended.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include statements regarding our strategies, objectives and plans for future development or acquisitions of properties or operations, as well as expectations, future operating results and other information that is not historical information. When used in this report, the terms or phrases such as “anticipates,” “believes,” “projects,” “plans,” “intends,” “expects,” “might,” “may,” “estimates,” “could,” “should,” “would,” “will likely continue,” and variations of such words or similar expressions are intended to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Specifically, forward-looking statements may include, among others, statements concerning:</w:t>
      </w:r>
    </w:p>
    <w:p>
      <w:pPr>
        <w:spacing w:after="0" w:line="95" w:lineRule="exact"/>
        <w:rPr>
          <w:sz w:val="20"/>
          <w:szCs w:val="20"/>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projections of future results of operations or financial condition;</w:t>
      </w:r>
    </w:p>
    <w:p>
      <w:pPr>
        <w:spacing w:after="0" w:line="117" w:lineRule="exact"/>
        <w:rPr>
          <w:rFonts w:ascii="Arial" w:cs="Arial" w:eastAsia="Arial" w:hAnsi="Arial"/>
          <w:sz w:val="18"/>
          <w:szCs w:val="18"/>
          <w:color w:val="auto"/>
        </w:rPr>
      </w:pPr>
    </w:p>
    <w:p>
      <w:pPr>
        <w:ind w:left="1120" w:right="520" w:hanging="558"/>
        <w:spacing w:after="0" w:line="277"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expectations regarding our business and results of operations of our existing casino properties and prospects for future development and expansion of sports betting and online betting and gaming;</w:t>
      </w:r>
    </w:p>
    <w:p>
      <w:pPr>
        <w:spacing w:after="0" w:line="62" w:lineRule="exact"/>
        <w:rPr>
          <w:rFonts w:ascii="Arial" w:cs="Arial" w:eastAsia="Arial" w:hAnsi="Arial"/>
          <w:sz w:val="18"/>
          <w:szCs w:val="18"/>
          <w:color w:val="auto"/>
        </w:rPr>
      </w:pPr>
    </w:p>
    <w:p>
      <w:pPr>
        <w:ind w:left="1120" w:right="80" w:hanging="558"/>
        <w:spacing w:after="0" w:line="277"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expectations regarding trends that will affect our market and the gaming industry generally and the impact of those trends on our business and results of operations;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comply with the covenants in the agreements governing our outstanding indebtedness;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meet our projected debt service obligations, operating expenses, and maintenance capital expenditures;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expectations regarding availability of capital resources;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ind w:left="1120" w:right="100" w:hanging="558"/>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intention to pursue development opportunities and acquisitions and our ability to obtain financing for, and realize the anticipated benefits, of such development and acquisitions; and</w:t>
      </w:r>
    </w:p>
    <w:p>
      <w:pPr>
        <w:spacing w:after="0" w:line="62" w:lineRule="exact"/>
        <w:rPr>
          <w:rFonts w:ascii="Arial" w:cs="Arial" w:eastAsia="Arial" w:hAnsi="Arial"/>
          <w:sz w:val="18"/>
          <w:szCs w:val="18"/>
          <w:color w:val="auto"/>
        </w:rPr>
      </w:pPr>
    </w:p>
    <w:p>
      <w:pPr>
        <w:ind w:left="1120" w:right="400" w:hanging="558"/>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regulation on our business and our ability to receive and maintain necessary approvals for our existing properties and future projects.</w:t>
      </w:r>
    </w:p>
    <w:p>
      <w:pPr>
        <w:spacing w:after="0" w:line="170" w:lineRule="exact"/>
        <w:rPr>
          <w:sz w:val="20"/>
          <w:szCs w:val="20"/>
          <w:color w:val="auto"/>
        </w:rPr>
      </w:pPr>
    </w:p>
    <w:p>
      <w:pPr>
        <w:ind w:right="120" w:firstLine="555"/>
        <w:spacing w:after="0" w:line="218" w:lineRule="exact"/>
        <w:rPr>
          <w:sz w:val="20"/>
          <w:szCs w:val="20"/>
          <w:color w:val="auto"/>
        </w:rPr>
      </w:pPr>
      <w:r>
        <w:rPr>
          <w:rFonts w:ascii="Arial" w:cs="Arial" w:eastAsia="Arial" w:hAnsi="Arial"/>
          <w:sz w:val="16"/>
          <w:szCs w:val="16"/>
          <w:color w:val="auto"/>
        </w:rPr>
        <w:t>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are based upon a number of estimates and assumptions that, while considered reasonable by us, is inherently subject to significant business, economic and competitive uncertainties and contingencies, many of which are beyond our control, and are subject to change. Actual results of operations may vary materially from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made herein.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speak only as of the date they are made, and we assume no duty to update forward-looking statements. Forward-looking statements should not be regarded as a representation by us or any other person that the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will be achieved. Undue reliance should not be placed on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Some of the contingencies and uncertainties to which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 contained herein is subject include, but are not limited to, the following:</w:t>
      </w:r>
    </w:p>
    <w:p>
      <w:pPr>
        <w:spacing w:after="0" w:line="98" w:lineRule="exact"/>
        <w:rPr>
          <w:sz w:val="20"/>
          <w:szCs w:val="20"/>
          <w:color w:val="auto"/>
        </w:rPr>
      </w:pPr>
    </w:p>
    <w:p>
      <w:pPr>
        <w:ind w:left="1120" w:right="160" w:hanging="558"/>
        <w:spacing w:after="0" w:line="264"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substantial indebtedness and significant financial commitments, including our obligations under the Master Lease, could adversely affect our results of operations and our ability to service such obligations, react to changes in our markets and pursue development and acquisition opportunities;</w:t>
      </w:r>
    </w:p>
    <w:p>
      <w:pPr>
        <w:spacing w:after="0" w:line="73"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restrictions and limitations in agreements governing our debt could significantly affect our ability to operate our business and our liquidity;</w:t>
      </w:r>
    </w:p>
    <w:p>
      <w:pPr>
        <w:spacing w:after="0" w:line="128" w:lineRule="exact"/>
        <w:rPr>
          <w:rFonts w:ascii="Arial" w:cs="Arial" w:eastAsia="Arial" w:hAnsi="Arial"/>
          <w:sz w:val="17"/>
          <w:szCs w:val="17"/>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relating to payment of a significant portion of our cash flow as debt service and rent under the Master Lease;</w:t>
      </w:r>
    </w:p>
    <w:p>
      <w:pPr>
        <w:spacing w:after="0" w:line="117" w:lineRule="exact"/>
        <w:rPr>
          <w:rFonts w:ascii="Arial" w:cs="Arial" w:eastAsia="Arial" w:hAnsi="Arial"/>
          <w:sz w:val="18"/>
          <w:szCs w:val="18"/>
          <w:color w:val="auto"/>
        </w:rPr>
      </w:pPr>
    </w:p>
    <w:p>
      <w:pPr>
        <w:ind w:left="1120" w:right="140" w:hanging="558"/>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operational, regulatory or other potential challenges that may arise as a result of leasing of a number of our properties from a single lessor;</w:t>
      </w:r>
    </w:p>
    <w:p>
      <w:pPr>
        <w:spacing w:after="0" w:line="62" w:lineRule="exact"/>
        <w:rPr>
          <w:rFonts w:ascii="Arial" w:cs="Arial" w:eastAsia="Arial" w:hAnsi="Arial"/>
          <w:sz w:val="18"/>
          <w:szCs w:val="18"/>
          <w:color w:val="auto"/>
        </w:rPr>
      </w:pPr>
    </w:p>
    <w:p>
      <w:pPr>
        <w:ind w:left="1120" w:right="260" w:hanging="558"/>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facilities operate in very competitive environments and we face increasing competition, including through legalization of online betting and gaming;</w:t>
      </w:r>
    </w:p>
    <w:p>
      <w:pPr>
        <w:spacing w:after="0" w:line="62" w:lineRule="exact"/>
        <w:rPr>
          <w:rFonts w:ascii="Arial" w:cs="Arial" w:eastAsia="Arial" w:hAnsi="Arial"/>
          <w:sz w:val="18"/>
          <w:szCs w:val="18"/>
          <w:color w:val="auto"/>
        </w:rPr>
      </w:pPr>
    </w:p>
    <w:p>
      <w:pPr>
        <w:ind w:left="1120" w:right="80" w:hanging="558"/>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uncertainty regarding legalization of betting and online gaming in the jurisdictions in which we operate and conditions applicable to obtaining the licenses required to enable our betting and online gaming partners to conduct betting and gaming activities;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identify suitable acquisition opportunities and realize growth and cost synergies from any future acquisitions;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maintenance, development or expansion projects will be subject to significant development and construction risks;</w:t>
      </w:r>
    </w:p>
    <w:p>
      <w:pPr>
        <w:spacing w:after="0" w:line="117"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operations are particularly sensitive to reductions in discretionary consumer spending and are affected by changes in general economic and market conditions;</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gaming operations are highly regulated by governmental authorities and the cost of complying or the impact of failing to comply with such regulations;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gaming taxes and fees in jurisdictions in which we operate;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relating to pending claims or future claims that may be brought against us;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interest rates and capital and credit markets;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comply with certain covenants in our debt documents and the Master Lease;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disruptions to our information technology and other systems and infrastructure;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attract and retain customers;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weather or road conditions limiting access to our properties;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war, terrorist activity, acts of violence, natural disasters and other catastrophic events;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intense competition to attract and retain management and key employees in the gaming industry;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factors set forth under “Item 1A. Risk Factors.”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4" w:name="page15"/>
    <w:bookmarkEnd w:id="14"/>
    <w:p>
      <w:pPr>
        <w:ind w:left="560"/>
        <w:spacing w:after="0" w:line="196" w:lineRule="exact"/>
        <w:rPr>
          <w:sz w:val="20"/>
          <w:szCs w:val="20"/>
          <w:color w:val="auto"/>
        </w:rPr>
      </w:pPr>
      <w:r>
        <w:rPr>
          <w:rFonts w:ascii="Arial" w:cs="Arial" w:eastAsia="Arial" w:hAnsi="Arial"/>
          <w:sz w:val="17"/>
          <w:szCs w:val="17"/>
          <w:color w:val="auto"/>
        </w:rPr>
        <w:t>In light of these and other risks, uncertainties and assumptions, the forward</w:t>
      </w:r>
      <w:r>
        <w:rPr>
          <w:rFonts w:ascii="MS PGothic" w:cs="MS PGothic" w:eastAsia="MS PGothic" w:hAnsi="MS PGothic"/>
          <w:sz w:val="17"/>
          <w:szCs w:val="17"/>
          <w:color w:val="auto"/>
        </w:rPr>
        <w:t>‑</w:t>
      </w:r>
      <w:r>
        <w:rPr>
          <w:rFonts w:ascii="Arial" w:cs="Arial" w:eastAsia="Arial" w:hAnsi="Arial"/>
          <w:sz w:val="17"/>
          <w:szCs w:val="17"/>
          <w:color w:val="auto"/>
        </w:rPr>
        <w:t>looking events discussed in this report might not occur. These</w:t>
      </w:r>
    </w:p>
    <w:p>
      <w:pPr>
        <w:spacing w:after="0" w:line="3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speak only as of the date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even if subsequently made available on our website or otherwise,</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and we do not intend to update publicly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 to reflect events or circumstances that occur after the date on which the statement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made, except as may be required by law.</w:t>
      </w:r>
    </w:p>
    <w:p>
      <w:pPr>
        <w:spacing w:after="0" w:line="211" w:lineRule="exact"/>
        <w:rPr>
          <w:sz w:val="20"/>
          <w:szCs w:val="20"/>
          <w:color w:val="auto"/>
        </w:rPr>
      </w:pPr>
    </w:p>
    <w:p>
      <w:pPr>
        <w:ind w:right="20" w:firstLine="555"/>
        <w:spacing w:after="0" w:line="220" w:lineRule="exact"/>
        <w:rPr>
          <w:sz w:val="20"/>
          <w:szCs w:val="20"/>
          <w:color w:val="auto"/>
        </w:rPr>
      </w:pPr>
      <w:r>
        <w:rPr>
          <w:rFonts w:ascii="Arial" w:cs="Arial" w:eastAsia="Arial" w:hAnsi="Arial"/>
          <w:sz w:val="18"/>
          <w:szCs w:val="18"/>
          <w:color w:val="auto"/>
        </w:rPr>
        <w:t>You should also be aware that while we from time to time communicate with securities analysts, we do not disclose to them any material non</w:t>
      </w:r>
      <w:r>
        <w:rPr>
          <w:rFonts w:ascii="MS PGothic" w:cs="MS PGothic" w:eastAsia="MS PGothic" w:hAnsi="MS PGothic"/>
          <w:sz w:val="18"/>
          <w:szCs w:val="18"/>
          <w:color w:val="auto"/>
        </w:rPr>
        <w:t>‑</w:t>
      </w:r>
      <w:r>
        <w:rPr>
          <w:rFonts w:ascii="Arial" w:cs="Arial" w:eastAsia="Arial" w:hAnsi="Arial"/>
          <w:sz w:val="18"/>
          <w:szCs w:val="18"/>
          <w:color w:val="auto"/>
        </w:rPr>
        <w:t>public information, internal forecasts or other confidential business information. Therefore, you should not assume that we agree with any statement or report issued by any analyst, irrespective of the content of the statement or report. To the extent that reports issued by securities analysts contain projections, forecasts or opinions, those reports are not our responsibility and are not endorsed by us.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right="180" w:firstLine="555"/>
        <w:spacing w:after="0" w:line="264" w:lineRule="auto"/>
        <w:rPr>
          <w:sz w:val="20"/>
          <w:szCs w:val="20"/>
          <w:color w:val="auto"/>
        </w:rPr>
      </w:pPr>
      <w:r>
        <w:rPr>
          <w:rFonts w:ascii="Arial" w:cs="Arial" w:eastAsia="Arial" w:hAnsi="Arial"/>
          <w:sz w:val="18"/>
          <w:szCs w:val="18"/>
          <w:color w:val="auto"/>
        </w:rPr>
        <w:t>We are required to file annual, quarterly and other current reports and information with the Securities and Exchange Commission (“SEC”). Because we submit filings to the SEC electronically, access to this information is available at the SEC’s website (www.sec.gov). This site contains reports and other information regarding issuers that file electronically with the SEC.</w:t>
      </w:r>
    </w:p>
    <w:p>
      <w:pPr>
        <w:spacing w:after="0" w:line="181" w:lineRule="exact"/>
        <w:rPr>
          <w:sz w:val="20"/>
          <w:szCs w:val="20"/>
          <w:color w:val="auto"/>
        </w:rPr>
      </w:pPr>
    </w:p>
    <w:p>
      <w:pPr>
        <w:ind w:right="20" w:firstLine="555"/>
        <w:spacing w:after="0" w:line="219" w:lineRule="exact"/>
        <w:rPr>
          <w:sz w:val="20"/>
          <w:szCs w:val="20"/>
          <w:color w:val="auto"/>
        </w:rPr>
      </w:pPr>
      <w:r>
        <w:rPr>
          <w:rFonts w:ascii="Arial" w:cs="Arial" w:eastAsia="Arial" w:hAnsi="Arial"/>
          <w:sz w:val="16"/>
          <w:szCs w:val="16"/>
          <w:color w:val="auto"/>
        </w:rPr>
        <w:t>We make our Annual Reports on Form 10</w:t>
      </w:r>
      <w:r>
        <w:rPr>
          <w:rFonts w:ascii="MS PGothic" w:cs="MS PGothic" w:eastAsia="MS PGothic" w:hAnsi="MS PGothic"/>
          <w:sz w:val="16"/>
          <w:szCs w:val="16"/>
          <w:color w:val="auto"/>
        </w:rPr>
        <w:t>‑</w:t>
      </w:r>
      <w:r>
        <w:rPr>
          <w:rFonts w:ascii="Arial" w:cs="Arial" w:eastAsia="Arial" w:hAnsi="Arial"/>
          <w:sz w:val="16"/>
          <w:szCs w:val="16"/>
          <w:color w:val="auto"/>
        </w:rPr>
        <w:t>K, our Quarterly Reports on Form 10</w:t>
      </w:r>
      <w:r>
        <w:rPr>
          <w:rFonts w:ascii="MS PGothic" w:cs="MS PGothic" w:eastAsia="MS PGothic" w:hAnsi="MS PGothic"/>
          <w:sz w:val="16"/>
          <w:szCs w:val="16"/>
          <w:color w:val="auto"/>
        </w:rPr>
        <w:t>‑</w:t>
      </w:r>
      <w:r>
        <w:rPr>
          <w:rFonts w:ascii="Arial" w:cs="Arial" w:eastAsia="Arial" w:hAnsi="Arial"/>
          <w:sz w:val="16"/>
          <w:szCs w:val="16"/>
          <w:color w:val="auto"/>
        </w:rPr>
        <w:t>Q, our Current Reports on Form 8</w:t>
      </w:r>
      <w:r>
        <w:rPr>
          <w:rFonts w:ascii="MS PGothic" w:cs="MS PGothic" w:eastAsia="MS PGothic" w:hAnsi="MS PGothic"/>
          <w:sz w:val="16"/>
          <w:szCs w:val="16"/>
          <w:color w:val="auto"/>
        </w:rPr>
        <w:t>‑</w:t>
      </w:r>
      <w:r>
        <w:rPr>
          <w:rFonts w:ascii="Arial" w:cs="Arial" w:eastAsia="Arial" w:hAnsi="Arial"/>
          <w:sz w:val="16"/>
          <w:szCs w:val="16"/>
          <w:color w:val="auto"/>
        </w:rPr>
        <w:t>K, and all amendments to these reports, available free of charge on our corporate website (</w:t>
      </w:r>
      <w:r>
        <w:rPr>
          <w:rFonts w:ascii="Arial" w:cs="Arial" w:eastAsia="Arial" w:hAnsi="Arial"/>
          <w:sz w:val="16"/>
          <w:szCs w:val="16"/>
          <w:i w:val="1"/>
          <w:iCs w:val="1"/>
          <w:color w:val="auto"/>
        </w:rPr>
        <w:t>www.eldoradoresorts.com</w:t>
      </w:r>
      <w:r>
        <w:rPr>
          <w:rFonts w:ascii="Arial" w:cs="Arial" w:eastAsia="Arial" w:hAnsi="Arial"/>
          <w:sz w:val="16"/>
          <w:szCs w:val="16"/>
          <w:color w:val="auto"/>
        </w:rPr>
        <w:t>) as soon as reasonably practicable after such reports are filed with, or furnished to, the SEC. In addition, our Code of Ethics and Business Conduct and charters of the Audit Committee, Compensation Committee, and the Nominating and Corporate Governance Committee are available on our website. We will provide reasonable quantities of electronic or paper copies of filings free of charge upon request. In addition, we will provide a copy of the above referenced charters to stockholders upon request.</w:t>
      </w:r>
    </w:p>
    <w:p>
      <w:pPr>
        <w:spacing w:after="0" w:line="204" w:lineRule="exact"/>
        <w:rPr>
          <w:sz w:val="20"/>
          <w:szCs w:val="20"/>
          <w:color w:val="auto"/>
        </w:rPr>
      </w:pPr>
    </w:p>
    <w:p>
      <w:pPr>
        <w:ind w:right="100" w:firstLine="555"/>
        <w:spacing w:after="0" w:line="223" w:lineRule="exact"/>
        <w:rPr>
          <w:sz w:val="20"/>
          <w:szCs w:val="20"/>
          <w:color w:val="auto"/>
        </w:rPr>
      </w:pPr>
      <w:r>
        <w:rPr>
          <w:rFonts w:ascii="Arial" w:cs="Arial" w:eastAsia="Arial" w:hAnsi="Arial"/>
          <w:sz w:val="18"/>
          <w:szCs w:val="18"/>
          <w:color w:val="auto"/>
        </w:rPr>
        <w:t>References in this document to our website address do not incorporate by reference the information contained on the website into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30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our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is sensitive to reductions in discretionary consumer spending as a result of downturns in the economy and other factors outside our control</w:t>
      </w:r>
    </w:p>
    <w:p>
      <w:pPr>
        <w:spacing w:after="0" w:line="152"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color w:val="auto"/>
        </w:rPr>
        <w:t>Consumer demand for casino hotel and racetrack properties such as ours is particularly sensitive to downturns in the economy and the associated impact on discretionary spending on leisure activities. Changes in discretionary consumer spending or consumer preferences brought about by factors such as perceived or actual general economic conditions, effects of declines in consumer confidence in the economy, the impact of high energy and food costs, the increased cost of travel, the potential for continued bank failures, decreased disposable consumer income and wealth, or fears of war and future acts of terrorism could further reduce customer demand for the amenities that we offer. In addition, increases in gasoline prices, including increases prompted by global political and economic instabilities, can adversely affect our operations because most of our patrons travel to our properties by car or on airlines that may pass on increases in fuel costs to passengers in the form of higher ticket prices. Further, security concerns, terrorist attacks and other geopolitical events can have a material adverse effect on leisure and business travel, discretionary spending and other areas of economic behavior that directly impact the gaming and entertainment industries in general and our business in particular. Economic downturns, geopolitical events and other related factors which impact discretionary consumer spending and other economic events that are beyond our control have had direct effects on our business and the tourism industry in the past and could adversely affect us in the future.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We face substantial competition in the hotel and casino industry and expect that such competition will continue</w:t>
      </w:r>
    </w:p>
    <w:p>
      <w:pPr>
        <w:spacing w:after="0" w:line="117" w:lineRule="exact"/>
        <w:rPr>
          <w:sz w:val="20"/>
          <w:szCs w:val="20"/>
          <w:color w:val="auto"/>
        </w:rPr>
      </w:pPr>
    </w:p>
    <w:p>
      <w:pPr>
        <w:ind w:right="60" w:firstLine="555"/>
        <w:spacing w:after="0" w:line="284" w:lineRule="auto"/>
        <w:rPr>
          <w:sz w:val="20"/>
          <w:szCs w:val="20"/>
          <w:color w:val="auto"/>
        </w:rPr>
      </w:pPr>
      <w:r>
        <w:rPr>
          <w:rFonts w:ascii="Arial" w:cs="Arial" w:eastAsia="Arial" w:hAnsi="Arial"/>
          <w:sz w:val="16"/>
          <w:szCs w:val="16"/>
          <w:color w:val="auto"/>
        </w:rPr>
        <w:t>The gaming industry is characterized by an increasingly high degree of competition and competition is intense in most of the markets in which we operate. We compete with a variety of gaming operations, including land-based casinos, dockside casinos, riverboat casinos, casinos located on racing tracks and casinos located on Native American reservations and other forms of legalized gaming such as video gaming terminals (VGTs) at bars, restaurants and truck stops. We also compete, to a lesser extent, with other forms of legalized gaming and entertainment such as online gambling, bingo, pull tab games, card parlors, sports books, fantasy sports websites, “cruise-to-nowhere” operations, pari-mutuel or telephonic betting on horse racing and dog racing, state-sponsored lotteries, jai-alai, and, in the future, may compete with gaming at other venues. In addition, we compete more generally with other forms of entertainment for the discretionary spending of our customers. Certain of our competitors are large gaming companies with greater name recognition and marketing and financial resources. In some instances, particularly in the case of Native American casinos, our competitors pay lower taxes or no</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taxes. These factors create additional challenges for us in competing for customers and accessing cash flow or financing to fund improvements for our casino and entertainment product that enable us to remain competitive.</w:t>
      </w:r>
    </w:p>
    <w:p>
      <w:pPr>
        <w:spacing w:after="0" w:line="184" w:lineRule="exact"/>
        <w:rPr>
          <w:sz w:val="20"/>
          <w:szCs w:val="20"/>
          <w:color w:val="auto"/>
        </w:rPr>
      </w:pPr>
    </w:p>
    <w:p>
      <w:pPr>
        <w:ind w:right="80" w:firstLine="555"/>
        <w:spacing w:after="0" w:line="268" w:lineRule="auto"/>
        <w:rPr>
          <w:sz w:val="20"/>
          <w:szCs w:val="20"/>
          <w:color w:val="auto"/>
        </w:rPr>
      </w:pPr>
      <w:r>
        <w:rPr>
          <w:rFonts w:ascii="Arial" w:cs="Arial" w:eastAsia="Arial" w:hAnsi="Arial"/>
          <w:sz w:val="17"/>
          <w:szCs w:val="17"/>
          <w:color w:val="auto"/>
        </w:rPr>
        <w:t>In addition, states that already have legalized casino gaming may further expand gaming, and other states that have not yet legalized gaming may do so in the future. Legalized casino gaming in these states and on Native American reservations in or near our markets or changes to gaming laws in states in which we have operations and in states near our operations could increase competition and could adversely affect our operations. There has been significant competition in our markets as a result of the expansion of facilities by existing market participants, the entrance of new gaming participants into a market or legislative changes in prior years and expanded gaming is under consideration in certain of our markets. For example, gaming facilities in Ohio that commenced operations in recent years present significant competition for Mountaineer, Presque Isle Downs, Nemacolin and Scioto Downs. In addition, the Governor of Pennsylvania signed legislation in October 2017 expanding gaming to allow for up to ten additional casino locations, video gaming terminals (VGTs) at truck stops, interactive gaming (iGaming), gaming at airports and potentially sports wagering. In Missouri, there are two proposals pending before the Missouri General Assembly for the expansion of gaming in the state. The Missouri sports betting bill would allow Class B gaming licensees and daily fantasy sports licensees to conduct sports wagering including on mobile devices so long as such devices are located within the state of Missouri. The Missouri video lottery terminal bill would allow the state lottery to operate video gaming terminals, similar to slot machines, at various locations distributed across the state including bars, restaurants, veterans and fraternal organizations and convenience stores throughout the state. Each of these bills are in the early stages of the law making process and subject to significant changes in proposed statutory language prior to enactment. Any such expansion of legalized gaming could adversely impact our properties.</w:t>
      </w:r>
    </w:p>
    <w:p>
      <w:pPr>
        <w:spacing w:after="0" w:line="185"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Casino gaming is currently prohibited in several jurisdictions from which the Shreveport/Bossier City and Lake Charles markets draw customers, primarily Texas. The Texas legislature has from time to time considered proposals to legalize gaming, and there can be no assurance that casino gaming will not be approved in Texas in the future, which could have a material adverse effect on Eldorado Shreveport and Lake Charles. Additionally, since visitors from California comprise a significant portion of our customer base in Reno, we also compete with Native American gaming operations in California. Native American tribes are allowed to operate slot machines, lottery games and banking and percentage games on Native American lands. A number of Native American tribes have established large-scale gaming facilities in California. Additionally, from time to time the State of Florida has entered into or amended gaming compacts with Native American casinos or enacted, amended or discussed possible changes in gaming laws which could have positive or negative impacts on our Pompano operations. In addition, various forms of internet gaming have been approved in Nevada, New Jersey, Delaware, and Pennsylvania, and legislation permitting internet gaming has been proposed by the federal government and other states. The expansion of internet gaming in Nevada and other jurisdictions could result in significant additional competition.</w:t>
      </w:r>
    </w:p>
    <w:p>
      <w:pPr>
        <w:spacing w:after="0" w:line="178"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Increased competition may require us to make substantial capital expenditures to maintain and enhance the competitive positions of our properties to increase the attractiveness and add to the appeal of our facilities. Because a significant portion of our cash flow is required to pay obligations under our outstanding indebtedness and the Master Lease, there can be no assurance that we will have sufficient funds to undertake these expenditures or that we will be able to obtain sufficient financing to fund such expenditures. If we are unable to make such expenditures, our competitive position could be negatively affected.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Our operations in certain jurisdictions depend on agreements with third parties</w:t>
      </w:r>
    </w:p>
    <w:p>
      <w:pPr>
        <w:spacing w:after="0" w:line="117" w:lineRule="exact"/>
        <w:rPr>
          <w:sz w:val="20"/>
          <w:szCs w:val="20"/>
          <w:color w:val="auto"/>
        </w:rPr>
      </w:pPr>
    </w:p>
    <w:p>
      <w:pPr>
        <w:ind w:right="200" w:firstLine="555"/>
        <w:spacing w:after="0" w:line="273" w:lineRule="auto"/>
        <w:rPr>
          <w:sz w:val="20"/>
          <w:szCs w:val="20"/>
          <w:color w:val="auto"/>
        </w:rPr>
      </w:pPr>
      <w:r>
        <w:rPr>
          <w:rFonts w:ascii="Arial" w:cs="Arial" w:eastAsia="Arial" w:hAnsi="Arial"/>
          <w:sz w:val="17"/>
          <w:szCs w:val="17"/>
          <w:color w:val="auto"/>
        </w:rPr>
        <w:t>Our operations in several jurisdictions depend on agreements with third parties. If we are unable to renew these agreements on satisfactory terms as they expire, our business may be disrupted and, in the event of disruptions in multiple jurisdictions, could have a material adverse effect on our financial condition and results of operations. For example, Iowa law requires that each gambling venue in Iowa must have a licensed “Qualified Sponsoring Organization,” or QSO, which is a tax-exempt non-profit organization. The QSO must donate the profits it receives from casino operations to educational, civic, public, charitable, patriotic or religious uses. Both of our Iowa properties have an agreement with a local QSO. We have the right to renew our agreements for Bettendorf and Waterloo when they expire in 2025 and 2021, respectively.</w:t>
      </w:r>
    </w:p>
    <w:p>
      <w:pPr>
        <w:spacing w:after="0" w:line="178" w:lineRule="exact"/>
        <w:rPr>
          <w:sz w:val="20"/>
          <w:szCs w:val="20"/>
          <w:color w:val="auto"/>
        </w:rPr>
      </w:pPr>
    </w:p>
    <w:p>
      <w:pPr>
        <w:ind w:right="100" w:firstLine="555"/>
        <w:spacing w:after="0" w:line="257" w:lineRule="auto"/>
        <w:rPr>
          <w:sz w:val="20"/>
          <w:szCs w:val="20"/>
          <w:color w:val="auto"/>
        </w:rPr>
      </w:pPr>
      <w:r>
        <w:rPr>
          <w:rFonts w:ascii="Arial" w:cs="Arial" w:eastAsia="Arial" w:hAnsi="Arial"/>
          <w:sz w:val="18"/>
          <w:szCs w:val="18"/>
          <w:color w:val="auto"/>
        </w:rPr>
        <w:t>The Federal Interstate Horse Racing Act and the state racing laws in certain jurisdictions where we have racetracks require that, in order to simulcast races, we have written agreements with the horse owners and trainers at those racetracks or that we share proceeds of slot machines at the applicable racetrack. If we fail to maintain operative agreements with the horsemen at our racetracks, we will not be permitted to conduct live racing and export and import simulcasting, and may not be permitted to continue our gaming operations, at the applicable racetrack at those facilities, which could have material adverse effect on our business, financial condition and results of operations.</w:t>
      </w:r>
    </w:p>
    <w:p>
      <w:pPr>
        <w:spacing w:after="0" w:line="2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Some of our casinos are located on leased property. If we default on one or more leases, the applicable lessors could terminate the affected leases and we could lose possession of the affected casino.</w:t>
      </w:r>
    </w:p>
    <w:p>
      <w:pPr>
        <w:spacing w:after="0" w:line="62" w:lineRule="exact"/>
        <w:rPr>
          <w:sz w:val="20"/>
          <w:szCs w:val="20"/>
          <w:color w:val="auto"/>
        </w:rPr>
      </w:pPr>
    </w:p>
    <w:p>
      <w:pPr>
        <w:ind w:firstLine="555"/>
        <w:spacing w:after="0" w:line="286" w:lineRule="auto"/>
        <w:rPr>
          <w:sz w:val="20"/>
          <w:szCs w:val="20"/>
          <w:color w:val="auto"/>
        </w:rPr>
      </w:pPr>
      <w:r>
        <w:rPr>
          <w:rFonts w:ascii="Arial" w:cs="Arial" w:eastAsia="Arial" w:hAnsi="Arial"/>
          <w:sz w:val="16"/>
          <w:szCs w:val="16"/>
          <w:color w:val="auto"/>
        </w:rPr>
        <w:t>We currently lease certain parcels of land on which several of our properties are located, including five of the properties that we acquired in the Tropicana Acquisition. As a ground lessee, we have the right to use the leased land; however, we do not hold fee ownership of the underlying land. Accordingly, we have no interest in the leased land or improvements thereon at the expiration of the ground leases. Moreover, since we do not completely control the land underlying the property, a landowner could take certain actions to disrupt our rights in the land leased under the long-term leases which are beyond our control. If the entity owning any leased land chose to disrupt our use either permanently or for a significant period of time, then the value of our assets could be impaired and our business and operations could be adversely affected. Our leases provide that they may be terminated for a number of reasons, including failure to pay rent, taxes or other payment obligations or the breach of other covenants contained in the leases. In particular, the Master Lease requires initial annual rent payments of at least $87.6 million, which is subject to escalation annually, and obligates us to make specified minimum capital expenditures with respect to the leased properties. If our business and properties fail to generate sufficient earnings, the payments required to service the rent obligations under the Master Lease could materially and adversely limit our ability to react to changes in our business and make acquisitions and investments in our properties. If we were to default on any one or more of these leases, the applicable lessors could terminate the affected leases and we could lose possession of the affected land and any improvements on the land, including the hotels and casinos. A termination of our ground leases or the Master Lease could result in a default under our debt agreements and could have a material adverse effect on our business, financial condition and results of operations. Further, in the event that any lessor of our leased properties, including properties that are subject to the Master Lease, encounters financial, operational, regulatory or other challenges, there can be no assurance that such lessor will be able to comply with its obligations under the applicable lease.</w:t>
      </w:r>
    </w:p>
    <w:p>
      <w:pPr>
        <w:spacing w:after="0" w:line="169"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Certain of our leases, including the Master Lease, are “triple-net” leases. Accordingly, in addition to rent, we are required to pay, among other things, the following: (1) lease payments to the underlying ground lessor for properties that are subject to ground leases; (2) facility maintenance costs; (3) all insurance premiums for insurance with respect to the leased properties and the business conducted on the leased properties; (4) taxes levied on or with respect to the leased properties (other than taxes on the income of the lessor); and (5) all utilities and other services necessary or appropriate for the leased properties and the business conducted on the leased properties. We are responsible for incurring the costs described in the preceding sentence notwithstanding the fact that many of the benefits received in exchange for such costs shall in part accrue to the lessor as the owner of the associated facilities. In addition, we remain obligated for lease payments and other obligations under the Master Lease and other ground leases even if one or more of such leased facilities is unprofitable or if we decide to withdraw from those locations. We could incur special charges relating to the closing of such facilities including lease termination costs, impairment charges and other special charges that would reduce our net income and could have a material adverse effect on our business, financial condition and results of operations.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17" w:name="page18"/>
    <w:bookmarkEnd w:id="17"/>
    <w:p>
      <w:pPr>
        <w:ind w:right="80"/>
        <w:spacing w:after="0" w:line="277" w:lineRule="auto"/>
        <w:rPr>
          <w:sz w:val="20"/>
          <w:szCs w:val="20"/>
          <w:color w:val="auto"/>
        </w:rPr>
      </w:pPr>
      <w:r>
        <w:rPr>
          <w:rFonts w:ascii="Arial" w:cs="Arial" w:eastAsia="Arial" w:hAnsi="Arial"/>
          <w:sz w:val="18"/>
          <w:szCs w:val="18"/>
          <w:b w:val="1"/>
          <w:bCs w:val="1"/>
          <w:i w:val="1"/>
          <w:iCs w:val="1"/>
          <w:color w:val="auto"/>
        </w:rPr>
        <w:t>We are subject to extensive Federal, state and local regulation and licensing, and gaming authorities have significant control over our operations, which could have an adverse effect on our business</w:t>
      </w:r>
    </w:p>
    <w:p>
      <w:pPr>
        <w:spacing w:after="0" w:line="62" w:lineRule="exact"/>
        <w:rPr>
          <w:sz w:val="20"/>
          <w:szCs w:val="20"/>
          <w:color w:val="auto"/>
        </w:rPr>
      </w:pPr>
    </w:p>
    <w:p>
      <w:pPr>
        <w:ind w:right="40" w:firstLine="555"/>
        <w:spacing w:after="0" w:line="271" w:lineRule="auto"/>
        <w:rPr>
          <w:sz w:val="20"/>
          <w:szCs w:val="20"/>
          <w:color w:val="auto"/>
        </w:rPr>
      </w:pPr>
      <w:r>
        <w:rPr>
          <w:rFonts w:ascii="Arial" w:cs="Arial" w:eastAsia="Arial" w:hAnsi="Arial"/>
          <w:sz w:val="17"/>
          <w:szCs w:val="17"/>
          <w:i w:val="1"/>
          <w:iCs w:val="1"/>
          <w:color w:val="auto"/>
        </w:rPr>
        <w:t>Licensing Requirements</w:t>
      </w:r>
      <w:r>
        <w:rPr>
          <w:rFonts w:ascii="Arial" w:cs="Arial" w:eastAsia="Arial" w:hAnsi="Arial"/>
          <w:sz w:val="17"/>
          <w:szCs w:val="17"/>
          <w:color w:val="auto"/>
        </w:rPr>
        <w:t>. The ownership and operation of casino gaming, riverboat and horse racing facilities are subject to extensive federal, state,</w:t>
      </w:r>
      <w:r>
        <w:rPr>
          <w:rFonts w:ascii="Arial" w:cs="Arial" w:eastAsia="Arial" w:hAnsi="Arial"/>
          <w:sz w:val="17"/>
          <w:szCs w:val="17"/>
          <w:i w:val="1"/>
          <w:iCs w:val="1"/>
          <w:color w:val="auto"/>
        </w:rPr>
        <w:t xml:space="preserve"> </w:t>
      </w:r>
      <w:r>
        <w:rPr>
          <w:rFonts w:ascii="Arial" w:cs="Arial" w:eastAsia="Arial" w:hAnsi="Arial"/>
          <w:sz w:val="17"/>
          <w:szCs w:val="17"/>
          <w:color w:val="auto"/>
        </w:rPr>
        <w:t>and local regulation, and regulatory authorities at the federal, state, and local levels have broad powers with respect to the licensing of gaming businesses and may revoke, suspend, condition or limit our gaming or other licenses, impose substantial fines, and take other actions, each of which poses a significant risk to our business, financial condition, and results of operations. We currently hold all state and local licenses and related approvals necessary to conduct our present gaming operations, but we must periodically apply to renew many of our licenses and registrations. We cannot assure you that we will be able to obtain such renewals. Any failure to maintain or renew our existing licenses, registrations, permits or approvals would have a material adverse effect on us. Furthermore, if additional laws or regulations are adopted or existing laws or regulations are amended or interpreted differently, these regulations could impose additional restrictions or costs that could have a significant adverse effect on us.</w:t>
      </w:r>
    </w:p>
    <w:p>
      <w:pPr>
        <w:spacing w:after="0" w:line="179"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color w:val="auto"/>
        </w:rPr>
        <w:t>Gaming authorities with jurisdiction over our operations may, in their discretion, require the holder of any securities issued by us to file applications, be investigated, and be found suitable to own our securities if they have reason to believe that the security ownership would be inconsistent with the declared policies of their respective jurisdictions. Further, the costs of any investigation conducted by any of the Gaming Authorities under these circumstances must be paid by the applicant, and refusal or failure to pay these charges may constitute grounds for a finding that the applicant is unsuitable to own the securities. If any of the Gaming Authorities determines that a person is unsuitable to own our securities, then, under the applicable gaming or horse racing laws and regulations, we can be sanctioned, including the loss of approvals that are required for us to continue our gaming operations in the relevant jurisdictions, if such unsuitable person does not timely sell our securities.</w:t>
      </w:r>
    </w:p>
    <w:p>
      <w:pPr>
        <w:spacing w:after="0" w:line="189" w:lineRule="exact"/>
        <w:rPr>
          <w:sz w:val="20"/>
          <w:szCs w:val="20"/>
          <w:color w:val="auto"/>
        </w:rPr>
      </w:pPr>
    </w:p>
    <w:p>
      <w:pPr>
        <w:ind w:right="140" w:firstLine="555"/>
        <w:spacing w:after="0" w:line="257" w:lineRule="auto"/>
        <w:rPr>
          <w:sz w:val="20"/>
          <w:szCs w:val="20"/>
          <w:color w:val="auto"/>
        </w:rPr>
      </w:pPr>
      <w:r>
        <w:rPr>
          <w:rFonts w:ascii="Arial" w:cs="Arial" w:eastAsia="Arial" w:hAnsi="Arial"/>
          <w:sz w:val="18"/>
          <w:szCs w:val="18"/>
          <w:color w:val="auto"/>
        </w:rPr>
        <w:t>Our officers, directors, and key employees are also subject to a variety of regulatory requirements and various licensing and related approval procedures in the various jurisdictions in which we operate gaming facilities. If any of the applicable Gaming Authorities were to find an officer, director or key employee of ours unsuitable for licensing or unsuitable to continue having a relationship with us, we would have to sever all relationships with that person. Furthermore, the Gaming Authorities may require us to terminate the employment of any person who refuses to file appropriate applications. Either result could materially adversely affect our gaming operations.</w:t>
      </w:r>
    </w:p>
    <w:p>
      <w:pPr>
        <w:spacing w:after="0" w:line="188"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Applicable gaming laws and regulations restrict our ability to issue securities, incur debt and undertake other financing activities. Such transactions would generally require approval of applicable Gaming Authorities, and our financing counterparties, including lenders, might be subject to various licensing and related approval procedures in the various jurisdictions in which we operate gaming facilities. If state regulatory authorities were to find any person unsuitable with regard to his, her or its relationship to us or any of our subsidiaries, we would be required to sever our relationships with that person, which could materially adversely affect our business.</w:t>
      </w:r>
    </w:p>
    <w:p>
      <w:pPr>
        <w:spacing w:after="0" w:line="188" w:lineRule="exact"/>
        <w:rPr>
          <w:sz w:val="20"/>
          <w:szCs w:val="20"/>
          <w:color w:val="auto"/>
        </w:rPr>
      </w:pPr>
    </w:p>
    <w:p>
      <w:pPr>
        <w:ind w:firstLine="555"/>
        <w:spacing w:after="0" w:line="287" w:lineRule="auto"/>
        <w:rPr>
          <w:sz w:val="20"/>
          <w:szCs w:val="20"/>
          <w:color w:val="auto"/>
        </w:rPr>
      </w:pPr>
      <w:r>
        <w:rPr>
          <w:rFonts w:ascii="Arial" w:cs="Arial" w:eastAsia="Arial" w:hAnsi="Arial"/>
          <w:sz w:val="16"/>
          <w:szCs w:val="16"/>
          <w:i w:val="1"/>
          <w:iCs w:val="1"/>
          <w:color w:val="auto"/>
        </w:rPr>
        <w:t>Compliance with Other Laws</w:t>
      </w:r>
      <w:r>
        <w:rPr>
          <w:rFonts w:ascii="Arial" w:cs="Arial" w:eastAsia="Arial" w:hAnsi="Arial"/>
          <w:sz w:val="16"/>
          <w:szCs w:val="16"/>
          <w:color w:val="auto"/>
        </w:rPr>
        <w:t>. We are also subject to a variety of other federal, state and local laws, rules, regulations and ordinances that apply to</w:t>
      </w:r>
      <w:r>
        <w:rPr>
          <w:rFonts w:ascii="Arial" w:cs="Arial" w:eastAsia="Arial" w:hAnsi="Arial"/>
          <w:sz w:val="16"/>
          <w:szCs w:val="16"/>
          <w:i w:val="1"/>
          <w:iCs w:val="1"/>
          <w:color w:val="auto"/>
        </w:rPr>
        <w:t xml:space="preserve"> </w:t>
      </w:r>
      <w:r>
        <w:rPr>
          <w:rFonts w:ascii="Arial" w:cs="Arial" w:eastAsia="Arial" w:hAnsi="Arial"/>
          <w:sz w:val="16"/>
          <w:szCs w:val="16"/>
          <w:color w:val="auto"/>
        </w:rPr>
        <w:t>non-gaming businesses, including zoning, environmental, construction and land-use laws and regulations governing smoking and the serving of alcoholic beverages. Legislation in various forms to ban indoor tobacco smoking has been enacted or introduced in many states and local jurisdictions, including several of the jurisdictions in which we operate. If additional restrictions on smoking are enacted in our jurisdictions, we could experience a significant decrease in gaming revenue and, particularly if such restrictions are not applicable to all competitive facilities in that gaming market, our business could be materially adversely affected. Under various federal, state and local laws and regulations, an owner or operator of real property may be held liable for the costs of removal or remediation of certain hazardous or toxic substances or wastes located on its property, regardless of whether or not the present owner or operator knows of, or is responsible for, the presence of such substances or wastes. We have not identified any issues associated with our properties that could reasonably be expected to have a material adverse effect on us or the results of our operations. However, several of our properties are located in industrial areas or were used for industrial purposes for many years. As a consequence, it is possible that historical or neighboring activities have affected one or more of our properties and that, as a result, environmental issues could arise in the future, the precise nature of which we cannot now predict. The coverage and attendant compliance costs associated with these laws, regulations and ordinances may result in future additional costs.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18" w:name="page19"/>
    <w:bookmarkEnd w:id="18"/>
    <w:p>
      <w:pPr>
        <w:ind w:right="280" w:firstLine="555"/>
        <w:spacing w:after="0" w:line="257" w:lineRule="auto"/>
        <w:rPr>
          <w:sz w:val="20"/>
          <w:szCs w:val="20"/>
          <w:color w:val="auto"/>
        </w:rPr>
      </w:pPr>
      <w:r>
        <w:rPr>
          <w:rFonts w:ascii="Arial" w:cs="Arial" w:eastAsia="Arial" w:hAnsi="Arial"/>
          <w:sz w:val="18"/>
          <w:szCs w:val="18"/>
          <w:color w:val="auto"/>
        </w:rPr>
        <w:t>Regulations adopted by FINCEN require us to report currency transactions in excess of $10,000 occurring within a gaming day, including identification of the patron by name and social security number. U.S. Treasury Department regulations also require us to report certain suspicious activity, including any transaction that exceeds $5,000, if we know, suspect or have reason to believe that the transaction involves funds from illegal activity or is designed to evade federal regulations or reporting requirements. Substantial penalties can be imposed if we fail to comply with these regulations. FINCEN has recently increased its focus on gaming companies.</w:t>
      </w:r>
    </w:p>
    <w:p>
      <w:pPr>
        <w:spacing w:after="0" w:line="188" w:lineRule="exact"/>
        <w:rPr>
          <w:sz w:val="20"/>
          <w:szCs w:val="20"/>
          <w:color w:val="auto"/>
        </w:rPr>
      </w:pPr>
    </w:p>
    <w:p>
      <w:pPr>
        <w:ind w:right="120" w:firstLine="555"/>
        <w:spacing w:after="0" w:line="277" w:lineRule="auto"/>
        <w:rPr>
          <w:sz w:val="20"/>
          <w:szCs w:val="20"/>
          <w:color w:val="auto"/>
        </w:rPr>
      </w:pPr>
      <w:r>
        <w:rPr>
          <w:rFonts w:ascii="Arial" w:cs="Arial" w:eastAsia="Arial" w:hAnsi="Arial"/>
          <w:sz w:val="18"/>
          <w:szCs w:val="18"/>
          <w:color w:val="auto"/>
        </w:rPr>
        <w:t>We are required to report certain customer’s gambling winnings via form W-2G to comply with current Internal Revenue Service regulations. Should these regulations change, we would expect to incur additional costs to comply with the revised reporting requirements.</w:t>
      </w:r>
    </w:p>
    <w:p>
      <w:pPr>
        <w:spacing w:after="0" w:line="170" w:lineRule="exact"/>
        <w:rPr>
          <w:sz w:val="20"/>
          <w:szCs w:val="20"/>
          <w:color w:val="auto"/>
        </w:rPr>
      </w:pPr>
    </w:p>
    <w:p>
      <w:pPr>
        <w:ind w:right="100" w:firstLine="555"/>
        <w:spacing w:after="0" w:line="289" w:lineRule="auto"/>
        <w:rPr>
          <w:sz w:val="20"/>
          <w:szCs w:val="20"/>
          <w:color w:val="auto"/>
        </w:rPr>
      </w:pPr>
      <w:r>
        <w:rPr>
          <w:rFonts w:ascii="Arial" w:cs="Arial" w:eastAsia="Arial" w:hAnsi="Arial"/>
          <w:sz w:val="16"/>
          <w:szCs w:val="16"/>
          <w:i w:val="1"/>
          <w:iCs w:val="1"/>
          <w:color w:val="auto"/>
        </w:rPr>
        <w:t>Taxation and Fees</w:t>
      </w:r>
      <w:r>
        <w:rPr>
          <w:rFonts w:ascii="Arial" w:cs="Arial" w:eastAsia="Arial" w:hAnsi="Arial"/>
          <w:sz w:val="16"/>
          <w:szCs w:val="16"/>
          <w:color w:val="auto"/>
        </w:rPr>
        <w:t>. In addition, gaming companies are generally subject to significant revenue-based taxes and fees in addition to normal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state, and local income taxes, and such taxes and fees are subject to increase at any time. We pay substantial taxes and fees with respect to our operations. From time to time, federal, state, and local legislators and officials have proposed changes in tax laws, or in the administration of such laws, affecting the gaming industry. In addition, worsening economic conditions could intensify the efforts of state and local governments to raise revenues through increases in gaming taxes and/or property taxes. It is not possible to determine with certainty the likelihood of changes in tax laws or in the administration of such laws. Such changes, if adopted, could have a material adverse effect on our business, financial condition and results of operations. The large number of state and local governments with significant current or projected budget deficits makes it more likely that those governments that currently permit gaming will seek to fund such deficits with new or increased gaming taxes and/or property taxes, and worsening economic conditions could intensify those efforts. Any material increase, or the adoption of additional taxes or fees, could have a material adverse effect on our future financial results.</w:t>
      </w:r>
    </w:p>
    <w:p>
      <w:pPr>
        <w:spacing w:after="0" w:line="167"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are subject to tax in multiple U.S. tax jurisdictions. Significant judgment is required in determining our provision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tax assets or liabilities and in evaluating our tax positions. While we believe our tax positions are consistent with the tax laws in the jurisdictions in which we conduct our business, it is possible that these positions may be overturned by jurisdictional tax authorities, which may have a significant impact on our provision for income taxes.</w:t>
      </w:r>
    </w:p>
    <w:p>
      <w:pPr>
        <w:spacing w:after="0" w:line="187" w:lineRule="exact"/>
        <w:rPr>
          <w:sz w:val="20"/>
          <w:szCs w:val="20"/>
          <w:color w:val="auto"/>
        </w:rPr>
      </w:pPr>
    </w:p>
    <w:p>
      <w:pPr>
        <w:jc w:val="both"/>
        <w:ind w:right="420" w:firstLine="555"/>
        <w:spacing w:after="0" w:line="259" w:lineRule="auto"/>
        <w:rPr>
          <w:sz w:val="20"/>
          <w:szCs w:val="20"/>
          <w:color w:val="auto"/>
        </w:rPr>
      </w:pPr>
      <w:r>
        <w:rPr>
          <w:rFonts w:ascii="Arial" w:cs="Arial" w:eastAsia="Arial" w:hAnsi="Arial"/>
          <w:sz w:val="18"/>
          <w:szCs w:val="18"/>
          <w:color w:val="auto"/>
        </w:rPr>
        <w:t>Tax laws are dynamic and subject to change as new laws are passed and new interpretations of the law are issued or applied. The U.S. recently enacted significant tax reform, and certain provisions of the new law may adversely affect us. In addition, governmental tax authorities are increasingly scrutinizing the tax positions of companies. If U.S. or state tax authorities change applicable tax laws, our overall taxes could increase, and our business, financial condition or results of operations may be adversely impacted.</w:t>
      </w:r>
    </w:p>
    <w:p>
      <w:pPr>
        <w:spacing w:after="0" w:line="295"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b w:val="1"/>
          <w:bCs w:val="1"/>
          <w:i w:val="1"/>
          <w:iCs w:val="1"/>
          <w:color w:val="auto"/>
        </w:rPr>
        <w:t>We have partnership agreements to expand our sportsbook business and engage in online sportsbook, casino gaming and poker. There can be no assurance that regulations authorizing such activities will be approved in the jurisdictions in which we operate or that the market for such gaming activities will develop as expected.</w:t>
      </w:r>
    </w:p>
    <w:p>
      <w:pPr>
        <w:spacing w:after="0" w:line="73" w:lineRule="exact"/>
        <w:rPr>
          <w:sz w:val="20"/>
          <w:szCs w:val="20"/>
          <w:color w:val="auto"/>
        </w:rPr>
      </w:pPr>
    </w:p>
    <w:p>
      <w:pPr>
        <w:ind w:firstLine="555"/>
        <w:spacing w:after="0" w:line="291" w:lineRule="auto"/>
        <w:rPr>
          <w:sz w:val="20"/>
          <w:szCs w:val="20"/>
          <w:color w:val="auto"/>
        </w:rPr>
      </w:pPr>
      <w:r>
        <w:rPr>
          <w:rFonts w:ascii="Arial" w:cs="Arial" w:eastAsia="Arial" w:hAnsi="Arial"/>
          <w:sz w:val="16"/>
          <w:szCs w:val="16"/>
          <w:color w:val="auto"/>
        </w:rPr>
        <w:t>During the second quarter of 2018, the U.S. Supreme Court overturned the Federal ban on sports betting. As a result, several jurisdictions in which we operate legalized sports betting and additional jurisdictions may do so in the future. We currently accept wagers on sporting events in Nevada, New Jersey and West Virginia and anticipate accepting wagers on sporting events during the first quarter of 2019 at our casinos located in Pennsylvania and Mississippi. However, our ability to expand our sports betting and online operations is dependent on adoption of regulations permitting sports betting in the United States and may be negatively impacted by a recent opinion of the U.S. Justice Department’s Office of Legal Counsel relating to the restrictions on online gaming under existing Federal statutes. There can be no assurances when, or if, regulations enabling sports betting and online sportsbook, casino gaming and poker will be adopted, or the terms of such regulations, in certain of the jurisdictions in which we operate.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p>
      <w:pPr>
        <w:ind w:firstLine="555"/>
        <w:spacing w:after="0" w:line="271" w:lineRule="auto"/>
        <w:rPr>
          <w:sz w:val="20"/>
          <w:szCs w:val="20"/>
          <w:color w:val="auto"/>
        </w:rPr>
      </w:pPr>
      <w:r>
        <w:rPr>
          <w:rFonts w:ascii="Arial" w:cs="Arial" w:eastAsia="Arial" w:hAnsi="Arial"/>
          <w:sz w:val="17"/>
          <w:szCs w:val="17"/>
          <w:color w:val="auto"/>
        </w:rPr>
        <w:t>Following the repeal of the Federal ban on sports betting, we entered into a definitive agreement with William Hill pursuant to which William Hill has agreed to operate as our sports betting operator, including with respect to mobile and online sports wagering, for a period of 25 years. We also entered into a 20-year agreement with TSG pursuant to which we agreed to provide TSG with options to obtain access to certain of our licenses for online sports wagering and real money online gaming and poker. We received equity interests in William Hill US, William Hill PLC and TSG in consideration for the execution of these agreements and we may in the future receive additional consideration, including revenue sharing based on the betting and gaming operations conducted under the authority of our licenses or in our markets. To the extent permitted under our agreements with William Hill and TSG, we will continue to evaluate options for additional partnerships to operate online betting and gaming activities under the authority of our licenses and may in the future enter into additional partnership agreements with respect to such operations.</w:t>
      </w:r>
    </w:p>
    <w:p>
      <w:pPr>
        <w:spacing w:after="0" w:line="179"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The market for sports betting and online gaming is rapidly evolving and highly competitive with an increasing number of competitors. The success of our sportsbook and online betting and gaming partners, the value of our equity interests in William Hill and TSG and the results of operations from sports betting and online sportsbook and gaming conducted at our properties or under the authority of our licenses are dependent on a number of factors that are beyond our control, including:</w:t>
      </w:r>
    </w:p>
    <w:p>
      <w:pPr>
        <w:spacing w:after="0" w:line="79" w:lineRule="exact"/>
        <w:rPr>
          <w:sz w:val="20"/>
          <w:szCs w:val="20"/>
          <w:color w:val="auto"/>
        </w:rPr>
      </w:pPr>
    </w:p>
    <w:p>
      <w:pPr>
        <w:ind w:left="1120" w:hanging="558"/>
        <w:spacing w:after="0"/>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timing of adoption of regulations authorizing such betting and gaming activities and the restrictions contained in such regulations;</w:t>
      </w:r>
    </w:p>
    <w:p>
      <w:pPr>
        <w:spacing w:after="0" w:line="128" w:lineRule="exact"/>
        <w:rPr>
          <w:rFonts w:ascii="Arial" w:cs="Arial" w:eastAsia="Arial" w:hAnsi="Arial"/>
          <w:sz w:val="17"/>
          <w:szCs w:val="17"/>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tax rates and license fees applicable to such activities;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gain market share in a newly developing market;</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that the market does not develop at all or does not develop as we anticipate;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compete with new entrants in the market;</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consumer demographics and public tastes and preferences;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and popularity of other forms of entertainment.</w:t>
      </w:r>
    </w:p>
    <w:p>
      <w:pPr>
        <w:spacing w:after="0" w:line="225" w:lineRule="exact"/>
        <w:rPr>
          <w:sz w:val="20"/>
          <w:szCs w:val="20"/>
          <w:color w:val="auto"/>
        </w:rPr>
      </w:pPr>
    </w:p>
    <w:p>
      <w:pPr>
        <w:ind w:right="240" w:firstLine="555"/>
        <w:spacing w:after="0" w:line="277" w:lineRule="auto"/>
        <w:rPr>
          <w:sz w:val="20"/>
          <w:szCs w:val="20"/>
          <w:color w:val="auto"/>
        </w:rPr>
      </w:pPr>
      <w:r>
        <w:rPr>
          <w:rFonts w:ascii="Arial" w:cs="Arial" w:eastAsia="Arial" w:hAnsi="Arial"/>
          <w:sz w:val="18"/>
          <w:szCs w:val="18"/>
          <w:color w:val="auto"/>
        </w:rPr>
        <w:t>There can be no assurance as to the returns that we will receive from our current and anticipated sports betting and online gaming operations or our partnerships with William Hill and TSG or future similar arrangements with other market service providers.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our key personnel and we may face difficulties in attracting and retaining qualified employees for our casinos and race tracks</w:t>
      </w:r>
    </w:p>
    <w:p>
      <w:pPr>
        <w:spacing w:after="0" w:line="129" w:lineRule="exact"/>
        <w:rPr>
          <w:sz w:val="20"/>
          <w:szCs w:val="20"/>
          <w:color w:val="auto"/>
        </w:rPr>
      </w:pPr>
    </w:p>
    <w:p>
      <w:pPr>
        <w:jc w:val="both"/>
        <w:ind w:right="40" w:firstLine="555"/>
        <w:spacing w:after="0" w:line="286" w:lineRule="auto"/>
        <w:rPr>
          <w:sz w:val="20"/>
          <w:szCs w:val="20"/>
          <w:color w:val="auto"/>
        </w:rPr>
      </w:pPr>
      <w:r>
        <w:rPr>
          <w:rFonts w:ascii="Arial" w:cs="Arial" w:eastAsia="Arial" w:hAnsi="Arial"/>
          <w:sz w:val="17"/>
          <w:szCs w:val="17"/>
          <w:color w:val="auto"/>
        </w:rPr>
        <w:t>Our future success will depend upon, among other things, our ability to keep our senior executives and highly qualified employees. We compete with other potential employers for employees, and we may not succeed in hiring or retaining the executives and other employees that we need. A sudden loss of or inability to replace key employees could have a material adverse effect on our business, financial condition and results of operation.</w:t>
      </w:r>
    </w:p>
    <w:p>
      <w:pPr>
        <w:spacing w:after="0" w:line="166" w:lineRule="exact"/>
        <w:rPr>
          <w:sz w:val="20"/>
          <w:szCs w:val="20"/>
          <w:color w:val="auto"/>
        </w:rPr>
      </w:pPr>
    </w:p>
    <w:p>
      <w:pPr>
        <w:ind w:right="20" w:firstLine="555"/>
        <w:spacing w:after="0" w:line="293" w:lineRule="auto"/>
        <w:rPr>
          <w:sz w:val="20"/>
          <w:szCs w:val="20"/>
          <w:color w:val="auto"/>
        </w:rPr>
      </w:pPr>
      <w:r>
        <w:rPr>
          <w:rFonts w:ascii="Arial" w:cs="Arial" w:eastAsia="Arial" w:hAnsi="Arial"/>
          <w:sz w:val="16"/>
          <w:szCs w:val="16"/>
          <w:color w:val="auto"/>
        </w:rPr>
        <w:t>In addition, the operation of our business requires qualified executives, managers and skilled employees with gaming and horse racing industry experience and qualifications who are able to obtain the requisite licenses and approval from the applicable Gaming Authorities. There has from time to time been a shortage of skilled labor in our markets. In addition to limitations that may otherwise exist in the supply of skilled labor, the continued expansion of gaming near our facilities, including the expansion of Native American gaming, may make it more difficult for us to attract qualified individuals. While we believe that we will continue to be able to attract and retain qualified employees, shortages of skilled labor will make it increasingly difficult and expensive to attract and retain the services of a satisfactory number of qualified employees, and we may incur higher costs than expected as a result.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 stoppages, organizing drives and other labor problems could negatively impact our future profits</w:t>
      </w:r>
    </w:p>
    <w:p>
      <w:pPr>
        <w:spacing w:after="0" w:line="117" w:lineRule="exact"/>
        <w:rPr>
          <w:sz w:val="20"/>
          <w:szCs w:val="20"/>
          <w:color w:val="auto"/>
        </w:rPr>
      </w:pPr>
    </w:p>
    <w:p>
      <w:pPr>
        <w:ind w:right="120" w:firstLine="555"/>
        <w:spacing w:after="0" w:line="279" w:lineRule="auto"/>
        <w:rPr>
          <w:sz w:val="20"/>
          <w:szCs w:val="20"/>
          <w:color w:val="auto"/>
        </w:rPr>
      </w:pPr>
      <w:r>
        <w:rPr>
          <w:rFonts w:ascii="Arial" w:cs="Arial" w:eastAsia="Arial" w:hAnsi="Arial"/>
          <w:sz w:val="17"/>
          <w:szCs w:val="17"/>
          <w:color w:val="auto"/>
        </w:rPr>
        <w:t>As of December 31, 2018, we had 21 collective bargaining agreements covering approximately 3,400 employees. A lengthy strike or other work stoppages at any of our casino properties could have an adverse effect on our business and results of operations. Given the large number of employees, labor unions are making a concerted effort to recruit more employees in the gaming industry, including at some of our properties. As a result, we cannot provide any assurance that we will not experience additional and more successful union organization activity in the future.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0" w:name="page21"/>
    <w:bookmarkEnd w:id="20"/>
    <w:p>
      <w:pPr>
        <w:ind w:right="540"/>
        <w:spacing w:after="0" w:line="277" w:lineRule="auto"/>
        <w:rPr>
          <w:sz w:val="20"/>
          <w:szCs w:val="20"/>
          <w:color w:val="auto"/>
        </w:rPr>
      </w:pPr>
      <w:r>
        <w:rPr>
          <w:rFonts w:ascii="Arial" w:cs="Arial" w:eastAsia="Arial" w:hAnsi="Arial"/>
          <w:sz w:val="18"/>
          <w:szCs w:val="18"/>
          <w:b w:val="1"/>
          <w:bCs w:val="1"/>
          <w:i w:val="1"/>
          <w:iCs w:val="1"/>
          <w:color w:val="auto"/>
        </w:rPr>
        <w:t>Because we own real property, we will be subject to extensive environmental regulation, which creates uncertainty regarding future environmental expenditures and liabilities</w:t>
      </w:r>
    </w:p>
    <w:p>
      <w:pPr>
        <w:spacing w:after="0" w:line="62" w:lineRule="exact"/>
        <w:rPr>
          <w:sz w:val="20"/>
          <w:szCs w:val="20"/>
          <w:color w:val="auto"/>
        </w:rPr>
      </w:pPr>
    </w:p>
    <w:p>
      <w:pPr>
        <w:ind w:right="80" w:firstLine="555"/>
        <w:spacing w:after="0" w:line="217" w:lineRule="exact"/>
        <w:rPr>
          <w:sz w:val="20"/>
          <w:szCs w:val="20"/>
          <w:color w:val="auto"/>
        </w:rPr>
      </w:pPr>
      <w:r>
        <w:rPr>
          <w:rFonts w:ascii="Arial" w:cs="Arial" w:eastAsia="Arial" w:hAnsi="Arial"/>
          <w:sz w:val="16"/>
          <w:szCs w:val="16"/>
          <w:color w:val="auto"/>
        </w:rPr>
        <w:t>We are subject to various federal, state and local environmental, health and safety laws and regulations that govern activities that may have adverse environmental effects, such as discharges to air and water, as well as the use, storage, discharge, emission and disposal of solid, animal and hazardous wastes and exposure to hazardous materials. These laws and regulations are complex and frequently subject to change. In addition, our horse racing facilities are subject to laws and regulations that address the impacts of manure and wastewater generated by Concentrated Animal Feeding Operations (“CAFO”) on water quality, including, but not limited to, storm water discharges. CAFO regulations include permit requirements and water quality discharge standards. Enforcement of CAFO regulations has been receiving increased governmental attention. Compliance with these and other environmental laws can, in some circumstances, require significant capital expenditures. We have from time to time been responsible for investigating and remediating, or contributing to remediation costs related to, contamination located at or near certain of our facilities, including contamination related to underground storage tanks and groundwater contamination arising from prior uses of land on which certain of our facilities are located. In addition, we have been, and may in the future be, required to manage, abate, remove or contain manure and wastewater generated by concentrated animal feeding operations due to our racetrack operations, mold, lead, asbestos</w:t>
      </w:r>
      <w:r>
        <w:rPr>
          <w:rFonts w:ascii="MS PGothic" w:cs="MS PGothic" w:eastAsia="MS PGothic" w:hAnsi="MS PGothic"/>
          <w:sz w:val="16"/>
          <w:szCs w:val="16"/>
          <w:color w:val="auto"/>
        </w:rPr>
        <w:t>‑</w:t>
      </w:r>
      <w:r>
        <w:rPr>
          <w:rFonts w:ascii="Arial" w:cs="Arial" w:eastAsia="Arial" w:hAnsi="Arial"/>
          <w:sz w:val="16"/>
          <w:szCs w:val="16"/>
          <w:color w:val="auto"/>
        </w:rPr>
        <w:t>containing materials or other hazardous conditions found in or on our properties. Moreover, violations can result in significant fines or penalties and, in some instances, interruption or cessation of operations.</w:t>
      </w:r>
    </w:p>
    <w:p>
      <w:pPr>
        <w:spacing w:after="0" w:line="206" w:lineRule="exact"/>
        <w:rPr>
          <w:sz w:val="20"/>
          <w:szCs w:val="20"/>
          <w:color w:val="auto"/>
        </w:rPr>
      </w:pPr>
    </w:p>
    <w:p>
      <w:pPr>
        <w:ind w:right="180" w:firstLine="555"/>
        <w:spacing w:after="0" w:line="259" w:lineRule="auto"/>
        <w:rPr>
          <w:sz w:val="20"/>
          <w:szCs w:val="20"/>
          <w:color w:val="auto"/>
        </w:rPr>
      </w:pPr>
      <w:r>
        <w:rPr>
          <w:rFonts w:ascii="Arial" w:cs="Arial" w:eastAsia="Arial" w:hAnsi="Arial"/>
          <w:sz w:val="18"/>
          <w:szCs w:val="18"/>
          <w:color w:val="auto"/>
        </w:rPr>
        <w:t>We are also subject to laws and regulations that create liability and cleanup responsibility for releases of regulated materials into the environment. Certain of these laws and regulations impose strict, and under certain circumstances joint and several, liability on a current or previous owner or operator of property for the costs of remediating regulated materials on or emanating from its property. The costs of investigation, remediation or removal of those substances may be substantial.</w:t>
      </w:r>
    </w:p>
    <w:p>
      <w:pPr>
        <w:spacing w:after="0" w:line="29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An earthquake, hurricane, flood, other natural disaster, act of terrorism or other casualty events could adversely affect our business and we may not have sufficient insurance coverage to cover such losses</w:t>
      </w:r>
    </w:p>
    <w:p>
      <w:pPr>
        <w:spacing w:after="0" w:line="62" w:lineRule="exact"/>
        <w:rPr>
          <w:sz w:val="20"/>
          <w:szCs w:val="20"/>
          <w:color w:val="auto"/>
        </w:rPr>
      </w:pPr>
    </w:p>
    <w:p>
      <w:pPr>
        <w:ind w:firstLine="555"/>
        <w:spacing w:after="0" w:line="284" w:lineRule="auto"/>
        <w:rPr>
          <w:sz w:val="20"/>
          <w:szCs w:val="20"/>
          <w:color w:val="auto"/>
        </w:rPr>
      </w:pPr>
      <w:r>
        <w:rPr>
          <w:rFonts w:ascii="Arial" w:cs="Arial" w:eastAsia="Arial" w:hAnsi="Arial"/>
          <w:sz w:val="16"/>
          <w:szCs w:val="16"/>
          <w:color w:val="auto"/>
        </w:rPr>
        <w:t>The operations of our facilities are subject to disruption or reduced patronage as a result of severe weather conditions, natural disasters and other casualty events, including acts of terrorism or violence. The Reno area has been, and may in the future be, subject to earthquakes and other natural disasters and certain of our other properties are located in flood zones or are otherwise subject to significant disruption based on adverse weather conditions. Because many of our gaming operations are located on or adjacent to bodies of water, these facilities are subject to risks in addition to those associated with other casinos, including loss of service due to casualty, forces of nature, mechanical failure, extended or extraordinary maintenance, flood, hurricane or other severe weather conditions and other disasters. For example, flooding along the Mississippi River can impact eight or more of our properties and result in them being closed for differing periods of time. Our properties in Florida, Mississippi, Louisiana and New Jersey are particularly vulnerable to hurricanes, wind and storm surge. Our Pompano property was closed for four days in 2017 because of storms. In addition, severe weather such as high winds and blizzards occasionally limits access to our land-based facilities in Colorado and Reno. Inadequate insurance or lack of available insurance for these and other certain types or levels of risk could expose us to significant losses in the event that a catastrophe occurred for which we are underinsured. Further, if properties subject to the Master Lease are impacted by a casualty event, the Master Lease requires us to repair or restore the affected properties even if the cost of such repair or restoration exceeds the insurance proceeds that we receive. Under such circumstances, the rent under the Master Lease is required to be paid during the period of repair or restoration even if all or a portion of the affected property is not operating. In addition to the damage caused to our properties by a casualty loss, we may suffer business disruption as a result of the casualty event or be subject to claims by third parties that may be injured or harmed. While we carry general liability insurance and business interruption insurance, there can be no assurance that insurance will be available or adequate to cover all loss and damage to which our business or our assets might be subjected. In addition, certain casualty events, such as labor strikes, nuclear events, loss of income due to terrorism, violence, deterioration or corrosion, insect or animal damage and pollution, may not be covered under our policies. Any losses we incur that are not adequately covered by insurance may decrease our future operating income, require us to fund replacements or repairs for destroyed property and reduce the funds available for payments of our obligations. Further, we renew our insurance policies on an annual basis. The cost of coverage may become so high that we may need to further reduce our policy limits or agree to certain exclusions from coverage. Among other factors, it is possible that regional political tensions, homeland security concerns, other catastrophic events or any change in government legislation governing insurance coverage for acts of terrorism could materially adversely affect available insurance coverage and result in increased premiums on available coverage (which may cause us to elect to reduce our policy limits), additional exclusions from coverage or higher deductibles. Among other potential future adverse changes, in the future we may elect to not, or may not be able to, obtain any coverage for losses due to acts of terrorism.</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We are subject to risks relating to mechanical failure, forces of nature, casualty, extraordinary maintenance and other causes</w:t>
      </w:r>
    </w:p>
    <w:p>
      <w:pPr>
        <w:spacing w:after="0" w:line="117" w:lineRule="exact"/>
        <w:rPr>
          <w:sz w:val="20"/>
          <w:szCs w:val="20"/>
          <w:color w:val="auto"/>
        </w:rPr>
      </w:pPr>
    </w:p>
    <w:p>
      <w:pPr>
        <w:ind w:right="340" w:firstLine="555"/>
        <w:spacing w:after="0" w:line="259" w:lineRule="auto"/>
        <w:rPr>
          <w:sz w:val="20"/>
          <w:szCs w:val="20"/>
          <w:color w:val="auto"/>
        </w:rPr>
      </w:pPr>
      <w:r>
        <w:rPr>
          <w:rFonts w:ascii="Arial" w:cs="Arial" w:eastAsia="Arial" w:hAnsi="Arial"/>
          <w:sz w:val="18"/>
          <w:szCs w:val="18"/>
          <w:color w:val="auto"/>
        </w:rPr>
        <w:t>All of our facilities will generally be subject to the risk that operations could be halted for a temporary or extended period of time, as the result of casualty, forces of nature, mechanical failure, or extended or extraordinary maintenance, among other causes. In addition, our gaming operations could be damaged or halted due to extreme weather conditions. These risks are particularly pronounced at our riverboat and dockside facilities because of their locations on and adjacent to water.</w:t>
      </w:r>
    </w:p>
    <w:p>
      <w:pPr>
        <w:spacing w:after="0" w:line="2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reliance on our computer systems and software could expose us to great financial harm if any of our computer systems or software were subject to any material disruption or corruption.</w:t>
      </w:r>
    </w:p>
    <w:p>
      <w:pPr>
        <w:spacing w:after="0" w:line="76" w:lineRule="exact"/>
        <w:rPr>
          <w:sz w:val="20"/>
          <w:szCs w:val="20"/>
          <w:color w:val="auto"/>
        </w:rPr>
      </w:pPr>
    </w:p>
    <w:p>
      <w:pPr>
        <w:ind w:right="260" w:firstLine="555"/>
        <w:spacing w:after="0" w:line="297" w:lineRule="auto"/>
        <w:rPr>
          <w:sz w:val="20"/>
          <w:szCs w:val="20"/>
          <w:color w:val="auto"/>
        </w:rPr>
      </w:pPr>
      <w:r>
        <w:rPr>
          <w:rFonts w:ascii="Arial" w:cs="Arial" w:eastAsia="Arial" w:hAnsi="Arial"/>
          <w:sz w:val="16"/>
          <w:szCs w:val="16"/>
          <w:color w:val="auto"/>
        </w:rPr>
        <w:t>We rely significantly on our computer systems and software to receive and properly process internal and external data, including data related to our player loyalty program. A disruption or corruption of the proper functioning of our computer systems or software could cause us to lose data or record erroneous data, which could result in material losses. We cannot guarantee that our efforts to maintain competitive computer systems and software will be successful. Our computer systems and software may fail or be subject to bugs or other errors, resulting in service interruptions or other unintended consequences. If any of these risks materialize, they could have a material adverse effect on our business, financial condition, and results of operations.</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or may become involved in legal proceedings that, if adversely adjudicated or settled, could impact our business and financial condition</w:t>
      </w:r>
    </w:p>
    <w:p>
      <w:pPr>
        <w:spacing w:after="0" w:line="140"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From time to time, we are named in lawsuits or other legal proceedings relating to our respective businesses. In particular, the nature of our business subjects us to the risk of lawsuits filed by customers, past and present employees, competitors, business partners and others in the ordinary course of business. As with all legal proceedings, no assurances can be given as to the outcome of these matters. Moreover, legal proceedings can be expensive and time consuming, and we may not be successful in defending or prosecuting these lawsuits, which could result in settlements or damages that could significantly impact our business, financial condition and results of operations.</w:t>
      </w:r>
    </w:p>
    <w:p>
      <w:pPr>
        <w:spacing w:after="0" w:line="2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information technology and other systems are subject to cyber security risk including misappropriation of customer information or other breaches of information security</w:t>
      </w:r>
    </w:p>
    <w:p>
      <w:pPr>
        <w:spacing w:after="0" w:line="62"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color w:val="auto"/>
        </w:rPr>
        <w:t>We collect information relating to our guests and employees for various business purposes, including marketing and promotional purposes. The collection and use of personal data are governed by privacy laws and regulations enacted in the United States. We rely on information technology and other systems to maintain and transmit this personal and financial information, credit card settlements, credit card funds transmissions, mailing lists and reservations information. Our information and processes are subject to the ever-changing threat of compromised security, in the form of a risk of potential breach, system failure, computer virus, or unauthorized or fraudulent use by customers, company employees, or employees of third-party vendors. We face cybersecurity threats, which may range from uncoordinated individual attempts to sophisticated and targeted measures directed at us. Cyber-attacks and security breaches may include, but are not limited to, attempts to access information, including customer and company information, computer malware such as viruses, denial of service, ransomware attacks that encrypt, exfiltrate, or otherwise render data unusable or unavailable in an effort to extort money or other consideration as a condition to purportedly returning the data to a usable form, operator errors or misuse, or inadvertent releases of data, and other forms of electronic security breaches. The steps we take to deter and mitigate these risks may not be successful, and any resulting compromise or loss of data or systems could adversely impact, operations or regulatory compliance and could result in remedial expenses, fines, litigation, and loss of reputation, potentially impacting our financial results.</w:t>
      </w:r>
    </w:p>
    <w:p>
      <w:pPr>
        <w:spacing w:after="0" w:line="180" w:lineRule="exact"/>
        <w:rPr>
          <w:sz w:val="20"/>
          <w:szCs w:val="20"/>
          <w:color w:val="auto"/>
        </w:rPr>
      </w:pPr>
    </w:p>
    <w:p>
      <w:pPr>
        <w:ind w:right="120" w:firstLine="555"/>
        <w:spacing w:after="0" w:line="255" w:lineRule="auto"/>
        <w:rPr>
          <w:sz w:val="20"/>
          <w:szCs w:val="20"/>
          <w:color w:val="auto"/>
        </w:rPr>
      </w:pPr>
      <w:r>
        <w:rPr>
          <w:rFonts w:ascii="Arial" w:cs="Arial" w:eastAsia="Arial" w:hAnsi="Arial"/>
          <w:sz w:val="18"/>
          <w:szCs w:val="18"/>
          <w:color w:val="auto"/>
        </w:rPr>
        <w:t>In addition, third party service providers and other business partners process and maintain proprietary business information and data related to our guests, suppliers and other business partners. Our information technology and other systems that maintain and transmit this information, or those of service providers or business partners, may also be compromised by a malicious third-party penetration of our network security or that of a third party service provider or business partner, or impacted by intentional or unintentional actions or inactions by our employees or those of a third party service provider or business partner. As a result, our business information, guest, supplier, and other business partner data may be lost, disclosed, accessed or taken without their consent.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ind w:right="220" w:firstLine="555"/>
        <w:spacing w:after="0" w:line="279" w:lineRule="auto"/>
        <w:rPr>
          <w:sz w:val="20"/>
          <w:szCs w:val="20"/>
          <w:color w:val="auto"/>
        </w:rPr>
      </w:pPr>
      <w:r>
        <w:rPr>
          <w:rFonts w:ascii="Arial" w:cs="Arial" w:eastAsia="Arial" w:hAnsi="Arial"/>
          <w:sz w:val="17"/>
          <w:szCs w:val="17"/>
          <w:color w:val="auto"/>
        </w:rPr>
        <w:t>Any such loss, disclosure or misappropriation of, or access to, guests’ or business partners’ information or other breach of our information security can result in legal claims or legal proceedings, including regulatory investigations and actions, may have a serious impact on our reputation and may adversely affect our businesses, operating results and financial condition. Furthermore, the loss, disclosure or misappropriation of our business information may adversely affect our reputation, businesses, operating results and financial condition.</w:t>
      </w:r>
    </w:p>
    <w:p>
      <w:pPr>
        <w:spacing w:after="0" w:line="2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operations have historically been subject to seasonal variations and quarterly fluctuations in operating results, and we can expect to experience such variations and fluctuations in the future</w:t>
      </w:r>
    </w:p>
    <w:p>
      <w:pPr>
        <w:spacing w:after="0" w:line="62" w:lineRule="exact"/>
        <w:rPr>
          <w:sz w:val="20"/>
          <w:szCs w:val="20"/>
          <w:color w:val="auto"/>
        </w:rPr>
      </w:pPr>
    </w:p>
    <w:p>
      <w:pPr>
        <w:ind w:right="80" w:firstLine="555"/>
        <w:spacing w:after="0" w:line="272" w:lineRule="auto"/>
        <w:rPr>
          <w:sz w:val="20"/>
          <w:szCs w:val="20"/>
          <w:color w:val="auto"/>
        </w:rPr>
      </w:pPr>
      <w:r>
        <w:rPr>
          <w:rFonts w:ascii="Arial" w:cs="Arial" w:eastAsia="Arial" w:hAnsi="Arial"/>
          <w:sz w:val="17"/>
          <w:szCs w:val="17"/>
          <w:color w:val="auto"/>
        </w:rPr>
        <w:t>Historically, our operations have typically been subject to seasonal variations. Our strongest operating results for our Reno properties have generally occurred in the second and third quarters and the weakest results have generally occurred during the period from November through February when weather conditions adversely affected operating results. Winter conditions can frequently adversely affect transportation routes to Reno, where a significant of our visitors arrive by ground transportation, and certain of our other properties and cause cancellations of live horse racing. For example, the Reno-Tahoe area experienced exceptionally high levels of snowfall in the first quarter of 2017, with certain resorts in the Tahoe area reporting over 50 feet of snowfall during such time, which adversely affected visitation to our Reno properties and adversely affected our results of operations for the first quarter of 2017. As a result, unfavorable seasonal conditions could have a material adverse effect on our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concentration and evolution of the slot machine manufacturing industry could impose additional costs on us</w:t>
      </w:r>
    </w:p>
    <w:p>
      <w:pPr>
        <w:spacing w:after="0" w:line="117" w:lineRule="exact"/>
        <w:rPr>
          <w:sz w:val="20"/>
          <w:szCs w:val="20"/>
          <w:color w:val="auto"/>
        </w:rPr>
      </w:pPr>
    </w:p>
    <w:p>
      <w:pPr>
        <w:ind w:right="80" w:firstLine="555"/>
        <w:spacing w:after="0" w:line="264" w:lineRule="auto"/>
        <w:rPr>
          <w:sz w:val="20"/>
          <w:szCs w:val="20"/>
          <w:color w:val="auto"/>
        </w:rPr>
      </w:pPr>
      <w:r>
        <w:rPr>
          <w:rFonts w:ascii="Arial" w:cs="Arial" w:eastAsia="Arial" w:hAnsi="Arial"/>
          <w:sz w:val="18"/>
          <w:szCs w:val="18"/>
          <w:color w:val="auto"/>
        </w:rPr>
        <w:t>There are a limited number of slot machine manufacturers servicing the gaming industry and a large majority of our revenues are derived from slot machines at our casinos. It is important, for competitive reasons, that we offer the most popular and up-to-date slot machine games with the latest technology to customers.</w:t>
      </w:r>
    </w:p>
    <w:p>
      <w:pPr>
        <w:spacing w:after="0" w:line="181" w:lineRule="exact"/>
        <w:rPr>
          <w:sz w:val="20"/>
          <w:szCs w:val="20"/>
          <w:color w:val="auto"/>
        </w:rPr>
      </w:pPr>
    </w:p>
    <w:p>
      <w:pPr>
        <w:ind w:right="460" w:firstLine="555"/>
        <w:spacing w:after="0" w:line="264" w:lineRule="auto"/>
        <w:rPr>
          <w:sz w:val="20"/>
          <w:szCs w:val="20"/>
          <w:color w:val="auto"/>
        </w:rPr>
      </w:pPr>
      <w:r>
        <w:rPr>
          <w:rFonts w:ascii="Arial" w:cs="Arial" w:eastAsia="Arial" w:hAnsi="Arial"/>
          <w:sz w:val="18"/>
          <w:szCs w:val="18"/>
          <w:color w:val="auto"/>
        </w:rPr>
        <w:t>In recent years, slot machine manufacturers have frequently refused to sell slot machines featuring the most popular games, instead requiring participating lease arrangements. Generally, a participating lease is substantially more expensive over the long-term than the cost to purchase a new slot machine.</w:t>
      </w:r>
    </w:p>
    <w:p>
      <w:pPr>
        <w:spacing w:after="0" w:line="181" w:lineRule="exact"/>
        <w:rPr>
          <w:sz w:val="20"/>
          <w:szCs w:val="20"/>
          <w:color w:val="auto"/>
        </w:rPr>
      </w:pPr>
    </w:p>
    <w:p>
      <w:pPr>
        <w:ind w:right="20" w:firstLine="555"/>
        <w:spacing w:after="0" w:line="302" w:lineRule="auto"/>
        <w:rPr>
          <w:sz w:val="20"/>
          <w:szCs w:val="20"/>
          <w:color w:val="auto"/>
        </w:rPr>
      </w:pPr>
      <w:r>
        <w:rPr>
          <w:rFonts w:ascii="Arial" w:cs="Arial" w:eastAsia="Arial" w:hAnsi="Arial"/>
          <w:sz w:val="16"/>
          <w:szCs w:val="16"/>
          <w:color w:val="auto"/>
        </w:rPr>
        <w:t>For competitive reasons, we may be forced to acquire new slot machines, slot machine systems or gaming and hotel technology and equipment, or enter into participating lease arrangements, that are more expensive than our costs associated with the continued operation of our existing slot machines, equipment and software. If the newer slot machines, equipment or software do not result in sufficient incremental revenues to offset the increased investment, or if we are unable to successfully implement new software or technology, it could adversely affect our operations and profitability.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growth and acquisitions</w:t>
      </w:r>
    </w:p>
    <w:p>
      <w:pPr>
        <w:spacing w:after="0" w:line="117" w:lineRule="exact"/>
        <w:rPr>
          <w:sz w:val="20"/>
          <w:szCs w:val="20"/>
          <w:color w:val="auto"/>
        </w:rPr>
      </w:pPr>
    </w:p>
    <w:p>
      <w:pPr>
        <w:ind w:right="160" w:firstLine="555"/>
        <w:spacing w:after="0" w:line="259" w:lineRule="auto"/>
        <w:rPr>
          <w:sz w:val="20"/>
          <w:szCs w:val="20"/>
          <w:color w:val="auto"/>
        </w:rPr>
      </w:pPr>
      <w:r>
        <w:rPr>
          <w:rFonts w:ascii="Arial" w:cs="Arial" w:eastAsia="Arial" w:hAnsi="Arial"/>
          <w:sz w:val="18"/>
          <w:szCs w:val="18"/>
          <w:color w:val="auto"/>
        </w:rPr>
        <w:t>As part of our business strategy, we regularly evaluate opportunities for growth through development of gaming operations in existing or new markets, through acquiring other gaming entertainment facilities or through redeveloping our existing gaming facilities. In the future, we may also pursue expansion opportunities, including joint ventures, in jurisdictions where casino gaming is not currently permitted in order to be prepared to develop projects upon approval of casino gaming.</w:t>
      </w:r>
    </w:p>
    <w:p>
      <w:pPr>
        <w:spacing w:after="0" w:line="187"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Although we only intend to engage in acquisitions that, if consummated, will be accretive to us and our stockholders, we cannot be sure that we will be able to identify attractive acquisition opportunities or that we will experience the return on investment that we expect. In particular, while we currently anticipate that the acquisitions of Tropicana and Elgin will be accretive to our earnings per share in 2019, this expectation is based on estimates and assumes certain synergies expected to be realized over a 12-month period following the completion of the acquisitions. Such estimates and assumptions could materially change due to factors beyond our control and could delay, decrease or eliminate the expected accretive effect of the acquisitions and cause resulting dilution to our earnings per share or negatively impact the price of our common stock.</w:t>
      </w:r>
    </w:p>
    <w:p>
      <w:pPr>
        <w:spacing w:after="0" w:line="178" w:lineRule="exact"/>
        <w:rPr>
          <w:sz w:val="20"/>
          <w:szCs w:val="20"/>
          <w:color w:val="auto"/>
        </w:rPr>
      </w:pPr>
    </w:p>
    <w:p>
      <w:pPr>
        <w:ind w:right="420" w:firstLine="555"/>
        <w:spacing w:after="0" w:line="277" w:lineRule="auto"/>
        <w:rPr>
          <w:sz w:val="20"/>
          <w:szCs w:val="20"/>
          <w:color w:val="auto"/>
        </w:rPr>
      </w:pPr>
      <w:r>
        <w:rPr>
          <w:rFonts w:ascii="Arial" w:cs="Arial" w:eastAsia="Arial" w:hAnsi="Arial"/>
          <w:sz w:val="18"/>
          <w:szCs w:val="18"/>
          <w:color w:val="auto"/>
        </w:rPr>
        <w:t>In addition, acquisitions require significant management attention and resources to integrate new properties, businesses and operations. Potential difficulties we may encounter as part of the integration process include:</w:t>
      </w:r>
    </w:p>
    <w:p>
      <w:pPr>
        <w:spacing w:after="0" w:line="62" w:lineRule="exact"/>
        <w:rPr>
          <w:sz w:val="20"/>
          <w:szCs w:val="20"/>
          <w:color w:val="auto"/>
        </w:rPr>
      </w:pPr>
    </w:p>
    <w:p>
      <w:pPr>
        <w:ind w:left="1120" w:hanging="558"/>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inability to successfully incorporate acquired assets in a manner that permits us to achieve the full revenue and other benefits anticipated to result from the acquired operations;</w:t>
      </w:r>
    </w:p>
    <w:p>
      <w:pPr>
        <w:spacing w:after="0" w:line="62" w:lineRule="exact"/>
        <w:rPr>
          <w:rFonts w:ascii="Arial" w:cs="Arial" w:eastAsia="Arial" w:hAnsi="Arial"/>
          <w:sz w:val="18"/>
          <w:szCs w:val="18"/>
          <w:color w:val="auto"/>
        </w:rPr>
      </w:pPr>
    </w:p>
    <w:p>
      <w:pPr>
        <w:ind w:left="1120" w:right="140" w:hanging="558"/>
        <w:spacing w:after="0" w:line="312" w:lineRule="auto"/>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complexities associated with managing the combined business, including difficulties addressing possible differences in cultures and management philosophies and the challenge of integrating complex systems, technology, networks and other assets of each of the companies in a seamless manner that minimizes any adverse impact on customers, suppliers, employees and other constituencies; and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3" w:name="page24"/>
    <w:bookmarkEnd w:id="23"/>
    <w:p>
      <w:pPr>
        <w:ind w:left="1120" w:hanging="558"/>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unknown liabilities and unforeseen increased expenses associated with acquired properties.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it is possible that the integration process could result in:</w:t>
      </w:r>
    </w:p>
    <w:p>
      <w:pPr>
        <w:spacing w:after="0" w:line="117" w:lineRule="exact"/>
        <w:rPr>
          <w:sz w:val="20"/>
          <w:szCs w:val="20"/>
          <w:color w:val="auto"/>
        </w:rPr>
      </w:pPr>
    </w:p>
    <w:p>
      <w:pPr>
        <w:ind w:left="1120" w:hanging="55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the attention of our management;</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disruption of, or the loss of momentum in, our ongoing businesses;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inconsistencies in standards, controls, procedures and policies,</w:t>
      </w:r>
    </w:p>
    <w:p>
      <w:pPr>
        <w:spacing w:after="0" w:line="225"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color w:val="auto"/>
        </w:rPr>
        <w:t>any of which could adversely affect our ability to maintain relationships with customers, suppliers, employees and other constituencies or our ability to achieve the anticipated benefits, or could reduce our earnings or otherwise adversely affect our business and financial results.</w:t>
      </w:r>
    </w:p>
    <w:p>
      <w:pPr>
        <w:spacing w:after="0" w:line="170" w:lineRule="exact"/>
        <w:rPr>
          <w:sz w:val="20"/>
          <w:szCs w:val="20"/>
          <w:color w:val="auto"/>
        </w:rPr>
      </w:pPr>
    </w:p>
    <w:p>
      <w:pPr>
        <w:ind w:right="200" w:firstLine="555"/>
        <w:spacing w:after="0" w:line="259" w:lineRule="auto"/>
        <w:rPr>
          <w:sz w:val="20"/>
          <w:szCs w:val="20"/>
          <w:color w:val="auto"/>
        </w:rPr>
      </w:pPr>
      <w:r>
        <w:rPr>
          <w:rFonts w:ascii="Arial" w:cs="Arial" w:eastAsia="Arial" w:hAnsi="Arial"/>
          <w:sz w:val="18"/>
          <w:szCs w:val="18"/>
          <w:color w:val="auto"/>
        </w:rPr>
        <w:t>There can be no assurance that we will be able to identify, acquire, develop or profitably manage additional companies or operations or successfully integrate such companies or operations, into our existing operations without substantial costs, delays or other problems. Additionally, there can be no assurance that we will receive gaming or other necessary licenses or approvals for new projects that we may pursue or that gaming will be approved in jurisdictions where it is not currently approved.</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experience construction delays or cost overruns during our expansion or development projects that could adversely affect our operations</w:t>
      </w:r>
    </w:p>
    <w:p>
      <w:pPr>
        <w:spacing w:after="0" w:line="140" w:lineRule="exact"/>
        <w:rPr>
          <w:sz w:val="20"/>
          <w:szCs w:val="20"/>
          <w:color w:val="auto"/>
        </w:rPr>
      </w:pPr>
    </w:p>
    <w:p>
      <w:pPr>
        <w:ind w:firstLine="555"/>
        <w:spacing w:after="0" w:line="287" w:lineRule="auto"/>
        <w:rPr>
          <w:sz w:val="20"/>
          <w:szCs w:val="20"/>
          <w:color w:val="auto"/>
        </w:rPr>
      </w:pPr>
      <w:r>
        <w:rPr>
          <w:rFonts w:ascii="Arial" w:cs="Arial" w:eastAsia="Arial" w:hAnsi="Arial"/>
          <w:sz w:val="16"/>
          <w:szCs w:val="16"/>
          <w:color w:val="auto"/>
        </w:rPr>
        <w:t>From time to time, we may commence development and construction projects on new properties or at our current properties. We also evaluate other expansion opportunities as they become available and may in the future engage in additional construction projects. As an example, we recently formed a joint venture with Cordish to master plan and develop a mixed-use entertainment and hospitality destination expected to be located on unused land adjacent to the Pompano casino and racetrack. The anticipated costs and construction periods for development and construction projects are based upon budgets, conceptual design documents and construction schedule estimates prepared by us or, in the case of Pompano, our joint venture partner, in consultation with our architects, all of which are subject to assumptions that may be subject to change based on unforeseen circumstances. Development and construction projects entail significant risks, which can substantially increase costs or delay completion of a project. Such risks include shortages of materials or skilled labor, unforeseen engineering, environmental or geological problems, work stoppages, weather interference and unanticipated cost increases. Most of these factors are beyond our control. In addition, difficulties or delays in obtaining any of the requisite entitlements, licenses, permits or authorizations from regulatory authorities can increase the cost or delay the completion of an expansion or development. Significant budget overruns or delays with respect to expansion and development projects could adversely affect our results of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planned capital expenditures may not result in our expected improvements in our business</w:t>
      </w:r>
    </w:p>
    <w:p>
      <w:pPr>
        <w:spacing w:after="0" w:line="117" w:lineRule="exact"/>
        <w:rPr>
          <w:sz w:val="20"/>
          <w:szCs w:val="20"/>
          <w:color w:val="auto"/>
        </w:rPr>
      </w:pPr>
    </w:p>
    <w:p>
      <w:pPr>
        <w:ind w:right="20" w:firstLine="555"/>
        <w:spacing w:after="0" w:line="302" w:lineRule="auto"/>
        <w:rPr>
          <w:sz w:val="20"/>
          <w:szCs w:val="20"/>
          <w:color w:val="auto"/>
        </w:rPr>
      </w:pPr>
      <w:r>
        <w:rPr>
          <w:rFonts w:ascii="Arial" w:cs="Arial" w:eastAsia="Arial" w:hAnsi="Arial"/>
          <w:sz w:val="16"/>
          <w:szCs w:val="16"/>
          <w:color w:val="auto"/>
        </w:rPr>
        <w:t>We regularly expend capital to construct, maintain and renovate our properties to remain competitive, maintain the value and brand standards of our properties and comply with applicable laws and regulations. Our ability to realize the expected returns on our capital investments is dependent on a number of factors, including, general economic conditions; changes to construction plans and specifications; delays in obtaining or inability to obtain necessary permits, licenses and approvals; disputes with contractors; disruptions to our business caused by construction; and other unanticipated circumstances or cost increases.</w:t>
      </w:r>
    </w:p>
    <w:p>
      <w:pPr>
        <w:spacing w:after="0" w:line="154" w:lineRule="exact"/>
        <w:rPr>
          <w:sz w:val="20"/>
          <w:szCs w:val="20"/>
          <w:color w:val="auto"/>
        </w:rPr>
      </w:pPr>
    </w:p>
    <w:p>
      <w:pPr>
        <w:ind w:right="280" w:firstLine="555"/>
        <w:spacing w:after="0" w:line="259" w:lineRule="auto"/>
        <w:rPr>
          <w:sz w:val="20"/>
          <w:szCs w:val="20"/>
          <w:color w:val="auto"/>
        </w:rPr>
      </w:pPr>
      <w:r>
        <w:rPr>
          <w:rFonts w:ascii="Arial" w:cs="Arial" w:eastAsia="Arial" w:hAnsi="Arial"/>
          <w:sz w:val="18"/>
          <w:szCs w:val="18"/>
          <w:color w:val="auto"/>
        </w:rPr>
        <w:t>While we believe that the overall budgets for our planned capital expenditures are reasonable, these costs are estimates and the actual costs may be higher than expected. In addition, we can provide no assurance that these investments will be sufficient or that we will realize our expected returns on our capital investments, or any returns at all. A failure to realize our expected returns on capital investments could materially adversely affect our business, financial condition and results of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i w:val="1"/>
          <w:iCs w:val="1"/>
          <w:color w:val="auto"/>
        </w:rPr>
        <w:t>We may incur impairments to goodwill, indefinite-lived intangible assets, or long-lived assets, which could negatively affect our operating results</w:t>
      </w:r>
    </w:p>
    <w:p>
      <w:pPr>
        <w:spacing w:after="0" w:line="140" w:lineRule="exact"/>
        <w:rPr>
          <w:sz w:val="20"/>
          <w:szCs w:val="20"/>
          <w:color w:val="auto"/>
        </w:rPr>
      </w:pPr>
    </w:p>
    <w:p>
      <w:pPr>
        <w:ind w:right="60" w:firstLine="555"/>
        <w:spacing w:after="0" w:line="291" w:lineRule="auto"/>
        <w:rPr>
          <w:sz w:val="20"/>
          <w:szCs w:val="20"/>
          <w:color w:val="auto"/>
        </w:rPr>
      </w:pPr>
      <w:r>
        <w:rPr>
          <w:rFonts w:ascii="Arial" w:cs="Arial" w:eastAsia="Arial" w:hAnsi="Arial"/>
          <w:sz w:val="16"/>
          <w:szCs w:val="16"/>
          <w:color w:val="auto"/>
        </w:rPr>
        <w:t>As of December 31, 2018, we had $2.4 billion of goodwill and other intangible assets. We perform annual impairment testing for goodwill and indefinite-lived intangible assets as of October 1 of each fiscal year, or on an interim basis if indicators of impairment exist. For properties with goodwill and/or other intangible assets with indefinite lives, these tests could require the comparison of the implied fair value of each reporting unit to carrying value. In conjunction with the classification of Vicksburg’s operations as assets held for sale at March 31, 2018 as a result of the announced sale to Churchill Downs Incorporated, an impairment charge totaling $9.8 million was recorded due to the carrying value exceeding the estimated net sales proceeds. The impairment reduced the value of goodwill. Additionally, in conjunction with the agreement to sell our rights and obligations to operate Nemacolin, an impairment charge totaling $3.8 million was recorded in 2018 due to the carrying value of the property and equipment being sold exceeding the estimated net sales proceeds.</w:t>
      </w:r>
    </w:p>
    <w:p>
      <w:pPr>
        <w:spacing w:after="0" w:line="167" w:lineRule="exact"/>
        <w:rPr>
          <w:sz w:val="20"/>
          <w:szCs w:val="20"/>
          <w:color w:val="auto"/>
        </w:rPr>
      </w:pPr>
    </w:p>
    <w:p>
      <w:pPr>
        <w:ind w:right="400" w:firstLine="555"/>
        <w:spacing w:after="0" w:line="277" w:lineRule="auto"/>
        <w:rPr>
          <w:sz w:val="20"/>
          <w:szCs w:val="20"/>
          <w:color w:val="auto"/>
        </w:rPr>
      </w:pPr>
      <w:r>
        <w:rPr>
          <w:rFonts w:ascii="Arial" w:cs="Arial" w:eastAsia="Arial" w:hAnsi="Arial"/>
          <w:sz w:val="18"/>
          <w:szCs w:val="18"/>
          <w:color w:val="auto"/>
        </w:rPr>
        <w:t>During the fourth quarter of 2017, we recorded an impairment charge totaling $38.0 million to reduce the carrying value of goodwill and/or trade names related to our Lake Charles, Lula and Vicksburg reporting units.</w:t>
      </w:r>
    </w:p>
    <w:p>
      <w:pPr>
        <w:spacing w:after="0" w:line="170"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We must make various assumptions and estimates in performing our impairment testing. Our qualitative assessments including assumptions regarding market and industry conditions and our financial performance. Our quantitative assessment relies on estimates of future cash flows that are based on reasonable and supportable assumptions which represent our best estimates of the cash flows expected to result from the use of the assets including their eventual disposition and by a market approach based upon valuation multiples for similar companies. Changes in estimates or market conditions, increases in our cost of capital, reductions in transaction multiples, operating and capital expenditure assumptions or application of alternative assumptions and definitions, could produce significantly different results.</w:t>
      </w:r>
    </w:p>
    <w:p>
      <w:pPr>
        <w:spacing w:after="0" w:line="193" w:lineRule="exact"/>
        <w:rPr>
          <w:sz w:val="20"/>
          <w:szCs w:val="20"/>
          <w:color w:val="auto"/>
        </w:rPr>
      </w:pPr>
    </w:p>
    <w:p>
      <w:pPr>
        <w:ind w:right="520" w:firstLine="555"/>
        <w:spacing w:after="0" w:line="277" w:lineRule="auto"/>
        <w:rPr>
          <w:sz w:val="20"/>
          <w:szCs w:val="20"/>
          <w:color w:val="auto"/>
        </w:rPr>
      </w:pPr>
      <w:r>
        <w:rPr>
          <w:rFonts w:ascii="Arial" w:cs="Arial" w:eastAsia="Arial" w:hAnsi="Arial"/>
          <w:sz w:val="18"/>
          <w:szCs w:val="18"/>
          <w:color w:val="auto"/>
        </w:rPr>
        <w:t>We also evaluate long-lived assets for impairment if indicators of impairment exist. In assessing the recoverability of the carrying value of such property, equipment and other long-lived assets, we make assumptions regarding future cash flows and residual values.</w:t>
      </w:r>
    </w:p>
    <w:p>
      <w:pPr>
        <w:spacing w:after="0" w:line="170"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color w:val="auto"/>
        </w:rPr>
        <w:t>Future cash flow estimates are, by their nature, subjective and actual results may differ materially from our estimates. If our ongoing estimates of future cash flows are not met, we may have to record additional impairment charges in future accounting periods. Our estimates of cash flows are based on the current regulatory, social and economic climates, recent operating information and budgets, and current operating plans of the various properties where we conduct operations. These estimates could be negatively impacted by changes in federal, state or local regulations, economic downturns, internal operating decisions, or other events affecting various forms of travel and access to our properties.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Capital Structure and Equity 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obligations under our indebtedness and Master Lease are significant</w:t>
      </w:r>
    </w:p>
    <w:p>
      <w:pPr>
        <w:spacing w:after="0" w:line="117" w:lineRule="exact"/>
        <w:rPr>
          <w:sz w:val="20"/>
          <w:szCs w:val="20"/>
          <w:color w:val="auto"/>
        </w:rPr>
      </w:pPr>
    </w:p>
    <w:p>
      <w:pPr>
        <w:ind w:right="20" w:firstLine="555"/>
        <w:spacing w:after="0" w:line="291" w:lineRule="auto"/>
        <w:rPr>
          <w:sz w:val="20"/>
          <w:szCs w:val="20"/>
          <w:color w:val="auto"/>
        </w:rPr>
      </w:pPr>
      <w:r>
        <w:rPr>
          <w:rFonts w:ascii="Arial" w:cs="Arial" w:eastAsia="Arial" w:hAnsi="Arial"/>
          <w:sz w:val="16"/>
          <w:szCs w:val="16"/>
          <w:color w:val="auto"/>
        </w:rPr>
        <w:t>As of December 31, 2018, we had $3.3 billion of total indebtedness outstanding consisting of $956.8 million outstanding under our term loan facility (the “Term Loan Facility” or “Term Loan”), $600 million in aggregate principal amount of outstanding 6.0% senior notes due 2026 (the “6% Senior Notes due 2026”), $875.0 million in aggregate principal amount of outstanding 6.0% senior notes due 2025 (the “6% Senior Notes due 2025”), $375.0 million in aggregate principal amount of outstanding 7.0% senior notes due 2023 (the “7% Senior Notes due 2023”) and $246.0 million of principal outstanding under our loan to fund the purchase of Elgin (“Lumière Loan”). As of December 31, 2018, we had $245.0 outstanding under our $500.0 million revolving credit facility (the “Revolving Credit Facility” and, together with the Term Loan, the “Credit Facility”). In addition, our annual rent payment under the Master Lease is at least $87.6 million and is subject to annual escalation. These financial obligations may have important negative consequences for us, including:</w:t>
      </w:r>
    </w:p>
    <w:p>
      <w:pPr>
        <w:spacing w:after="0" w:line="59" w:lineRule="exact"/>
        <w:rPr>
          <w:sz w:val="20"/>
          <w:szCs w:val="20"/>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limiting our ability to satisfy our obligations;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businesses and the markets in which we operate;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competitors that have less debt;</w:t>
      </w:r>
    </w:p>
    <w:p>
      <w:pPr>
        <w:spacing w:after="0" w:line="117" w:lineRule="exact"/>
        <w:rPr>
          <w:rFonts w:ascii="Arial" w:cs="Arial" w:eastAsia="Arial" w:hAnsi="Arial"/>
          <w:sz w:val="18"/>
          <w:szCs w:val="18"/>
          <w:color w:val="auto"/>
        </w:rPr>
      </w:pPr>
    </w:p>
    <w:p>
      <w:pPr>
        <w:ind w:left="1120" w:right="700" w:hanging="55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our vulnerability to, and limiting our ability to react to, changing market conditions, changes in our industry and economic downturns;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ind w:left="1120" w:hanging="558"/>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working capital requirements, capital expenditures, debt service, acquisitions, general corporate or other obligations;</w:t>
      </w:r>
    </w:p>
    <w:p>
      <w:pPr>
        <w:spacing w:after="0" w:line="62" w:lineRule="exact"/>
        <w:rPr>
          <w:rFonts w:ascii="Arial" w:cs="Arial" w:eastAsia="Arial" w:hAnsi="Arial"/>
          <w:sz w:val="18"/>
          <w:szCs w:val="18"/>
          <w:color w:val="auto"/>
        </w:rPr>
      </w:pPr>
    </w:p>
    <w:p>
      <w:pPr>
        <w:ind w:left="1120" w:right="760" w:hanging="558"/>
        <w:spacing w:after="0" w:line="308" w:lineRule="auto"/>
        <w:tabs>
          <w:tab w:leader="none" w:pos="11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subjecting us to a number of restrictive covenants that, among other things, limit our ability to pay dividends and distributions, make acquisitions and dispositions, borrow additional funds, and make capital expenditures and other investments;</w:t>
      </w:r>
    </w:p>
    <w:p>
      <w:pPr>
        <w:spacing w:after="0" w:line="38" w:lineRule="exact"/>
        <w:rPr>
          <w:rFonts w:ascii="Arial" w:cs="Arial" w:eastAsia="Arial" w:hAnsi="Arial"/>
          <w:sz w:val="17"/>
          <w:szCs w:val="17"/>
          <w:color w:val="auto"/>
        </w:rPr>
      </w:pPr>
    </w:p>
    <w:p>
      <w:pPr>
        <w:ind w:left="1120" w:hanging="55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restricting our and our wholly-owned subsidiaries ability to make dividend payments and other payments;</w:t>
      </w:r>
    </w:p>
    <w:p>
      <w:pPr>
        <w:spacing w:after="0" w:line="117" w:lineRule="exact"/>
        <w:rPr>
          <w:rFonts w:ascii="Arial" w:cs="Arial" w:eastAsia="Arial" w:hAnsi="Arial"/>
          <w:sz w:val="18"/>
          <w:szCs w:val="18"/>
          <w:color w:val="auto"/>
        </w:rPr>
      </w:pPr>
    </w:p>
    <w:p>
      <w:pPr>
        <w:ind w:left="1120" w:right="220" w:hanging="558"/>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our ability to use operating cash flow in other areas of our business because we must dedicate a significant portion of these funds to make principal and/or interest payments on our outstanding debt;</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exposing us to interest rate risk due to the variable interest rate on borrowings under our Credit Facility;</w:t>
      </w:r>
    </w:p>
    <w:p>
      <w:pPr>
        <w:spacing w:after="0" w:line="117" w:lineRule="exact"/>
        <w:rPr>
          <w:rFonts w:ascii="Arial" w:cs="Arial" w:eastAsia="Arial" w:hAnsi="Arial"/>
          <w:sz w:val="18"/>
          <w:szCs w:val="18"/>
          <w:color w:val="auto"/>
        </w:rPr>
      </w:pPr>
    </w:p>
    <w:p>
      <w:pPr>
        <w:ind w:left="1120" w:right="80" w:hanging="558"/>
        <w:spacing w:after="0" w:line="308" w:lineRule="auto"/>
        <w:tabs>
          <w:tab w:leader="none" w:pos="11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causing our failure to comply with the financial and restrictive covenants contained in our current or future indebtedness, which could cause a default under such indebtedness and which, if not cured or waived, could have a material adverse effect on us; and</w:t>
      </w:r>
    </w:p>
    <w:p>
      <w:pPr>
        <w:spacing w:after="0" w:line="38" w:lineRule="exact"/>
        <w:rPr>
          <w:rFonts w:ascii="Arial" w:cs="Arial" w:eastAsia="Arial" w:hAnsi="Arial"/>
          <w:sz w:val="17"/>
          <w:szCs w:val="17"/>
          <w:color w:val="auto"/>
        </w:rPr>
      </w:pPr>
    </w:p>
    <w:p>
      <w:pPr>
        <w:ind w:left="1120" w:hanging="55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affecting our ability to renew gaming and other licenses necessary to conduct our business.</w:t>
      </w:r>
    </w:p>
    <w:p>
      <w:pPr>
        <w:spacing w:after="0" w:line="333" w:lineRule="exact"/>
        <w:rPr>
          <w:sz w:val="20"/>
          <w:szCs w:val="20"/>
          <w:color w:val="auto"/>
        </w:rPr>
      </w:pPr>
    </w:p>
    <w:p>
      <w:pPr>
        <w:ind w:right="40" w:firstLine="555"/>
        <w:spacing w:after="0" w:line="276" w:lineRule="auto"/>
        <w:rPr>
          <w:sz w:val="20"/>
          <w:szCs w:val="20"/>
          <w:color w:val="auto"/>
        </w:rPr>
      </w:pPr>
      <w:r>
        <w:rPr>
          <w:rFonts w:ascii="Arial" w:cs="Arial" w:eastAsia="Arial" w:hAnsi="Arial"/>
          <w:sz w:val="17"/>
          <w:szCs w:val="17"/>
          <w:color w:val="auto"/>
        </w:rPr>
        <w:t>In addition, the Master Lease requires us to make specific minimum investments in capital expenditures and, subject to certain caps, the rent escalations under the Master Lease will continue to apply regardless of the cash flows generated by the properties subject to the Master Lease and the obligations under the Master Lease are guaranteed by ERI. If the cash flows generated by the leased properties decrease, or do not increase at the same rate as the rent escalations, the rent payable under the Master Lease and required capital expenditures could constitute a higher percentage of cash flows generated by the leased properties, which could materially exacerbate the consequences described above.</w:t>
      </w:r>
    </w:p>
    <w:p>
      <w:pPr>
        <w:spacing w:after="0" w:line="2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Despite our current indebtedness levels, we and our subsidiaries may still incur significant additional indebtedness. Incurring more indebtedness could increase the risks associated with our substantial indebtedness</w:t>
      </w:r>
    </w:p>
    <w:p>
      <w:pPr>
        <w:spacing w:after="0" w:line="62"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color w:val="auto"/>
        </w:rPr>
        <w:t>We and our subsidiaries may be able to incur substantial additional indebtedness, including additional secured indebtedness, and may enter into financing obligations similar to the Master Lease in the future. As of December 31, 2018, we had $242.3 million of borrowing capacity, after consideration of $12.7 million in outstanding letters of credit, under our Credit Facility. Our existing debt agreements currently permit, and we expect that agreements governing debt that we incur in the future will permit, us to incur certain other additional secured and unsecured debt. Further, we may incur other liabilities that do not constitute indebtedness. The risks that we face based on our outstanding indebtedness may intensify if we incur additional indebtedness or financing obligations in the future.</w:t>
      </w:r>
    </w:p>
    <w:p>
      <w:pPr>
        <w:spacing w:after="0" w:line="30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pay rent under the Master Lease and may be forced to take other actions to satisfy our obligations under our indebtedness, which may not be successful</w:t>
      </w:r>
    </w:p>
    <w:p>
      <w:pPr>
        <w:spacing w:after="0" w:line="62"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Our ability to satisfy our rent obligations under the Master Lease and make scheduled payments on or to refinance our debt obligations depends on our financial condition and operating performance, which is subject to prevailing economic and competitive conditions and to certain financial, business, legislative, regulatory and other factors beyond our control. We cannot assure you that we will maintain a level of cash flows from operating activities sufficient to permit us to pay rent under the Master Lease and the principal, premium, if any, and interest on our indebtedness.</w:t>
      </w:r>
    </w:p>
    <w:p>
      <w:pPr>
        <w:spacing w:after="0" w:line="171" w:lineRule="exact"/>
        <w:rPr>
          <w:sz w:val="20"/>
          <w:szCs w:val="20"/>
          <w:color w:val="auto"/>
        </w:rPr>
      </w:pPr>
    </w:p>
    <w:p>
      <w:pPr>
        <w:ind w:right="40" w:firstLine="555"/>
        <w:spacing w:after="0" w:line="290" w:lineRule="auto"/>
        <w:rPr>
          <w:sz w:val="20"/>
          <w:szCs w:val="20"/>
          <w:color w:val="auto"/>
        </w:rPr>
      </w:pPr>
      <w:r>
        <w:rPr>
          <w:rFonts w:ascii="Arial" w:cs="Arial" w:eastAsia="Arial" w:hAnsi="Arial"/>
          <w:sz w:val="16"/>
          <w:szCs w:val="16"/>
          <w:color w:val="auto"/>
        </w:rPr>
        <w:t>If our cash flows and capital resources are insufficient to fund our debt service and rent obligations, we may be forced to reduce or delay investments and capital expenditures, or to sell assets, seek additional capital or restructure or refinance our indebtedness. These alternative measures may not be successful and may not permit us to meet our scheduled debt service and rent obligations. If our operating results and available cash are insufficient to meet our debt service and rent obligations, we could face substantial liquidity problems and might be required to dispose of material assets or operations to meet our debt service and other obligations. We may not be able to consummate those dispositions or to obtain the proceeds that we could realize from them, and these proceeds may not be adequate to meet any debt service obligations then due. Additionally, the agreements governing our existing debt restrict sales of assets and limit the use of the proceeds from any disposition and our Master Lease limits our ability to dispose of leased properties; as a result, we may not be allowed, under these documents, to dispose of certain of our properties and use proceeds from such dispositions to satisfy all current debt service obligations.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6" w:name="page27"/>
    <w:bookmarkEnd w:id="26"/>
    <w:p>
      <w:pPr>
        <w:ind w:right="100"/>
        <w:spacing w:after="0" w:line="277" w:lineRule="auto"/>
        <w:rPr>
          <w:sz w:val="20"/>
          <w:szCs w:val="20"/>
          <w:color w:val="auto"/>
        </w:rPr>
      </w:pPr>
      <w:r>
        <w:rPr>
          <w:rFonts w:ascii="Arial" w:cs="Arial" w:eastAsia="Arial" w:hAnsi="Arial"/>
          <w:sz w:val="18"/>
          <w:szCs w:val="18"/>
          <w:b w:val="1"/>
          <w:bCs w:val="1"/>
          <w:i w:val="1"/>
          <w:iCs w:val="1"/>
          <w:color w:val="auto"/>
        </w:rPr>
        <w:t>The agreements governing our debt and the Master Lease impose significant operating and financial restrictions on us and our subsidiaries, which may prevent us from capitalizing on business opportunities</w:t>
      </w:r>
    </w:p>
    <w:p>
      <w:pPr>
        <w:spacing w:after="0" w:line="62"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color w:val="auto"/>
        </w:rPr>
        <w:t>The agreements governing our existing debt impose significant operating and financial restrictions on us. These restrictions limit our ability, among other things, to:</w:t>
      </w:r>
    </w:p>
    <w:p>
      <w:pPr>
        <w:spacing w:after="0" w:line="62" w:lineRule="exact"/>
        <w:rPr>
          <w:sz w:val="20"/>
          <w:szCs w:val="20"/>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liens or other encumbrances;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dividends or make other restricted payments;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agree to payment restrictions affecting our restricted subsidiaries;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prepay subordinated indebtedness;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investments, loans or other guarantees;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sell or otherwise dispose of a portion of our assets; or</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acquisitions or merge or consolidate with another entity.</w:t>
      </w:r>
    </w:p>
    <w:p>
      <w:pPr>
        <w:spacing w:after="0" w:line="225" w:lineRule="exact"/>
        <w:rPr>
          <w:sz w:val="20"/>
          <w:szCs w:val="20"/>
          <w:color w:val="auto"/>
        </w:rPr>
      </w:pPr>
    </w:p>
    <w:p>
      <w:pPr>
        <w:ind w:right="240" w:firstLine="555"/>
        <w:spacing w:after="0" w:line="277" w:lineRule="auto"/>
        <w:rPr>
          <w:sz w:val="20"/>
          <w:szCs w:val="20"/>
          <w:color w:val="auto"/>
        </w:rPr>
      </w:pPr>
      <w:r>
        <w:rPr>
          <w:rFonts w:ascii="Arial" w:cs="Arial" w:eastAsia="Arial" w:hAnsi="Arial"/>
          <w:sz w:val="18"/>
          <w:szCs w:val="18"/>
          <w:color w:val="auto"/>
        </w:rPr>
        <w:t>In addition, the credit agreement governing the Credit Facility contains certain financial covenants, including minimum interest coverage ratio and maximum total leverage ratio covenants.</w:t>
      </w:r>
    </w:p>
    <w:p>
      <w:pPr>
        <w:spacing w:after="0" w:line="170" w:lineRule="exact"/>
        <w:rPr>
          <w:sz w:val="20"/>
          <w:szCs w:val="20"/>
          <w:color w:val="auto"/>
        </w:rPr>
      </w:pPr>
    </w:p>
    <w:p>
      <w:pPr>
        <w:ind w:right="80" w:firstLine="555"/>
        <w:spacing w:after="0" w:line="302" w:lineRule="auto"/>
        <w:rPr>
          <w:sz w:val="20"/>
          <w:szCs w:val="20"/>
          <w:color w:val="auto"/>
        </w:rPr>
      </w:pPr>
      <w:r>
        <w:rPr>
          <w:rFonts w:ascii="Arial" w:cs="Arial" w:eastAsia="Arial" w:hAnsi="Arial"/>
          <w:sz w:val="16"/>
          <w:szCs w:val="16"/>
          <w:color w:val="auto"/>
        </w:rPr>
        <w:t>A failure to comply with the covenants contained in the agreements governing our existing or future indebtedness could result in an event of default, which, if not cured or waived, could result in the acceleration of the indebtedness and have a material adverse effect on our business, financial condition and results of operations. If our indebtedness were to be accelerated, there can be no assurance that our assets would be sufficient to repay such indebtedness in full. Moreover, in the event that such indebtedness is accelerated, there can be no assurance that we will be able to refinance it on acceptable terms, or at all.</w:t>
      </w:r>
    </w:p>
    <w:p>
      <w:pPr>
        <w:spacing w:after="0" w:line="154" w:lineRule="exact"/>
        <w:rPr>
          <w:sz w:val="20"/>
          <w:szCs w:val="20"/>
          <w:color w:val="auto"/>
        </w:rPr>
      </w:pPr>
    </w:p>
    <w:p>
      <w:pPr>
        <w:jc w:val="both"/>
        <w:ind w:right="400" w:firstLine="555"/>
        <w:spacing w:after="0" w:line="286" w:lineRule="auto"/>
        <w:rPr>
          <w:sz w:val="20"/>
          <w:szCs w:val="20"/>
          <w:color w:val="auto"/>
        </w:rPr>
      </w:pPr>
      <w:r>
        <w:rPr>
          <w:rFonts w:ascii="Arial" w:cs="Arial" w:eastAsia="Arial" w:hAnsi="Arial"/>
          <w:sz w:val="17"/>
          <w:szCs w:val="17"/>
          <w:color w:val="auto"/>
        </w:rPr>
        <w:t>In addition, our Master Lease imposes restrictions on the business activities of the tenant, including restrictions on transfers of leased properties, requirements to make minimum specified levels of capital expenditures and limitations on the operation of the leased properties. The Master Lease also restricts payments of dividends if the tenant does not meet the specified minimum adjusted revenue to rent ratio.</w:t>
      </w:r>
    </w:p>
    <w:p>
      <w:pPr>
        <w:spacing w:after="0" w:line="166"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As a result of these covenants and restrictions, we are limited in how we conduct our business and we may be unable to raise additional debt or equity financing to compete effectively or to take advantage of new business opportunities. The restrictions caused by such covenants could also place us at a competitive disadvantage to our competitors.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could fluctuate significantly</w:t>
      </w:r>
    </w:p>
    <w:p>
      <w:pPr>
        <w:spacing w:after="0" w:line="117" w:lineRule="exact"/>
        <w:rPr>
          <w:sz w:val="20"/>
          <w:szCs w:val="20"/>
          <w:color w:val="auto"/>
        </w:rPr>
      </w:pPr>
    </w:p>
    <w:p>
      <w:pPr>
        <w:jc w:val="both"/>
        <w:ind w:right="80" w:firstLine="555"/>
        <w:spacing w:after="0" w:line="312" w:lineRule="auto"/>
        <w:rPr>
          <w:sz w:val="20"/>
          <w:szCs w:val="20"/>
          <w:color w:val="auto"/>
        </w:rPr>
      </w:pPr>
      <w:r>
        <w:rPr>
          <w:rFonts w:ascii="Arial" w:cs="Arial" w:eastAsia="Arial" w:hAnsi="Arial"/>
          <w:sz w:val="16"/>
          <w:szCs w:val="16"/>
          <w:color w:val="auto"/>
        </w:rPr>
        <w:t>The U.S. securities markets in general have experienced significant price fluctuations in recent years. The market price of our common stock may be volatile and subject to wide fluctuations. In addition, the trading volume of our common stock may fluctuate and cause significant price variations to occur. Some of the factors that could cause fluctuations in, or have a material adverse effect on, the stock price or trading volume of our common stock include:</w:t>
      </w:r>
    </w:p>
    <w:p>
      <w:pPr>
        <w:spacing w:after="0" w:line="39" w:lineRule="exact"/>
        <w:rPr>
          <w:sz w:val="20"/>
          <w:szCs w:val="20"/>
          <w:color w:val="auto"/>
        </w:rPr>
      </w:pPr>
    </w:p>
    <w:p>
      <w:pPr>
        <w:ind w:left="1120" w:hanging="55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market and economic conditions, including market conditions in the hotel and casino industries;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expected variations in operating results;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differences between actual operating results and those expected by investors and analysts;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recommendations by securities analysts;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operations and stock performance of competitors;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accounting charges, including charges relating to the impairment of goodwill;</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 acquisitions or strategic alliances by us or by competitors;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our common stock or other securities in the future, including sales by our directors and officers or significant investors;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27" w:name="page28"/>
    <w:bookmarkEnd w:id="27"/>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conditions and trends in the gaming and entertainment industries;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estimate of the future size and growth of our markets;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reserves for professional liability claims.</w:t>
      </w:r>
    </w:p>
    <w:p>
      <w:pPr>
        <w:spacing w:after="0" w:line="225"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We cannot assure you that the stock price of our common stock will not fluctuate or decline significantly in the future. In addition, the stock market in general can experience considerable price and volume fluctuations that may be unrelated to our performance. If the market price of our common stock fluctuates significantly, we may become the subject of securities class action litigation which may result in substantial costs and a diversion of management’s attention and resources.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historically paid dividends and may not pay dividends in the future</w:t>
      </w:r>
    </w:p>
    <w:p>
      <w:pPr>
        <w:spacing w:after="0" w:line="117"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We do not currently expect to pay dividends on its common stock. Any determination to pay dividends in the future will be at the discretion of our board of directors and will depend upon among other factors, our earnings, cash requirements, financial condition, requirements to comply with the covenants under its debt instruments, legal considerations, and other factors that our board of directors deems relevant. In addition, the agreements governing our indebtedness restrict its ability to pay dividends. If we do not pay dividends, then the return on an investment in its common stock will depend entirely upon any future appreciation in its stock price. There is no guarantee that our common stock will appreciate in value or maintain its value.</w:t>
      </w:r>
    </w:p>
    <w:p>
      <w:pPr>
        <w:spacing w:after="0" w:line="26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Information relating to the location and general characteristics of our properties is provided in Part I, Item I, Business, Properties.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2018, our facilities located on property that we own or lease, were as follows:</w:t>
      </w:r>
    </w:p>
    <w:p>
      <w:pPr>
        <w:spacing w:after="0" w:line="117" w:lineRule="exact"/>
        <w:rPr>
          <w:sz w:val="20"/>
          <w:szCs w:val="20"/>
          <w:color w:val="auto"/>
        </w:rPr>
      </w:pPr>
    </w:p>
    <w:p>
      <w:pPr>
        <w:ind w:left="1120" w:right="360" w:hanging="558"/>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lease approximately 30,000 square feet on the approximately 159,000 square foot parcel on which Eldorado Reno is located, in Reno, Nevada.</w:t>
      </w:r>
    </w:p>
    <w:p>
      <w:pPr>
        <w:spacing w:after="0" w:line="62" w:lineRule="exact"/>
        <w:rPr>
          <w:rFonts w:ascii="Arial" w:cs="Arial" w:eastAsia="Arial" w:hAnsi="Arial"/>
          <w:sz w:val="18"/>
          <w:szCs w:val="18"/>
          <w:color w:val="auto"/>
        </w:rPr>
      </w:pPr>
    </w:p>
    <w:p>
      <w:pPr>
        <w:ind w:left="1120" w:right="360" w:hanging="558"/>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own two parcels of property totaling approximately 38,000 square feet across the street from Eldorado Reno and two adjacent parcels totaling approximately 18,700 square feet.</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own five acres of land in Reno, Nevada where the Silver Legacy is located.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Circus Reno leases approximately 36,000 square feet on the approximately 10 acres on which Circus Reno is located, in Reno, Nevada.</w:t>
      </w:r>
    </w:p>
    <w:p>
      <w:pPr>
        <w:spacing w:after="0" w:line="128" w:lineRule="exact"/>
        <w:rPr>
          <w:rFonts w:ascii="Arial" w:cs="Arial" w:eastAsia="Arial" w:hAnsi="Arial"/>
          <w:sz w:val="17"/>
          <w:szCs w:val="17"/>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lease approximately nine acres of land in Shreveport, Louisiana on which Eldorado Shreveport is located.</w:t>
      </w:r>
    </w:p>
    <w:p>
      <w:pPr>
        <w:spacing w:after="0" w:line="117" w:lineRule="exact"/>
        <w:rPr>
          <w:rFonts w:ascii="Arial" w:cs="Arial" w:eastAsia="Arial" w:hAnsi="Arial"/>
          <w:sz w:val="18"/>
          <w:szCs w:val="18"/>
          <w:color w:val="auto"/>
        </w:rPr>
      </w:pPr>
    </w:p>
    <w:p>
      <w:pPr>
        <w:ind w:left="1120" w:right="200" w:hanging="558"/>
        <w:spacing w:after="0" w:line="223" w:lineRule="exact"/>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Mountaineer is located on approximately 1,680 acres of land that we own in Chester, Hancock County, West Virginia. Included in the 1,680 acres of land is approximately 1,290 acres of land that are considered non</w:t>
      </w:r>
      <w:r>
        <w:rPr>
          <w:rFonts w:ascii="MS PGothic" w:cs="MS PGothic" w:eastAsia="MS PGothic" w:hAnsi="MS PGothic"/>
          <w:sz w:val="18"/>
          <w:szCs w:val="18"/>
          <w:color w:val="auto"/>
        </w:rPr>
        <w:t>‑</w:t>
      </w:r>
      <w:r>
        <w:rPr>
          <w:rFonts w:ascii="Arial" w:cs="Arial" w:eastAsia="Arial" w:hAnsi="Arial"/>
          <w:sz w:val="18"/>
          <w:szCs w:val="18"/>
          <w:color w:val="auto"/>
        </w:rPr>
        <w:t>operating real properties.</w:t>
      </w:r>
    </w:p>
    <w:p>
      <w:pPr>
        <w:spacing w:after="0" w:line="95"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Scioto Downs is located on approximately 208 acres of land that we own in Columbus, Ohio.</w:t>
      </w:r>
    </w:p>
    <w:p>
      <w:pPr>
        <w:spacing w:after="0" w:line="117" w:lineRule="exact"/>
        <w:rPr>
          <w:rFonts w:ascii="Arial" w:cs="Arial" w:eastAsia="Arial" w:hAnsi="Arial"/>
          <w:sz w:val="18"/>
          <w:szCs w:val="18"/>
          <w:color w:val="auto"/>
        </w:rPr>
      </w:pPr>
    </w:p>
    <w:p>
      <w:pPr>
        <w:ind w:left="1120" w:right="280" w:hanging="558"/>
        <w:spacing w:after="0" w:line="221" w:lineRule="exact"/>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Presque Isle Downs is located on 272 acres of land that we own in Summit Township, Erie County, Pennsylvania. In addition, we own two other parcels of land: a 213</w:t>
      </w:r>
      <w:r>
        <w:rPr>
          <w:rFonts w:ascii="MS PGothic" w:cs="MS PGothic" w:eastAsia="MS PGothic" w:hAnsi="MS PGothic"/>
          <w:sz w:val="18"/>
          <w:szCs w:val="18"/>
          <w:color w:val="auto"/>
        </w:rPr>
        <w:t>‑</w:t>
      </w:r>
      <w:r>
        <w:rPr>
          <w:rFonts w:ascii="Arial" w:cs="Arial" w:eastAsia="Arial" w:hAnsi="Arial"/>
          <w:sz w:val="18"/>
          <w:szCs w:val="18"/>
          <w:color w:val="auto"/>
        </w:rPr>
        <w:t>acre site in McKean Township, Pennsylvania and a six acre site in Summit Township that formerly housed an off</w:t>
      </w:r>
      <w:r>
        <w:rPr>
          <w:rFonts w:ascii="MS PGothic" w:cs="MS PGothic" w:eastAsia="MS PGothic" w:hAnsi="MS PGothic"/>
          <w:sz w:val="18"/>
          <w:szCs w:val="18"/>
          <w:color w:val="auto"/>
        </w:rPr>
        <w:t>‑</w:t>
      </w:r>
      <w:r>
        <w:rPr>
          <w:rFonts w:ascii="Arial" w:cs="Arial" w:eastAsia="Arial" w:hAnsi="Arial"/>
          <w:sz w:val="18"/>
          <w:szCs w:val="18"/>
          <w:color w:val="auto"/>
        </w:rPr>
        <w:t>track wagering facility, each of which are considered non</w:t>
      </w:r>
      <w:r>
        <w:rPr>
          <w:rFonts w:ascii="MS PGothic" w:cs="MS PGothic" w:eastAsia="MS PGothic" w:hAnsi="MS PGothic"/>
          <w:sz w:val="18"/>
          <w:szCs w:val="18"/>
          <w:color w:val="auto"/>
        </w:rPr>
        <w:t>‑</w:t>
      </w:r>
      <w:r>
        <w:rPr>
          <w:rFonts w:ascii="Arial" w:cs="Arial" w:eastAsia="Arial" w:hAnsi="Arial"/>
          <w:sz w:val="18"/>
          <w:szCs w:val="18"/>
          <w:color w:val="auto"/>
        </w:rPr>
        <w:t>operating real properties.</w:t>
      </w:r>
    </w:p>
    <w:p>
      <w:pPr>
        <w:spacing w:after="0" w:line="93" w:lineRule="exact"/>
        <w:rPr>
          <w:rFonts w:ascii="Arial" w:cs="Arial" w:eastAsia="Arial" w:hAnsi="Arial"/>
          <w:sz w:val="18"/>
          <w:szCs w:val="18"/>
          <w:color w:val="auto"/>
        </w:rPr>
      </w:pPr>
    </w:p>
    <w:p>
      <w:pPr>
        <w:ind w:left="1120" w:right="80" w:hanging="558"/>
        <w:spacing w:after="0" w:line="259"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own approximately 10 acres of land in Black Hawk, Colorado for use in connection with our Black Hawk operations. The property leases an additional parcel of land adjoining the Isle Black Hawk where the Lady Luck Hotel and parking lot are located. We own or lease approximately seven acres of land in Black Hawk, Colorado for use in connection with the Lady Luck Black Hawk. The property leases an additional parcel of land near the Lady Luck Black Hawk for parking as described above.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8" w:name="page29"/>
    <w:bookmarkEnd w:id="28"/>
    <w:p>
      <w:pPr>
        <w:ind w:left="1120" w:right="280" w:hanging="558"/>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own approximately 223 acres of land at Pompano. We have agreed to contribute a portion of this land to our joint venture project with Cordish.</w:t>
      </w:r>
    </w:p>
    <w:p>
      <w:pPr>
        <w:spacing w:after="0" w:line="62" w:lineRule="exact"/>
        <w:rPr>
          <w:rFonts w:ascii="Arial" w:cs="Arial" w:eastAsia="Arial" w:hAnsi="Arial"/>
          <w:sz w:val="18"/>
          <w:szCs w:val="18"/>
          <w:color w:val="auto"/>
        </w:rPr>
      </w:pPr>
    </w:p>
    <w:p>
      <w:pPr>
        <w:ind w:left="1120" w:right="300" w:hanging="558"/>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own approximately 2.7 acres and lease approximately 16.2 acres of land in Calcasieu Parish, Louisiana for use in connection with our Lake Charles operations.</w:t>
      </w:r>
    </w:p>
    <w:p>
      <w:pPr>
        <w:spacing w:after="0" w:line="62" w:lineRule="exact"/>
        <w:rPr>
          <w:rFonts w:ascii="Arial" w:cs="Arial" w:eastAsia="Arial" w:hAnsi="Arial"/>
          <w:sz w:val="18"/>
          <w:szCs w:val="18"/>
          <w:color w:val="auto"/>
        </w:rPr>
      </w:pPr>
    </w:p>
    <w:p>
      <w:pPr>
        <w:ind w:left="1120" w:right="100" w:hanging="558"/>
        <w:spacing w:after="0" w:line="264"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own approximately 24.6 acres of land in Bettendorf, Iowa used in connection with the operations of our Bettendorf property. We also operate under a long-term lease with the City of Bettendorf, the QC Waterfront Convention Center that is adjacent to our northernmost hotel tower. We also lease approximately eight acres of land on a month-to-month basis.</w:t>
      </w:r>
    </w:p>
    <w:p>
      <w:pPr>
        <w:spacing w:after="0" w:line="73"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own approximately 54 acres of land in Waterloo, Iowa used in connection with the operation of our Waterloo property.</w:t>
      </w:r>
    </w:p>
    <w:p>
      <w:pPr>
        <w:spacing w:after="0" w:line="117" w:lineRule="exact"/>
        <w:rPr>
          <w:rFonts w:ascii="Arial" w:cs="Arial" w:eastAsia="Arial" w:hAnsi="Arial"/>
          <w:sz w:val="18"/>
          <w:szCs w:val="18"/>
          <w:color w:val="auto"/>
        </w:rPr>
      </w:pPr>
    </w:p>
    <w:p>
      <w:pPr>
        <w:ind w:left="1120" w:right="240" w:hanging="558"/>
        <w:spacing w:after="0" w:line="342" w:lineRule="auto"/>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lease approximately 1,000 acres of land in Coahoma County, Mississippi and utilize approximately 50 acres in connection with the operations in Lula, Mississippi. We also own approximately 100 acres in Coahoma County, which may be utilized for future development.</w:t>
      </w:r>
    </w:p>
    <w:p>
      <w:pPr>
        <w:spacing w:after="0" w:line="15" w:lineRule="exact"/>
        <w:rPr>
          <w:rFonts w:ascii="Arial" w:cs="Arial" w:eastAsia="Arial" w:hAnsi="Arial"/>
          <w:sz w:val="16"/>
          <w:szCs w:val="16"/>
          <w:color w:val="auto"/>
        </w:rPr>
      </w:pPr>
    </w:p>
    <w:p>
      <w:pPr>
        <w:ind w:left="1120" w:hanging="558"/>
        <w:spacing w:after="0"/>
        <w:tabs>
          <w:tab w:leader="none" w:pos="11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own approximately 60 acres in Vicksburg, Mississippi which are used in connection with the operations of our Vicksburg property.</w:t>
      </w:r>
    </w:p>
    <w:p>
      <w:pPr>
        <w:spacing w:after="0" w:line="128" w:lineRule="exact"/>
        <w:rPr>
          <w:rFonts w:ascii="Arial" w:cs="Arial" w:eastAsia="Arial" w:hAnsi="Arial"/>
          <w:sz w:val="17"/>
          <w:szCs w:val="17"/>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lease our 27-acre casino site in Boonville, Missouri.</w:t>
      </w:r>
    </w:p>
    <w:p>
      <w:pPr>
        <w:spacing w:after="0" w:line="117" w:lineRule="exact"/>
        <w:rPr>
          <w:rFonts w:ascii="Arial" w:cs="Arial" w:eastAsia="Arial" w:hAnsi="Arial"/>
          <w:sz w:val="18"/>
          <w:szCs w:val="18"/>
          <w:color w:val="auto"/>
        </w:rPr>
      </w:pPr>
    </w:p>
    <w:p>
      <w:pPr>
        <w:ind w:left="1120" w:right="560" w:hanging="558"/>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own approximately 22 acres in Cape Girardeau, Missouri which are used in connection with the operations of our Cape Girardeau property.</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own approximately 37 acres, including our riverboat casino in Caruthersville, Missouri.</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lease approximately 28 acres of land in connection with the operation of our Kansas City property.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operate under a lease for 30 acres of land and building in which we operate our Nemacolin casino.</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lease approximately 18 acres of land and our casino and hotel in Atlantic City under the Master Lease.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lease approximately 29 acres of land and our casino and two hotels in Evansville, Indiana under the Master Lease.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lease approximately 94 acres of land, our casino and hotel in Laughlin, Nevada under the Master Lease.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lease approximately seven acres, our riverboat and land side casino and hotel in Greenville, Mississippi under the Master Lease.</w:t>
      </w:r>
    </w:p>
    <w:p>
      <w:pPr>
        <w:spacing w:after="0" w:line="128" w:lineRule="exact"/>
        <w:rPr>
          <w:rFonts w:ascii="Arial" w:cs="Arial" w:eastAsia="Arial" w:hAnsi="Arial"/>
          <w:sz w:val="17"/>
          <w:szCs w:val="17"/>
          <w:color w:val="auto"/>
        </w:rPr>
      </w:pPr>
    </w:p>
    <w:p>
      <w:pPr>
        <w:ind w:left="1120" w:right="380" w:hanging="558"/>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lease approximate 18 acres of land, our dockside gaming facility and a hotel in Baton Rouge, Louisiana. Approximately 14 acres are leased under the Master Lease, while the remainder our leased from unrelated third parties.</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own approximately 19 acres of land and our gaming facility and hotels in St. Louis, Missouri related to our Lumière casino. The purchase of this real property was financed under the Lumière Loan.</w:t>
      </w:r>
    </w:p>
    <w:p>
      <w:pPr>
        <w:spacing w:after="0" w:line="62" w:lineRule="exact"/>
        <w:rPr>
          <w:rFonts w:ascii="Arial" w:cs="Arial" w:eastAsia="Arial" w:hAnsi="Arial"/>
          <w:sz w:val="18"/>
          <w:szCs w:val="18"/>
          <w:color w:val="auto"/>
        </w:rPr>
      </w:pPr>
    </w:p>
    <w:p>
      <w:pPr>
        <w:ind w:left="1120" w:right="220" w:hanging="558"/>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lease approximately 21 acres of land in South Lake, Tahoe, Nevada, on which our casino and hotel facilities and related parking lot are located.</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lease our corporate offices in Reno, Nevada, Creve Coeur, Missouri and Las Vegas, Nevada.</w:t>
      </w:r>
    </w:p>
    <w:p>
      <w:pPr>
        <w:spacing w:after="0" w:line="225" w:lineRule="exact"/>
        <w:rPr>
          <w:sz w:val="20"/>
          <w:szCs w:val="20"/>
          <w:color w:val="auto"/>
        </w:rPr>
      </w:pPr>
    </w:p>
    <w:p>
      <w:pPr>
        <w:ind w:right="360" w:firstLine="555"/>
        <w:spacing w:after="0" w:line="342" w:lineRule="auto"/>
        <w:rPr>
          <w:sz w:val="20"/>
          <w:szCs w:val="20"/>
          <w:color w:val="auto"/>
        </w:rPr>
      </w:pPr>
      <w:r>
        <w:rPr>
          <w:rFonts w:ascii="Arial" w:cs="Arial" w:eastAsia="Arial" w:hAnsi="Arial"/>
          <w:sz w:val="16"/>
          <w:szCs w:val="16"/>
          <w:color w:val="auto"/>
        </w:rPr>
        <w:t>We own additional property and have various property leases and options to either lease or purchase property that are not directly related to our existing operations and that may be utilized in the future in connection with expansion projects at our existing facilities or development of new projects.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Substantially all of our assets are pledged to secure our outstanding indebtedness under the senior notes and credit obligations.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449" w:right="339" w:bottom="1440" w:gutter="0" w:footer="0" w:header="0"/>
        </w:sectPr>
      </w:pPr>
    </w:p>
    <w:bookmarkStart w:id="29" w:name="page30"/>
    <w:bookmarkEnd w:id="29"/>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We are a party to various legal and administrative proceedings, which have arisen in the normal course of our business. Estimated losses are accrued for these proceedings when the loss is probable and can be estimated. The current liability for the estimated losses associated with these proceedings is not material to our consolidated financial condition and those estimated losses are not expected to have a material impact on our results of operations. In addition, we maintain what we believe is adequate insurance coverage to further mitigate the risks of such proceedings. However, such proceedings can be costly, time consuming and unpredictable and, therefore, no assurance can be given that the final outcome of such proceedings may not materially impact our consolidated financial condition or results of operations. Further, no assurance can be given that the amount of scope of existing insurance coverage will be sufficient to cover losses arising from such matter.</w:t>
      </w:r>
    </w:p>
    <w:p>
      <w:pPr>
        <w:spacing w:after="0" w:line="28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30" w:name="page31"/>
    <w:bookmarkEnd w:id="30"/>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and Related Stockholder Matters and Issuer Purchases of Equity Securities.</w:t>
      </w:r>
    </w:p>
    <w:p>
      <w:pPr>
        <w:spacing w:after="0" w:line="121" w:lineRule="exact"/>
        <w:rPr>
          <w:sz w:val="20"/>
          <w:szCs w:val="20"/>
          <w:color w:val="auto"/>
        </w:rPr>
      </w:pPr>
    </w:p>
    <w:p>
      <w:pPr>
        <w:ind w:firstLine="555"/>
        <w:spacing w:after="0" w:line="308" w:lineRule="auto"/>
        <w:rPr>
          <w:sz w:val="20"/>
          <w:szCs w:val="20"/>
          <w:color w:val="auto"/>
        </w:rPr>
      </w:pPr>
      <w:r>
        <w:rPr>
          <w:rFonts w:ascii="Arial" w:cs="Arial" w:eastAsia="Arial" w:hAnsi="Arial"/>
          <w:sz w:val="17"/>
          <w:szCs w:val="17"/>
          <w:color w:val="auto"/>
        </w:rPr>
        <w:t>Our Common Stock is quoted on the NASDAQ Global Select Market under the symbol “ERI”. On February 25, 2019, the NASDAQ Official Closing Price for our common stock was $48.09. As of February 25, 2019, there were approximately 698 holders of record of our common stock.</w:t>
      </w:r>
    </w:p>
    <w:p>
      <w:pPr>
        <w:spacing w:after="0" w:line="147"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 xml:space="preserve">We have not paid any cash dividends on our common stock. We intend to retain all of our earnings to finance the development of our business, and thus, do not anticipate paying cash dividends on our common stock for the foreseeable future. Payment of any cash dividends in the future will be at the discretion of our Board of Directors and will depend upon, among other things, our future earnings, operations and capital requirements, our general financial condition and general business conditions. In addition, our senior secured credit facility and senior notes restrict, among other things, our ability to pay dividends. In addition, the Master Lease prohibits, and future financing arrangements may prohibit, the payment of dividends under certain conditions. For further information relating to our and our subsidiaries’ dividend policies, see Part II, Item 7, </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included in this report.</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color w:val="auto"/>
        </w:rPr>
        <w:t>The following table sets forth information as of December 31, 2018, with respect to compensation plans under which equity securities that we have authorized for issuance.</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future issuance under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Number of securities to</w:t>
            </w:r>
          </w:p>
        </w:tc>
        <w:tc>
          <w:tcPr>
            <w:tcW w:w="22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4"/>
                <w:szCs w:val="14"/>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equity compensation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7"/>
              </w:rPr>
              <w:t>be issued upon exercise</w:t>
            </w:r>
          </w:p>
        </w:tc>
        <w:tc>
          <w:tcPr>
            <w:tcW w:w="22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exercise price of</w:t>
            </w:r>
          </w:p>
        </w:tc>
        <w:tc>
          <w:tcPr>
            <w:tcW w:w="220" w:type="dxa"/>
            <w:vAlign w:val="bottom"/>
          </w:tcPr>
          <w:p>
            <w:pPr>
              <w:spacing w:after="0"/>
              <w:rPr>
                <w:sz w:val="14"/>
                <w:szCs w:val="14"/>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of outstanding options,</w:t>
            </w:r>
          </w:p>
        </w:tc>
        <w:tc>
          <w:tcPr>
            <w:tcW w:w="1460" w:type="dxa"/>
            <w:vAlign w:val="bottom"/>
            <w:gridSpan w:val="3"/>
          </w:tcPr>
          <w:p>
            <w:pPr>
              <w:jc w:val="center"/>
              <w:ind w:left="117"/>
              <w:spacing w:after="0"/>
              <w:rPr>
                <w:sz w:val="20"/>
                <w:szCs w:val="20"/>
                <w:color w:val="auto"/>
              </w:rPr>
            </w:pPr>
            <w:r>
              <w:rPr>
                <w:rFonts w:ascii="Arial" w:cs="Arial" w:eastAsia="Arial" w:hAnsi="Arial"/>
                <w:sz w:val="14"/>
                <w:szCs w:val="14"/>
                <w:b w:val="1"/>
                <w:bCs w:val="1"/>
                <w:color w:val="auto"/>
                <w:w w:val="90"/>
              </w:rPr>
              <w:t>outstanding options,</w:t>
            </w:r>
          </w:p>
        </w:tc>
        <w:tc>
          <w:tcPr>
            <w:tcW w:w="220" w:type="dxa"/>
            <w:vAlign w:val="bottom"/>
          </w:tcPr>
          <w:p>
            <w:pPr>
              <w:spacing w:after="0"/>
              <w:rPr>
                <w:sz w:val="14"/>
                <w:szCs w:val="14"/>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securities reflected</w:t>
            </w:r>
          </w:p>
        </w:tc>
        <w:tc>
          <w:tcPr>
            <w:tcW w:w="0" w:type="dxa"/>
            <w:vAlign w:val="bottom"/>
          </w:tcPr>
          <w:p>
            <w:pPr>
              <w:spacing w:after="0"/>
              <w:rPr>
                <w:sz w:val="1"/>
                <w:szCs w:val="1"/>
                <w:color w:val="auto"/>
              </w:rPr>
            </w:pPr>
          </w:p>
        </w:tc>
      </w:tr>
      <w:tr>
        <w:trPr>
          <w:trHeight w:val="171"/>
        </w:trPr>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warrants and rights</w:t>
            </w:r>
          </w:p>
        </w:tc>
        <w:tc>
          <w:tcPr>
            <w:tcW w:w="1460" w:type="dxa"/>
            <w:vAlign w:val="bottom"/>
            <w:gridSpan w:val="3"/>
          </w:tcPr>
          <w:p>
            <w:pPr>
              <w:jc w:val="center"/>
              <w:ind w:left="117"/>
              <w:spacing w:after="0"/>
              <w:rPr>
                <w:sz w:val="20"/>
                <w:szCs w:val="20"/>
                <w:color w:val="auto"/>
              </w:rPr>
            </w:pPr>
            <w:r>
              <w:rPr>
                <w:rFonts w:ascii="Arial" w:cs="Arial" w:eastAsia="Arial" w:hAnsi="Arial"/>
                <w:sz w:val="14"/>
                <w:szCs w:val="14"/>
                <w:b w:val="1"/>
                <w:bCs w:val="1"/>
                <w:color w:val="auto"/>
                <w:w w:val="93"/>
              </w:rPr>
              <w:t>warrants and rights</w:t>
            </w:r>
          </w:p>
        </w:tc>
        <w:tc>
          <w:tcPr>
            <w:tcW w:w="220" w:type="dxa"/>
            <w:vAlign w:val="bottom"/>
          </w:tcPr>
          <w:p>
            <w:pPr>
              <w:spacing w:after="0"/>
              <w:rPr>
                <w:sz w:val="14"/>
                <w:szCs w:val="14"/>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column (a))</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(a)</w:t>
            </w:r>
          </w:p>
        </w:tc>
        <w:tc>
          <w:tcPr>
            <w:tcW w:w="2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(b)</w:t>
            </w:r>
          </w:p>
        </w:tc>
        <w:tc>
          <w:tcPr>
            <w:tcW w:w="220" w:type="dxa"/>
            <w:vAlign w:val="bottom"/>
          </w:tcPr>
          <w:p>
            <w:pPr>
              <w:spacing w:after="0"/>
              <w:rPr>
                <w:sz w:val="13"/>
                <w:szCs w:val="13"/>
                <w:color w:val="auto"/>
              </w:rPr>
            </w:pPr>
          </w:p>
        </w:tc>
        <w:tc>
          <w:tcPr>
            <w:tcW w:w="1440" w:type="dxa"/>
            <w:vAlign w:val="bottom"/>
            <w:tcBorders>
              <w:top w:val="single" w:sz="8" w:color="auto"/>
            </w:tcBorders>
          </w:tcPr>
          <w:p>
            <w:pPr>
              <w:jc w:val="right"/>
              <w:ind w:right="344"/>
              <w:spacing w:after="0" w:line="155" w:lineRule="exact"/>
              <w:rPr>
                <w:sz w:val="20"/>
                <w:szCs w:val="20"/>
                <w:color w:val="auto"/>
              </w:rPr>
            </w:pPr>
            <w:r>
              <w:rPr>
                <w:rFonts w:ascii="Arial" w:cs="Arial" w:eastAsia="Arial" w:hAnsi="Arial"/>
                <w:sz w:val="14"/>
                <w:szCs w:val="14"/>
                <w:b w:val="1"/>
                <w:bCs w:val="1"/>
                <w:color w:val="auto"/>
              </w:rPr>
              <w:t>(c)</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MTR Gaming Group, Inc. 2010 Long Term</w:t>
            </w: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Incentive Plan</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30,600</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2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Isle of Capri Casinos, Inc. Second Amended and</w:t>
            </w: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Restated 2009 Long Term Stock Incentive Plan</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132,548</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13.23</w:t>
            </w:r>
          </w:p>
        </w:tc>
        <w:tc>
          <w:tcPr>
            <w:tcW w:w="2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Eldorado Resorts, Inc. 2015 Equity Incentive Plan</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1,173,627</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21.89</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1,363,121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The Eldorado Resorts, Inc. 2015 Equity Incentive Plan, the Isle of Capri Casinos, Inc. Second Amended and Restated 2009 Long Term Incentive Plan and the MTR Gaming Group, Inc. 2010 Long Term Incentive Plan were approved by stockholders. No future equity awards will be made pursuant to the Isle of Capri Casinos, Inc. Second Amended and Restated 2009 Long Term Incentive Plan and the MTR Gaming Group, Inc. 2010 Long Term Incentive Plan. However, outstanding awards granted under the acquired plans will continue unaffected.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In November 2018, the Company’s board of directors authorized a common stock repurchase program of up to $150 million of stock (the “Share Repurchase Program”) pursuant to which the Company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the Company is required to repurchase under the Share Repurchase Program.</w:t>
      </w:r>
    </w:p>
    <w:p>
      <w:pPr>
        <w:spacing w:after="0" w:line="188" w:lineRule="exact"/>
        <w:rPr>
          <w:sz w:val="20"/>
          <w:szCs w:val="20"/>
          <w:color w:val="auto"/>
        </w:rPr>
      </w:pPr>
    </w:p>
    <w:p>
      <w:pPr>
        <w:ind w:right="180" w:firstLine="555"/>
        <w:spacing w:after="0" w:line="277" w:lineRule="auto"/>
        <w:rPr>
          <w:sz w:val="20"/>
          <w:szCs w:val="20"/>
          <w:color w:val="auto"/>
        </w:rPr>
      </w:pPr>
      <w:r>
        <w:rPr>
          <w:rFonts w:ascii="Arial" w:cs="Arial" w:eastAsia="Arial" w:hAnsi="Arial"/>
          <w:sz w:val="18"/>
          <w:szCs w:val="18"/>
          <w:color w:val="auto"/>
        </w:rPr>
        <w:t>The Company acquired 223,823 shares of common stock at an aggregate value of $9.1 million and an average of $40.80 per share during the fourth quarter of 2018.</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The following graph demonstrates a comparison of cumulative total returns of the Company, the NASDAQ Market Index (which is considered to be a broad index) and the Dow Jones US Gambling Index for the period since our common stock began trading on September 22, 2014. The following graph assumes $100 invested in each of the above groups and the reinvestment of dividends, if applicable.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Assumes Initial Investment of $100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142875</wp:posOffset>
            </wp:positionV>
            <wp:extent cx="5754370" cy="30530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305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Past stock price performance is not necessarily indicative of future results. The performance graph should not be deemed filed or incorporated by reference into any other of our filings under the Securities Act of 1933 or the Exchange Act of 1934, unless we specifically incorporate the performance graph by reference therein.</w:t>
      </w:r>
    </w:p>
    <w:p>
      <w:pPr>
        <w:spacing w:after="0" w:line="28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right="40" w:firstLine="555"/>
        <w:spacing w:after="0" w:line="279" w:lineRule="auto"/>
        <w:rPr>
          <w:sz w:val="20"/>
          <w:szCs w:val="20"/>
          <w:color w:val="auto"/>
        </w:rPr>
      </w:pPr>
      <w:r>
        <w:rPr>
          <w:rFonts w:ascii="Arial" w:cs="Arial" w:eastAsia="Arial" w:hAnsi="Arial"/>
          <w:sz w:val="17"/>
          <w:szCs w:val="17"/>
          <w:color w:val="auto"/>
        </w:rPr>
        <w:t>The following table sets forth selected consolidated financial data of the Company as of and for each of the five years ended December 31, 2018. This information should be read in conjunction with “</w:t>
      </w:r>
      <w:r>
        <w:rPr>
          <w:rFonts w:ascii="Arial" w:cs="Arial" w:eastAsia="Arial" w:hAnsi="Arial"/>
          <w:sz w:val="17"/>
          <w:szCs w:val="17"/>
          <w:i w:val="1"/>
          <w:iCs w:val="1"/>
          <w:color w:val="auto"/>
        </w:rPr>
        <w:t>Item 7 – Management’s Discussion and Analysis of Financial Condition and Results of Operations</w:t>
      </w:r>
      <w:r>
        <w:rPr>
          <w:rFonts w:ascii="Arial" w:cs="Arial" w:eastAsia="Arial" w:hAnsi="Arial"/>
          <w:sz w:val="17"/>
          <w:szCs w:val="17"/>
          <w:color w:val="auto"/>
        </w:rPr>
        <w:t>” and the audited consolidated financial statements and notes thereto contained elsewhere in this Annual Report on Form 10-K. The historical operating results for the periods presented below are not necessarily indicative of the results of operations to be expected in future years.</w:t>
      </w:r>
    </w:p>
    <w:p>
      <w:pPr>
        <w:spacing w:after="0" w:line="171" w:lineRule="exact"/>
        <w:rPr>
          <w:sz w:val="20"/>
          <w:szCs w:val="20"/>
          <w:color w:val="auto"/>
        </w:rPr>
      </w:pPr>
    </w:p>
    <w:p>
      <w:pPr>
        <w:ind w:right="140" w:firstLine="555"/>
        <w:spacing w:after="0" w:line="342" w:lineRule="auto"/>
        <w:rPr>
          <w:sz w:val="20"/>
          <w:szCs w:val="20"/>
          <w:color w:val="auto"/>
        </w:rPr>
      </w:pPr>
      <w:r>
        <w:rPr>
          <w:rFonts w:ascii="Arial" w:cs="Arial" w:eastAsia="Arial" w:hAnsi="Arial"/>
          <w:sz w:val="16"/>
          <w:szCs w:val="16"/>
          <w:color w:val="auto"/>
        </w:rPr>
        <w:t>The presentation of information herein for periods prior to our acquisitions of MTR Gaming Group, Inc., Circus Reno, Silver Legacy, Isle, Elgin and Tropicana are not fully comparable because the results of operations for these acquired entities are not included for periods prior to such acquisitions.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2" w:name="page33"/>
    <w:bookmarkEnd w:id="32"/>
    <w:p>
      <w:pPr>
        <w:jc w:val="center"/>
        <w:ind w:right="2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9"/>
          </w:tcPr>
          <w:p>
            <w:pPr>
              <w:jc w:val="right"/>
              <w:ind w:right="8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428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40"/>
              <w:spacing w:after="0" w:line="155" w:lineRule="exact"/>
              <w:rPr>
                <w:sz w:val="20"/>
                <w:szCs w:val="20"/>
                <w:color w:val="auto"/>
              </w:rPr>
            </w:pPr>
            <w:r>
              <w:rPr>
                <w:rFonts w:ascii="Arial" w:cs="Arial" w:eastAsia="Arial" w:hAnsi="Arial"/>
                <w:sz w:val="14"/>
                <w:szCs w:val="14"/>
                <w:b w:val="1"/>
                <w:bCs w:val="1"/>
                <w:color w:val="auto"/>
              </w:rPr>
              <w:t>2018 (3)</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01"/>
              <w:spacing w:after="0" w:line="155" w:lineRule="exact"/>
              <w:rPr>
                <w:sz w:val="20"/>
                <w:szCs w:val="20"/>
                <w:color w:val="auto"/>
              </w:rPr>
            </w:pPr>
            <w:r>
              <w:rPr>
                <w:rFonts w:ascii="Arial" w:cs="Arial" w:eastAsia="Arial" w:hAnsi="Arial"/>
                <w:sz w:val="14"/>
                <w:szCs w:val="14"/>
                <w:b w:val="1"/>
                <w:bCs w:val="1"/>
                <w:color w:val="auto"/>
              </w:rPr>
              <w:t>2017 (3)</w:t>
            </w:r>
          </w:p>
        </w:tc>
        <w:tc>
          <w:tcPr>
            <w:tcW w:w="1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80"/>
              <w:spacing w:after="0" w:line="155" w:lineRule="exact"/>
              <w:rPr>
                <w:sz w:val="20"/>
                <w:szCs w:val="20"/>
                <w:color w:val="auto"/>
              </w:rPr>
            </w:pPr>
            <w:r>
              <w:rPr>
                <w:rFonts w:ascii="Arial" w:cs="Arial" w:eastAsia="Arial" w:hAnsi="Arial"/>
                <w:sz w:val="14"/>
                <w:szCs w:val="14"/>
                <w:b w:val="1"/>
                <w:bCs w:val="1"/>
                <w:color w:val="auto"/>
              </w:rPr>
              <w:t>2016 (3)</w:t>
            </w: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00"/>
              <w:spacing w:after="0" w:line="155" w:lineRule="exact"/>
              <w:rPr>
                <w:sz w:val="20"/>
                <w:szCs w:val="20"/>
                <w:color w:val="auto"/>
              </w:rPr>
            </w:pPr>
            <w:r>
              <w:rPr>
                <w:rFonts w:ascii="Arial" w:cs="Arial" w:eastAsia="Arial" w:hAnsi="Arial"/>
                <w:sz w:val="14"/>
                <w:szCs w:val="14"/>
                <w:b w:val="1"/>
                <w:bCs w:val="1"/>
                <w:color w:val="auto"/>
              </w:rPr>
              <w:t>2015 (3)</w:t>
            </w:r>
          </w:p>
        </w:tc>
        <w:tc>
          <w:tcPr>
            <w:tcW w:w="16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40"/>
              <w:spacing w:after="0" w:line="155" w:lineRule="exact"/>
              <w:rPr>
                <w:sz w:val="20"/>
                <w:szCs w:val="20"/>
                <w:color w:val="auto"/>
              </w:rPr>
            </w:pPr>
            <w:r>
              <w:rPr>
                <w:rFonts w:ascii="Arial" w:cs="Arial" w:eastAsia="Arial" w:hAnsi="Arial"/>
                <w:sz w:val="14"/>
                <w:szCs w:val="14"/>
                <w:b w:val="1"/>
                <w:bCs w:val="1"/>
                <w:color w:val="auto"/>
              </w:rPr>
              <w:t>2014 (4)</w:t>
            </w:r>
          </w:p>
        </w:tc>
        <w:tc>
          <w:tcPr>
            <w:tcW w:w="20" w:type="dxa"/>
            <w:vAlign w:val="bottom"/>
          </w:tcPr>
          <w:p>
            <w:pPr>
              <w:spacing w:after="0"/>
              <w:rPr>
                <w:sz w:val="13"/>
                <w:szCs w:val="13"/>
                <w:color w:val="auto"/>
              </w:rPr>
            </w:pPr>
          </w:p>
        </w:tc>
      </w:tr>
      <w:tr>
        <w:trPr>
          <w:trHeight w:val="210"/>
        </w:trPr>
        <w:tc>
          <w:tcPr>
            <w:tcW w:w="42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Consolidated Statement of Operations Data:</w:t>
            </w:r>
          </w:p>
        </w:tc>
        <w:tc>
          <w:tcPr>
            <w:tcW w:w="8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280" w:type="dxa"/>
            <w:vAlign w:val="bottom"/>
          </w:tcPr>
          <w:p>
            <w:pPr>
              <w:spacing w:after="0"/>
              <w:rPr>
                <w:sz w:val="20"/>
                <w:szCs w:val="20"/>
                <w:color w:val="auto"/>
              </w:rPr>
            </w:pPr>
            <w:r>
              <w:rPr>
                <w:rFonts w:ascii="Arial" w:cs="Arial" w:eastAsia="Arial" w:hAnsi="Arial"/>
                <w:sz w:val="16"/>
                <w:szCs w:val="16"/>
                <w:color w:val="auto"/>
              </w:rPr>
              <w:t>Net operating revenues</w:t>
            </w:r>
          </w:p>
        </w:tc>
        <w:tc>
          <w:tcPr>
            <w:tcW w:w="10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2,056,007</w:t>
            </w:r>
          </w:p>
        </w:tc>
        <w:tc>
          <w:tcPr>
            <w:tcW w:w="3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1,480,798</w:t>
            </w:r>
          </w:p>
        </w:tc>
        <w:tc>
          <w:tcPr>
            <w:tcW w:w="100" w:type="dxa"/>
            <w:vAlign w:val="bottom"/>
          </w:tcPr>
          <w:p>
            <w:pPr>
              <w:spacing w:after="0"/>
              <w:rPr>
                <w:sz w:val="18"/>
                <w:szCs w:val="18"/>
                <w:color w:val="auto"/>
              </w:rPr>
            </w:pPr>
          </w:p>
        </w:tc>
        <w:tc>
          <w:tcPr>
            <w:tcW w:w="2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900,465</w:t>
            </w:r>
          </w:p>
        </w:tc>
        <w:tc>
          <w:tcPr>
            <w:tcW w:w="3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724,345</w:t>
            </w:r>
          </w:p>
        </w:tc>
        <w:tc>
          <w:tcPr>
            <w:tcW w:w="4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361,823</w:t>
            </w:r>
          </w:p>
        </w:tc>
        <w:tc>
          <w:tcPr>
            <w:tcW w:w="20" w:type="dxa"/>
            <w:vAlign w:val="bottom"/>
          </w:tcPr>
          <w:p>
            <w:pPr>
              <w:spacing w:after="0"/>
              <w:rPr>
                <w:sz w:val="18"/>
                <w:szCs w:val="18"/>
                <w:color w:val="auto"/>
              </w:rPr>
            </w:pPr>
          </w:p>
        </w:tc>
      </w:tr>
      <w:tr>
        <w:trPr>
          <w:trHeight w:val="219"/>
        </w:trPr>
        <w:tc>
          <w:tcPr>
            <w:tcW w:w="4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4280" w:type="dxa"/>
            <w:vAlign w:val="bottom"/>
          </w:tcPr>
          <w:p>
            <w:pPr>
              <w:spacing w:after="0"/>
              <w:rPr>
                <w:sz w:val="20"/>
                <w:szCs w:val="20"/>
                <w:color w:val="auto"/>
              </w:rPr>
            </w:pPr>
            <w:r>
              <w:rPr>
                <w:rFonts w:ascii="Arial" w:cs="Arial" w:eastAsia="Arial" w:hAnsi="Arial"/>
                <w:sz w:val="16"/>
                <w:szCs w:val="16"/>
                <w:color w:val="auto"/>
              </w:rPr>
              <w:t>Operating income</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310,103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94,810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88,700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72,621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17,555</w:t>
            </w:r>
          </w:p>
        </w:tc>
        <w:tc>
          <w:tcPr>
            <w:tcW w:w="20" w:type="dxa"/>
            <w:vAlign w:val="bottom"/>
          </w:tcPr>
          <w:p>
            <w:pPr>
              <w:spacing w:after="0"/>
              <w:rPr>
                <w:sz w:val="18"/>
                <w:szCs w:val="18"/>
                <w:color w:val="auto"/>
              </w:rPr>
            </w:pPr>
          </w:p>
        </w:tc>
      </w:tr>
      <w:tr>
        <w:trPr>
          <w:trHeight w:val="219"/>
        </w:trPr>
        <w:tc>
          <w:tcPr>
            <w:tcW w:w="4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4280" w:type="dxa"/>
            <w:vAlign w:val="bottom"/>
          </w:tcPr>
          <w:p>
            <w:pPr>
              <w:spacing w:after="0"/>
              <w:rPr>
                <w:sz w:val="20"/>
                <w:szCs w:val="20"/>
                <w:color w:val="auto"/>
              </w:rPr>
            </w:pPr>
            <w:r>
              <w:rPr>
                <w:rFonts w:ascii="Arial" w:cs="Arial" w:eastAsia="Arial" w:hAnsi="Arial"/>
                <w:sz w:val="16"/>
                <w:szCs w:val="16"/>
                <w:color w:val="auto"/>
              </w:rPr>
              <w:t>Net (loss) income before income taxes (1)</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135,622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(43,389)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37,628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44,708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(12,554)</w:t>
            </w:r>
          </w:p>
        </w:tc>
        <w:tc>
          <w:tcPr>
            <w:tcW w:w="20" w:type="dxa"/>
            <w:vAlign w:val="bottom"/>
          </w:tcPr>
          <w:p>
            <w:pPr>
              <w:spacing w:after="0"/>
              <w:rPr>
                <w:sz w:val="18"/>
                <w:szCs w:val="18"/>
                <w:color w:val="auto"/>
              </w:rPr>
            </w:pPr>
          </w:p>
        </w:tc>
      </w:tr>
      <w:tr>
        <w:trPr>
          <w:trHeight w:val="219"/>
        </w:trPr>
        <w:tc>
          <w:tcPr>
            <w:tcW w:w="4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4280" w:type="dxa"/>
            <w:vAlign w:val="bottom"/>
          </w:tcPr>
          <w:p>
            <w:pPr>
              <w:spacing w:after="0"/>
              <w:rPr>
                <w:sz w:val="20"/>
                <w:szCs w:val="20"/>
                <w:color w:val="auto"/>
              </w:rPr>
            </w:pPr>
            <w:r>
              <w:rPr>
                <w:rFonts w:ascii="Arial" w:cs="Arial" w:eastAsia="Arial" w:hAnsi="Arial"/>
                <w:sz w:val="16"/>
                <w:szCs w:val="16"/>
                <w:color w:val="auto"/>
              </w:rPr>
              <w:t>Net income (loss)</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95,235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73,380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24,527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114,246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(14,322)</w:t>
            </w:r>
          </w:p>
        </w:tc>
        <w:tc>
          <w:tcPr>
            <w:tcW w:w="20" w:type="dxa"/>
            <w:vAlign w:val="bottom"/>
          </w:tcPr>
          <w:p>
            <w:pPr>
              <w:spacing w:after="0"/>
              <w:rPr>
                <w:sz w:val="18"/>
                <w:szCs w:val="18"/>
                <w:color w:val="auto"/>
              </w:rPr>
            </w:pPr>
          </w:p>
        </w:tc>
      </w:tr>
      <w:tr>
        <w:trPr>
          <w:trHeight w:val="219"/>
        </w:trPr>
        <w:tc>
          <w:tcPr>
            <w:tcW w:w="4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4280" w:type="dxa"/>
            <w:vAlign w:val="bottom"/>
          </w:tcPr>
          <w:p>
            <w:pPr>
              <w:spacing w:after="0"/>
              <w:rPr>
                <w:sz w:val="20"/>
                <w:szCs w:val="20"/>
                <w:color w:val="auto"/>
              </w:rPr>
            </w:pPr>
            <w:r>
              <w:rPr>
                <w:rFonts w:ascii="Arial" w:cs="Arial" w:eastAsia="Arial" w:hAnsi="Arial"/>
                <w:sz w:val="16"/>
                <w:szCs w:val="16"/>
                <w:color w:val="auto"/>
              </w:rPr>
              <w:t>Less: Net loss attributable to non-controlling interest</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(103)</w:t>
            </w:r>
          </w:p>
        </w:tc>
        <w:tc>
          <w:tcPr>
            <w:tcW w:w="20" w:type="dxa"/>
            <w:vAlign w:val="bottom"/>
          </w:tcPr>
          <w:p>
            <w:pPr>
              <w:spacing w:after="0"/>
              <w:rPr>
                <w:sz w:val="18"/>
                <w:szCs w:val="18"/>
                <w:color w:val="auto"/>
              </w:rPr>
            </w:pPr>
          </w:p>
        </w:tc>
      </w:tr>
      <w:tr>
        <w:trPr>
          <w:trHeight w:val="219"/>
        </w:trPr>
        <w:tc>
          <w:tcPr>
            <w:tcW w:w="4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4280" w:type="dxa"/>
            <w:vAlign w:val="bottom"/>
          </w:tcPr>
          <w:p>
            <w:pPr>
              <w:spacing w:after="0"/>
              <w:rPr>
                <w:sz w:val="20"/>
                <w:szCs w:val="20"/>
                <w:color w:val="auto"/>
              </w:rPr>
            </w:pPr>
            <w:r>
              <w:rPr>
                <w:rFonts w:ascii="Arial" w:cs="Arial" w:eastAsia="Arial" w:hAnsi="Arial"/>
                <w:sz w:val="16"/>
                <w:szCs w:val="16"/>
                <w:color w:val="auto"/>
              </w:rPr>
              <w:t>Net income (loss) attributable to the Company</w:t>
            </w:r>
          </w:p>
        </w:tc>
        <w:tc>
          <w:tcPr>
            <w:tcW w:w="10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95,235</w:t>
            </w:r>
          </w:p>
        </w:tc>
        <w:tc>
          <w:tcPr>
            <w:tcW w:w="3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73,380</w:t>
            </w:r>
          </w:p>
        </w:tc>
        <w:tc>
          <w:tcPr>
            <w:tcW w:w="100" w:type="dxa"/>
            <w:vAlign w:val="bottom"/>
          </w:tcPr>
          <w:p>
            <w:pPr>
              <w:spacing w:after="0"/>
              <w:rPr>
                <w:sz w:val="18"/>
                <w:szCs w:val="18"/>
                <w:color w:val="auto"/>
              </w:rPr>
            </w:pPr>
          </w:p>
        </w:tc>
        <w:tc>
          <w:tcPr>
            <w:tcW w:w="2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24,527</w:t>
            </w:r>
          </w:p>
        </w:tc>
        <w:tc>
          <w:tcPr>
            <w:tcW w:w="3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114,246</w:t>
            </w:r>
          </w:p>
        </w:tc>
        <w:tc>
          <w:tcPr>
            <w:tcW w:w="4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(14,425)</w:t>
            </w:r>
          </w:p>
        </w:tc>
        <w:tc>
          <w:tcPr>
            <w:tcW w:w="20" w:type="dxa"/>
            <w:vAlign w:val="bottom"/>
          </w:tcPr>
          <w:p>
            <w:pPr>
              <w:spacing w:after="0"/>
              <w:rPr>
                <w:sz w:val="18"/>
                <w:szCs w:val="18"/>
                <w:color w:val="auto"/>
              </w:rPr>
            </w:pPr>
          </w:p>
        </w:tc>
      </w:tr>
      <w:tr>
        <w:trPr>
          <w:trHeight w:val="219"/>
        </w:trPr>
        <w:tc>
          <w:tcPr>
            <w:tcW w:w="4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4280" w:type="dxa"/>
            <w:vAlign w:val="bottom"/>
          </w:tcPr>
          <w:p>
            <w:pPr>
              <w:spacing w:after="0"/>
              <w:rPr>
                <w:sz w:val="20"/>
                <w:szCs w:val="20"/>
                <w:color w:val="auto"/>
              </w:rPr>
            </w:pPr>
            <w:r>
              <w:rPr>
                <w:rFonts w:ascii="Arial" w:cs="Arial" w:eastAsia="Arial" w:hAnsi="Arial"/>
                <w:sz w:val="16"/>
                <w:szCs w:val="16"/>
                <w:color w:val="auto"/>
              </w:rPr>
              <w:t>Basic net income (loss) per common share</w:t>
            </w:r>
          </w:p>
        </w:tc>
        <w:tc>
          <w:tcPr>
            <w:tcW w:w="10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1.23</w:t>
            </w:r>
          </w:p>
        </w:tc>
        <w:tc>
          <w:tcPr>
            <w:tcW w:w="3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2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0.52</w:t>
            </w:r>
          </w:p>
        </w:tc>
        <w:tc>
          <w:tcPr>
            <w:tcW w:w="3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2.45</w:t>
            </w:r>
          </w:p>
        </w:tc>
        <w:tc>
          <w:tcPr>
            <w:tcW w:w="4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(0.48)</w:t>
            </w:r>
          </w:p>
        </w:tc>
        <w:tc>
          <w:tcPr>
            <w:tcW w:w="20" w:type="dxa"/>
            <w:vAlign w:val="bottom"/>
          </w:tcPr>
          <w:p>
            <w:pPr>
              <w:spacing w:after="0"/>
              <w:rPr>
                <w:sz w:val="18"/>
                <w:szCs w:val="18"/>
                <w:color w:val="auto"/>
              </w:rPr>
            </w:pPr>
          </w:p>
        </w:tc>
      </w:tr>
      <w:tr>
        <w:trPr>
          <w:trHeight w:val="219"/>
        </w:trPr>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Diluted net income (loss) per common share</w:t>
            </w:r>
          </w:p>
        </w:tc>
        <w:tc>
          <w:tcPr>
            <w:tcW w:w="108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1.22</w:t>
            </w:r>
          </w:p>
        </w:tc>
        <w:tc>
          <w:tcPr>
            <w:tcW w:w="38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0.51</w:t>
            </w:r>
          </w:p>
        </w:tc>
        <w:tc>
          <w:tcPr>
            <w:tcW w:w="34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w:t>
            </w:r>
          </w:p>
        </w:tc>
        <w:tc>
          <w:tcPr>
            <w:tcW w:w="40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(0.48)</w:t>
            </w:r>
          </w:p>
        </w:tc>
        <w:tc>
          <w:tcPr>
            <w:tcW w:w="20" w:type="dxa"/>
            <w:vAlign w:val="bottom"/>
          </w:tcPr>
          <w:p>
            <w:pPr>
              <w:spacing w:after="0"/>
              <w:rPr>
                <w:sz w:val="19"/>
                <w:szCs w:val="19"/>
                <w:color w:val="auto"/>
              </w:rPr>
            </w:pPr>
          </w:p>
        </w:tc>
      </w:tr>
      <w:tr>
        <w:trPr>
          <w:trHeight w:val="594"/>
        </w:trPr>
        <w:tc>
          <w:tcPr>
            <w:tcW w:w="4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8"/>
              </w:rPr>
              <w:t>At December 31,</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428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20"/>
              <w:spacing w:after="0" w:line="155" w:lineRule="exact"/>
              <w:rPr>
                <w:sz w:val="20"/>
                <w:szCs w:val="20"/>
                <w:color w:val="auto"/>
              </w:rPr>
            </w:pPr>
            <w:r>
              <w:rPr>
                <w:rFonts w:ascii="Arial" w:cs="Arial" w:eastAsia="Arial" w:hAnsi="Arial"/>
                <w:sz w:val="14"/>
                <w:szCs w:val="14"/>
                <w:b w:val="1"/>
                <w:bCs w:val="1"/>
                <w:color w:val="auto"/>
              </w:rPr>
              <w:t>2018 (3)</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41"/>
              <w:spacing w:after="0" w:line="155" w:lineRule="exact"/>
              <w:rPr>
                <w:sz w:val="20"/>
                <w:szCs w:val="20"/>
                <w:color w:val="auto"/>
              </w:rPr>
            </w:pPr>
            <w:r>
              <w:rPr>
                <w:rFonts w:ascii="Arial" w:cs="Arial" w:eastAsia="Arial" w:hAnsi="Arial"/>
                <w:sz w:val="14"/>
                <w:szCs w:val="14"/>
                <w:b w:val="1"/>
                <w:bCs w:val="1"/>
                <w:color w:val="auto"/>
              </w:rPr>
              <w:t>2017 (3)</w:t>
            </w:r>
          </w:p>
        </w:tc>
        <w:tc>
          <w:tcPr>
            <w:tcW w:w="1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00"/>
              <w:spacing w:after="0" w:line="155" w:lineRule="exact"/>
              <w:rPr>
                <w:sz w:val="20"/>
                <w:szCs w:val="20"/>
                <w:color w:val="auto"/>
              </w:rPr>
            </w:pPr>
            <w:r>
              <w:rPr>
                <w:rFonts w:ascii="Arial" w:cs="Arial" w:eastAsia="Arial" w:hAnsi="Arial"/>
                <w:sz w:val="14"/>
                <w:szCs w:val="14"/>
                <w:b w:val="1"/>
                <w:bCs w:val="1"/>
                <w:color w:val="auto"/>
              </w:rPr>
              <w:t>2016 (3)</w:t>
            </w:r>
          </w:p>
        </w:tc>
        <w:tc>
          <w:tcPr>
            <w:tcW w:w="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00"/>
              <w:spacing w:after="0" w:line="155" w:lineRule="exact"/>
              <w:rPr>
                <w:sz w:val="20"/>
                <w:szCs w:val="20"/>
                <w:color w:val="auto"/>
              </w:rPr>
            </w:pPr>
            <w:r>
              <w:rPr>
                <w:rFonts w:ascii="Arial" w:cs="Arial" w:eastAsia="Arial" w:hAnsi="Arial"/>
                <w:sz w:val="14"/>
                <w:szCs w:val="14"/>
                <w:b w:val="1"/>
                <w:bCs w:val="1"/>
                <w:color w:val="auto"/>
              </w:rPr>
              <w:t>2015 (4)</w:t>
            </w:r>
          </w:p>
        </w:tc>
        <w:tc>
          <w:tcPr>
            <w:tcW w:w="16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00"/>
              <w:spacing w:after="0" w:line="155" w:lineRule="exact"/>
              <w:rPr>
                <w:sz w:val="20"/>
                <w:szCs w:val="20"/>
                <w:color w:val="auto"/>
              </w:rPr>
            </w:pPr>
            <w:r>
              <w:rPr>
                <w:rFonts w:ascii="Arial" w:cs="Arial" w:eastAsia="Arial" w:hAnsi="Arial"/>
                <w:sz w:val="14"/>
                <w:szCs w:val="14"/>
                <w:b w:val="1"/>
                <w:bCs w:val="1"/>
                <w:color w:val="auto"/>
              </w:rPr>
              <w:t>2014 (4)</w:t>
            </w:r>
          </w:p>
        </w:tc>
        <w:tc>
          <w:tcPr>
            <w:tcW w:w="20" w:type="dxa"/>
            <w:vAlign w:val="bottom"/>
            <w:tcBorders>
              <w:bottom w:val="single" w:sz="8" w:color="CFF0FC"/>
            </w:tcBorders>
          </w:tcPr>
          <w:p>
            <w:pPr>
              <w:spacing w:after="0"/>
              <w:rPr>
                <w:sz w:val="13"/>
                <w:szCs w:val="13"/>
                <w:color w:val="auto"/>
              </w:rPr>
            </w:pP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230,752</w:t>
            </w:r>
          </w:p>
        </w:tc>
        <w:tc>
          <w:tcPr>
            <w:tcW w:w="100" w:type="dxa"/>
            <w:vAlign w:val="bottom"/>
          </w:tcPr>
          <w:p>
            <w:pPr>
              <w:spacing w:after="0"/>
              <w:rPr>
                <w:sz w:val="19"/>
                <w:szCs w:val="19"/>
                <w:color w:val="auto"/>
              </w:rPr>
            </w:pPr>
          </w:p>
        </w:tc>
        <w:tc>
          <w:tcPr>
            <w:tcW w:w="3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134,596</w:t>
            </w:r>
          </w:p>
        </w:tc>
        <w:tc>
          <w:tcPr>
            <w:tcW w:w="100" w:type="dxa"/>
            <w:vAlign w:val="bottom"/>
          </w:tcPr>
          <w:p>
            <w:pPr>
              <w:spacing w:after="0"/>
              <w:rPr>
                <w:sz w:val="19"/>
                <w:szCs w:val="19"/>
                <w:color w:val="auto"/>
              </w:rPr>
            </w:pPr>
          </w:p>
        </w:tc>
        <w:tc>
          <w:tcPr>
            <w:tcW w:w="2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61,029</w:t>
            </w:r>
          </w:p>
        </w:tc>
        <w:tc>
          <w:tcPr>
            <w:tcW w:w="40" w:type="dxa"/>
            <w:vAlign w:val="bottom"/>
          </w:tcPr>
          <w:p>
            <w:pPr>
              <w:spacing w:after="0"/>
              <w:rPr>
                <w:sz w:val="19"/>
                <w:szCs w:val="19"/>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78,278</w:t>
            </w:r>
          </w:p>
        </w:tc>
        <w:tc>
          <w:tcPr>
            <w:tcW w:w="4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87,604</w:t>
            </w:r>
          </w:p>
        </w:tc>
        <w:tc>
          <w:tcPr>
            <w:tcW w:w="2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5,911,462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3,546,472</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1,294,044</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1,325,008</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1,171,559</w:t>
            </w:r>
          </w:p>
        </w:tc>
        <w:tc>
          <w:tcPr>
            <w:tcW w:w="20" w:type="dxa"/>
            <w:vAlign w:val="bottom"/>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Total debt (2)</w:t>
            </w: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3,261,735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2,190,193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800,426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866,237</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775,059</w:t>
            </w:r>
          </w:p>
        </w:tc>
        <w:tc>
          <w:tcPr>
            <w:tcW w:w="2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1,029,153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941,597</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295,969</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268,460</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151,622</w:t>
            </w:r>
          </w:p>
        </w:tc>
        <w:tc>
          <w:tcPr>
            <w:tcW w:w="20" w:type="dxa"/>
            <w:vAlign w:val="bottom"/>
            <w:shd w:val="clear" w:color="auto" w:fill="CFF0FC"/>
          </w:tcPr>
          <w:p>
            <w:pPr>
              <w:spacing w:after="0"/>
              <w:rPr>
                <w:sz w:val="19"/>
                <w:szCs w:val="19"/>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 to Selected Consolidated Financial Data:</w:t>
      </w:r>
    </w:p>
    <w:p>
      <w:pPr>
        <w:spacing w:after="0" w:line="121" w:lineRule="exact"/>
        <w:rPr>
          <w:sz w:val="20"/>
          <w:szCs w:val="20"/>
          <w:color w:val="auto"/>
        </w:rPr>
      </w:pPr>
    </w:p>
    <w:p>
      <w:pPr>
        <w:jc w:val="both"/>
        <w:ind w:left="560" w:right="360" w:hanging="552"/>
        <w:spacing w:after="0" w:line="220" w:lineRule="exact"/>
        <w:tabs>
          <w:tab w:leader="none" w:pos="5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Prior to September 19, 2014, we were taxed as a partnership under the Internal Revenue Code pursuant to which income taxes were primarily the responsibility of the partners. On September 18, 2014, as part of the merger with MTR Gaming Group, Inc. (“MTR”), we became a C corporation subject to the federal and state corporate</w:t>
      </w:r>
      <w:r>
        <w:rPr>
          <w:rFonts w:ascii="MS PGothic" w:cs="MS PGothic" w:eastAsia="MS PGothic" w:hAnsi="MS PGothic"/>
          <w:sz w:val="17"/>
          <w:szCs w:val="17"/>
          <w:color w:val="auto"/>
        </w:rPr>
        <w:t>‑</w:t>
      </w:r>
      <w:r>
        <w:rPr>
          <w:rFonts w:ascii="Arial" w:cs="Arial" w:eastAsia="Arial" w:hAnsi="Arial"/>
          <w:sz w:val="17"/>
          <w:szCs w:val="17"/>
          <w:color w:val="auto"/>
        </w:rPr>
        <w:t>level income taxes at prevailing corporate tax rates. While taxed as a partnership, we were not subject to federal income tax liability but made distributions to our equity holders to cover such liabilities.</w:t>
      </w:r>
    </w:p>
    <w:p>
      <w:pPr>
        <w:spacing w:after="0" w:line="96" w:lineRule="exact"/>
        <w:rPr>
          <w:rFonts w:ascii="Arial" w:cs="Arial" w:eastAsia="Arial" w:hAnsi="Arial"/>
          <w:sz w:val="17"/>
          <w:szCs w:val="17"/>
          <w:color w:val="auto"/>
        </w:rPr>
      </w:pPr>
    </w:p>
    <w:p>
      <w:pPr>
        <w:jc w:val="both"/>
        <w:ind w:left="560" w:right="400" w:hanging="552"/>
        <w:spacing w:after="0" w:line="264" w:lineRule="auto"/>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debt, including the current portion, is reported net of unamortized discounts and premiums, and includes capital leases of $0.6 million, $0.9 million, $0.5 million and $0.8 million for the years ended December 31, 2018, 2017, 2016 and 2015, respectively. There were no capital leases in 2014.</w:t>
      </w:r>
    </w:p>
    <w:p>
      <w:pPr>
        <w:spacing w:after="0" w:line="73" w:lineRule="exact"/>
        <w:rPr>
          <w:rFonts w:ascii="Arial" w:cs="Arial" w:eastAsia="Arial" w:hAnsi="Arial"/>
          <w:sz w:val="18"/>
          <w:szCs w:val="18"/>
          <w:color w:val="auto"/>
        </w:rPr>
      </w:pPr>
    </w:p>
    <w:p>
      <w:pPr>
        <w:ind w:left="560" w:right="240" w:hanging="552"/>
        <w:spacing w:after="0" w:line="264" w:lineRule="auto"/>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Amounts reflect the adoption of ASC 606. The Company adopted this standard effective January 1, 2018, and elected to apply the full retrospective adoption method. See the Company’s Current Report on Form 8-K filed with the SEC on September 5, 2018, which recast certain financial information contained in the Company’s Annual Report on Form 10-K for the year ended December 31, 2017.</w:t>
      </w:r>
    </w:p>
    <w:p>
      <w:pPr>
        <w:spacing w:after="0" w:line="73" w:lineRule="exact"/>
        <w:rPr>
          <w:rFonts w:ascii="Arial" w:cs="Arial" w:eastAsia="Arial" w:hAnsi="Arial"/>
          <w:sz w:val="18"/>
          <w:szCs w:val="18"/>
          <w:color w:val="auto"/>
        </w:rPr>
      </w:pPr>
    </w:p>
    <w:p>
      <w:pPr>
        <w:ind w:left="560" w:hanging="552"/>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Amounts have not been adjusted to reflect the impact of the adoption of ASC 606.</w:t>
      </w:r>
    </w:p>
    <w:p>
      <w:pPr>
        <w:spacing w:after="0" w:line="252"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The following events and transactions affect the year-to-year comparability of the selected financial data presented above:</w:t>
      </w:r>
    </w:p>
    <w:p>
      <w:pPr>
        <w:spacing w:after="0" w:line="117" w:lineRule="exact"/>
        <w:rPr>
          <w:rFonts w:ascii="Arial" w:cs="Arial" w:eastAsia="Arial" w:hAnsi="Arial"/>
          <w:sz w:val="18"/>
          <w:szCs w:val="18"/>
          <w:color w:val="auto"/>
        </w:rPr>
      </w:pPr>
    </w:p>
    <w:p>
      <w:pPr>
        <w:ind w:left="1120" w:right="240" w:hanging="558"/>
        <w:spacing w:after="0" w:line="277" w:lineRule="auto"/>
        <w:tabs>
          <w:tab w:leader="none" w:pos="11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 September 2014, we completed the merger with MTR Gaming Group, Inc. (“MTR”), which added Mountaineer, Presque Isle Downs and Scioto Downs to our operations.</w:t>
      </w:r>
    </w:p>
    <w:p>
      <w:pPr>
        <w:spacing w:after="0" w:line="62" w:lineRule="exact"/>
        <w:rPr>
          <w:rFonts w:ascii="Arial" w:cs="Arial" w:eastAsia="Arial" w:hAnsi="Arial"/>
          <w:sz w:val="18"/>
          <w:szCs w:val="18"/>
          <w:color w:val="auto"/>
        </w:rPr>
      </w:pPr>
    </w:p>
    <w:p>
      <w:pPr>
        <w:ind w:left="1120" w:right="120" w:hanging="558"/>
        <w:spacing w:after="0" w:line="219" w:lineRule="exact"/>
        <w:tabs>
          <w:tab w:leader="none" w:pos="11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In November 2015, we consummated the purchase of Circus Reno and the interest in the Silver Legacy that we did not previously own. Prior to our acquisition of the Silver Legacy, non</w:t>
      </w:r>
      <w:r>
        <w:rPr>
          <w:rFonts w:ascii="MS PGothic" w:cs="MS PGothic" w:eastAsia="MS PGothic" w:hAnsi="MS PGothic"/>
          <w:sz w:val="16"/>
          <w:szCs w:val="16"/>
          <w:color w:val="auto"/>
        </w:rPr>
        <w:t>‑</w:t>
      </w:r>
      <w:r>
        <w:rPr>
          <w:rFonts w:ascii="Arial" w:cs="Arial" w:eastAsia="Arial" w:hAnsi="Arial"/>
          <w:sz w:val="16"/>
          <w:szCs w:val="16"/>
          <w:color w:val="auto"/>
        </w:rPr>
        <w:t>controlling interest represented the minority partners’ share of our subsidiary’s 50% joint venture interest in the Silver Legacy. The non</w:t>
      </w:r>
      <w:r>
        <w:rPr>
          <w:rFonts w:ascii="MS PGothic" w:cs="MS PGothic" w:eastAsia="MS PGothic" w:hAnsi="MS PGothic"/>
          <w:sz w:val="16"/>
          <w:szCs w:val="16"/>
          <w:color w:val="auto"/>
        </w:rPr>
        <w:t>‑</w:t>
      </w:r>
      <w:r>
        <w:rPr>
          <w:rFonts w:ascii="Arial" w:cs="Arial" w:eastAsia="Arial" w:hAnsi="Arial"/>
          <w:sz w:val="16"/>
          <w:szCs w:val="16"/>
          <w:color w:val="auto"/>
        </w:rPr>
        <w:t>controlling interest was owned by certain of our affiliates and was an approximately 4% interest in our subsidiary, representing an approximately 1.9% indirect interest in the Silver Legacy. We acquired the remaining 50% joint venture interest pursuant to our acquisition of the Silver Legacy and, in connection therewith, exercised our right to acquire such non</w:t>
      </w:r>
      <w:r>
        <w:rPr>
          <w:rFonts w:ascii="MS PGothic" w:cs="MS PGothic" w:eastAsia="MS PGothic" w:hAnsi="MS PGothic"/>
          <w:sz w:val="16"/>
          <w:szCs w:val="16"/>
          <w:color w:val="auto"/>
        </w:rPr>
        <w:t>‑</w:t>
      </w:r>
      <w:r>
        <w:rPr>
          <w:rFonts w:ascii="Arial" w:cs="Arial" w:eastAsia="Arial" w:hAnsi="Arial"/>
          <w:sz w:val="16"/>
          <w:szCs w:val="16"/>
          <w:color w:val="auto"/>
        </w:rPr>
        <w:t>controlling interest.</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33" w:name="page34"/>
    <w:bookmarkEnd w:id="33"/>
    <w:p>
      <w:pPr>
        <w:ind w:left="560" w:hanging="558"/>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May 2017, we completed our acquisition of Isle, adding 13 gaming properties to our portfolio.</w:t>
      </w:r>
    </w:p>
    <w:p>
      <w:pPr>
        <w:spacing w:after="0" w:line="117" w:lineRule="exact"/>
        <w:rPr>
          <w:rFonts w:ascii="Arial" w:cs="Arial" w:eastAsia="Arial" w:hAnsi="Arial"/>
          <w:sz w:val="18"/>
          <w:szCs w:val="18"/>
          <w:color w:val="auto"/>
        </w:rPr>
      </w:pPr>
    </w:p>
    <w:p>
      <w:pPr>
        <w:ind w:left="560" w:hanging="558"/>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August 2018, we acquired Elgin.</w:t>
      </w:r>
    </w:p>
    <w:p>
      <w:pPr>
        <w:spacing w:after="0" w:line="117" w:lineRule="exact"/>
        <w:rPr>
          <w:rFonts w:ascii="Arial" w:cs="Arial" w:eastAsia="Arial" w:hAnsi="Arial"/>
          <w:sz w:val="18"/>
          <w:szCs w:val="18"/>
          <w:color w:val="auto"/>
        </w:rPr>
      </w:pPr>
    </w:p>
    <w:p>
      <w:pPr>
        <w:ind w:left="560" w:hanging="558"/>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October 2018, we completed our acquisition of Tropicana, adding seven additional properties to our portfolio.</w:t>
      </w:r>
    </w:p>
    <w:p>
      <w:pPr>
        <w:spacing w:after="0" w:line="117" w:lineRule="exact"/>
        <w:rPr>
          <w:rFonts w:ascii="Arial" w:cs="Arial" w:eastAsia="Arial" w:hAnsi="Arial"/>
          <w:sz w:val="18"/>
          <w:szCs w:val="18"/>
          <w:color w:val="auto"/>
        </w:rPr>
      </w:pPr>
    </w:p>
    <w:p>
      <w:pPr>
        <w:ind w:left="560" w:hanging="558"/>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2014, we incurred costs associated with the acquisition of MTR totaling $7.4 million.</w:t>
      </w:r>
    </w:p>
    <w:p>
      <w:pPr>
        <w:spacing w:after="0" w:line="117" w:lineRule="exact"/>
        <w:rPr>
          <w:rFonts w:ascii="Arial" w:cs="Arial" w:eastAsia="Arial" w:hAnsi="Arial"/>
          <w:sz w:val="18"/>
          <w:szCs w:val="18"/>
          <w:color w:val="auto"/>
        </w:rPr>
      </w:pPr>
    </w:p>
    <w:p>
      <w:pPr>
        <w:ind w:left="560" w:right="240" w:hanging="558"/>
        <w:spacing w:after="0" w:line="277" w:lineRule="auto"/>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2015, in conjunction with the acquisition of Silver Legacy and Circus Reno, we incurred costs totaling $2.5 million and recorded a $35.6 million gain related to the valuation of our pre-acquisition investment in the Silver Legacy.</w:t>
      </w:r>
    </w:p>
    <w:p>
      <w:pPr>
        <w:spacing w:after="0" w:line="62" w:lineRule="exact"/>
        <w:rPr>
          <w:rFonts w:ascii="Arial" w:cs="Arial" w:eastAsia="Arial" w:hAnsi="Arial"/>
          <w:sz w:val="18"/>
          <w:szCs w:val="18"/>
          <w:color w:val="auto"/>
        </w:rPr>
      </w:pPr>
    </w:p>
    <w:p>
      <w:pPr>
        <w:ind w:left="560" w:hanging="558"/>
        <w:spacing w:after="0" w:line="264" w:lineRule="auto"/>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2015, in connection with the refinancing of all of our then outstanding indebtedness, we issued $375 million of senior notes and entered into a new $425 million term loan and a new $150 million revolving credit facility. As a result of the 2015 refinancing, we recognized a $1.9 million net loss on the early retirement of debt.</w:t>
      </w:r>
    </w:p>
    <w:p>
      <w:pPr>
        <w:spacing w:after="0" w:line="73" w:lineRule="exact"/>
        <w:rPr>
          <w:rFonts w:ascii="Arial" w:cs="Arial" w:eastAsia="Arial" w:hAnsi="Arial"/>
          <w:sz w:val="18"/>
          <w:szCs w:val="18"/>
          <w:color w:val="auto"/>
        </w:rPr>
      </w:pPr>
    </w:p>
    <w:p>
      <w:pPr>
        <w:ind w:left="560" w:hanging="558"/>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2015, we recorded a $69.6 million net benefit for income taxes resulting from an adjustment to our valuation allowance.</w:t>
      </w:r>
    </w:p>
    <w:p>
      <w:pPr>
        <w:spacing w:after="0" w:line="117" w:lineRule="exact"/>
        <w:rPr>
          <w:rFonts w:ascii="Arial" w:cs="Arial" w:eastAsia="Arial" w:hAnsi="Arial"/>
          <w:sz w:val="18"/>
          <w:szCs w:val="18"/>
          <w:color w:val="auto"/>
        </w:rPr>
      </w:pPr>
    </w:p>
    <w:p>
      <w:pPr>
        <w:ind w:left="560" w:hanging="558"/>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2016, transaction expenses related to our acquisition of Isle totaled $8.6 million.</w:t>
      </w:r>
    </w:p>
    <w:p>
      <w:pPr>
        <w:spacing w:after="0" w:line="117" w:lineRule="exact"/>
        <w:rPr>
          <w:rFonts w:ascii="Arial" w:cs="Arial" w:eastAsia="Arial" w:hAnsi="Arial"/>
          <w:sz w:val="18"/>
          <w:szCs w:val="18"/>
          <w:color w:val="auto"/>
        </w:rPr>
      </w:pPr>
    </w:p>
    <w:p>
      <w:pPr>
        <w:ind w:left="560" w:right="140" w:hanging="558"/>
        <w:spacing w:after="0" w:line="277" w:lineRule="auto"/>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2017, legal, accounting, financial advisory services, severance, stock awards and other costs related to our acquisition of Isle totaled $92.8 million.</w:t>
      </w:r>
    </w:p>
    <w:p>
      <w:pPr>
        <w:spacing w:after="0" w:line="62" w:lineRule="exact"/>
        <w:rPr>
          <w:rFonts w:ascii="Arial" w:cs="Arial" w:eastAsia="Arial" w:hAnsi="Arial"/>
          <w:sz w:val="18"/>
          <w:szCs w:val="18"/>
          <w:color w:val="auto"/>
        </w:rPr>
      </w:pPr>
    </w:p>
    <w:p>
      <w:pPr>
        <w:ind w:left="560" w:hanging="558"/>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2017, we recorded a $20.0 million forfeited deposit as income related to the terminated sale of Lake Charles.</w:t>
      </w:r>
    </w:p>
    <w:p>
      <w:pPr>
        <w:spacing w:after="0" w:line="117" w:lineRule="exact"/>
        <w:rPr>
          <w:rFonts w:ascii="Arial" w:cs="Arial" w:eastAsia="Arial" w:hAnsi="Arial"/>
          <w:sz w:val="18"/>
          <w:szCs w:val="18"/>
          <w:color w:val="auto"/>
        </w:rPr>
      </w:pPr>
    </w:p>
    <w:p>
      <w:pPr>
        <w:ind w:left="560" w:right="200" w:hanging="558"/>
        <w:spacing w:after="0" w:line="264" w:lineRule="auto"/>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2017, the U.S. government enacted comprehensive tax legislation commonly referred to as the Tax Cuts and Jobs Act. In connection with these changes, for certain of our net deferred tax liabilities, we recorded a decrease of $111.9 million, net of the related change in valuation allowance, with a corresponding net adjustment to deferred income tax benefit.</w:t>
      </w:r>
    </w:p>
    <w:p>
      <w:pPr>
        <w:spacing w:after="0" w:line="73" w:lineRule="exact"/>
        <w:rPr>
          <w:rFonts w:ascii="Arial" w:cs="Arial" w:eastAsia="Arial" w:hAnsi="Arial"/>
          <w:sz w:val="18"/>
          <w:szCs w:val="18"/>
          <w:color w:val="auto"/>
        </w:rPr>
      </w:pPr>
    </w:p>
    <w:p>
      <w:pPr>
        <w:ind w:left="560" w:right="400" w:hanging="558"/>
        <w:spacing w:after="0" w:line="277" w:lineRule="auto"/>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2017, we recorded impairment charges totaling $38.0 million related to goodwill and/or trade names associated with our Lake Charles, Vicksburg and Lula reporting units.</w:t>
      </w:r>
    </w:p>
    <w:p>
      <w:pPr>
        <w:spacing w:after="0" w:line="62" w:lineRule="exact"/>
        <w:rPr>
          <w:rFonts w:ascii="Arial" w:cs="Arial" w:eastAsia="Arial" w:hAnsi="Arial"/>
          <w:sz w:val="18"/>
          <w:szCs w:val="18"/>
          <w:color w:val="auto"/>
        </w:rPr>
      </w:pPr>
    </w:p>
    <w:p>
      <w:pPr>
        <w:ind w:left="560" w:right="60" w:hanging="558"/>
        <w:spacing w:after="0" w:line="259" w:lineRule="auto"/>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2017, we recognized a loss totaling $27.3 million as a result of the debt refinancing transaction related to our acquisition of Isle. In connection with such acquisition, we issued an additional $500 million of senior notes and used the proceeds of the offering to repay all of the outstanding borrowings under our revolving credit facility and repay a portion of the outstanding borrowings under our term loan. We recognized a loss of $11.1 million on the retirement of existing debt.</w:t>
      </w:r>
    </w:p>
    <w:p>
      <w:pPr>
        <w:spacing w:after="0" w:line="78" w:lineRule="exact"/>
        <w:rPr>
          <w:rFonts w:ascii="Arial" w:cs="Arial" w:eastAsia="Arial" w:hAnsi="Arial"/>
          <w:sz w:val="18"/>
          <w:szCs w:val="18"/>
          <w:color w:val="auto"/>
        </w:rPr>
      </w:pPr>
    </w:p>
    <w:p>
      <w:pPr>
        <w:ind w:left="560" w:right="440" w:hanging="558"/>
        <w:spacing w:after="0" w:line="342" w:lineRule="auto"/>
        <w:tabs>
          <w:tab w:leader="none" w:pos="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2018, we recorded impairment charges totaling $13.6 million related to the pending sale of our Nemacolin property and Vicksburg operations as assets held for sale. Upon the termination of the sale of Vicksburg, we recognized a $5.0 million termination fee as income.</w:t>
      </w:r>
    </w:p>
    <w:p>
      <w:pPr>
        <w:spacing w:after="0" w:line="15" w:lineRule="exact"/>
        <w:rPr>
          <w:rFonts w:ascii="Arial" w:cs="Arial" w:eastAsia="Arial" w:hAnsi="Arial"/>
          <w:sz w:val="16"/>
          <w:szCs w:val="16"/>
          <w:color w:val="auto"/>
        </w:rPr>
      </w:pPr>
    </w:p>
    <w:p>
      <w:pPr>
        <w:ind w:left="560" w:hanging="558"/>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2018, transaction expenses related to our acquisitions of Isle, Elgin and Tropicana totaled $20.8 million.</w:t>
      </w:r>
    </w:p>
    <w:p>
      <w:pPr>
        <w:spacing w:after="0" w:line="117" w:lineRule="exact"/>
        <w:rPr>
          <w:rFonts w:ascii="Arial" w:cs="Arial" w:eastAsia="Arial" w:hAnsi="Arial"/>
          <w:sz w:val="18"/>
          <w:szCs w:val="18"/>
          <w:color w:val="auto"/>
        </w:rPr>
      </w:pPr>
    </w:p>
    <w:p>
      <w:pPr>
        <w:ind w:left="560" w:right="60" w:hanging="558"/>
        <w:spacing w:after="0" w:line="277" w:lineRule="auto"/>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2018, we issued $600 million of senior notes to fund the Tropicana Acquisition. Additionally, in connection with the Tropicana Acquisition we incurred a $246 million interest-only mortgage note.</w:t>
      </w:r>
    </w:p>
    <w:p>
      <w:pPr>
        <w:spacing w:after="0" w:line="62" w:lineRule="exact"/>
        <w:rPr>
          <w:rFonts w:ascii="Arial" w:cs="Arial" w:eastAsia="Arial" w:hAnsi="Arial"/>
          <w:sz w:val="18"/>
          <w:szCs w:val="18"/>
          <w:color w:val="auto"/>
        </w:rPr>
      </w:pPr>
    </w:p>
    <w:p>
      <w:pPr>
        <w:ind w:left="560" w:right="40" w:hanging="558"/>
        <w:spacing w:after="0" w:line="308" w:lineRule="auto"/>
        <w:tabs>
          <w:tab w:leader="none" w:pos="5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2018, we entered into the Master Lease with GLPI in conjunction with the Tropicana Acquisition and recorded a direct financing obligation and corresponding asset. Minimum lease payments are recorded as interest expense and totaled $24.4 million in 2018.</w:t>
      </w:r>
    </w:p>
    <w:p>
      <w:pPr>
        <w:spacing w:after="0" w:line="363"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800" w:top="449" w:right="239" w:bottom="1440" w:gutter="0" w:footer="0" w:header="0"/>
        </w:sectPr>
      </w:pPr>
    </w:p>
    <w:bookmarkStart w:id="34" w:name="page35"/>
    <w:bookmarkEnd w:id="34"/>
    <w:p>
      <w:pPr>
        <w:spacing w:after="0"/>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520" w:firstLine="555"/>
        <w:spacing w:after="0" w:line="277" w:lineRule="auto"/>
        <w:rPr>
          <w:sz w:val="20"/>
          <w:szCs w:val="20"/>
          <w:color w:val="auto"/>
        </w:rPr>
      </w:pPr>
      <w:r>
        <w:rPr>
          <w:rFonts w:ascii="Arial" w:cs="Arial" w:eastAsia="Arial" w:hAnsi="Arial"/>
          <w:sz w:val="18"/>
          <w:szCs w:val="18"/>
          <w:i w:val="1"/>
          <w:iCs w:val="1"/>
          <w:color w:val="auto"/>
        </w:rPr>
        <w:t>You should read the following discussion together with the financial statements, including the related notes and the other financial information, contained in this Annual Report on Form 10-K.</w:t>
      </w:r>
    </w:p>
    <w:p>
      <w:pPr>
        <w:spacing w:after="0" w:line="62"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Eldorado Resorts, Inc., a Nevada corporation, is referred to as the “Company,” “ERI,” or the “Registrant,” and together with its subsidiaries may also be referred to as “we,” “us” or “our.”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We are a geographically diversified gaming and hospitality company with 28 gaming facilities in 13 states as of December 31, 2018. Our properties, which are located in Ohio, Louisiana, Nevada, New Jersey, Pennsylvania, West Virginia, Colorado, Florida, Iowa, Mississippi, Illinois, Indiana and Missouri, feature approximately 30,000 slot machines and video lottery terminals (“VLTs”), approximately 800 table games and approximately 12,600 hotel rooms. Our primary source of revenue is generated by gaming operations, and we utilize our hotels, restaurants, bars, entertainment, racing, retail shops and other services to attract customers to our properties.</w:t>
      </w:r>
    </w:p>
    <w:p>
      <w:pPr>
        <w:spacing w:after="0" w:line="188" w:lineRule="exact"/>
        <w:rPr>
          <w:sz w:val="20"/>
          <w:szCs w:val="20"/>
          <w:color w:val="auto"/>
        </w:rPr>
      </w:pPr>
    </w:p>
    <w:p>
      <w:pPr>
        <w:ind w:right="200" w:firstLine="555"/>
        <w:spacing w:after="0" w:line="290" w:lineRule="auto"/>
        <w:rPr>
          <w:sz w:val="20"/>
          <w:szCs w:val="20"/>
          <w:color w:val="auto"/>
        </w:rPr>
      </w:pPr>
      <w:r>
        <w:rPr>
          <w:rFonts w:ascii="Arial" w:cs="Arial" w:eastAsia="Arial" w:hAnsi="Arial"/>
          <w:sz w:val="16"/>
          <w:szCs w:val="16"/>
          <w:color w:val="auto"/>
        </w:rPr>
        <w:t>We were founded in 1973 by the Carano family with the opening of the Eldorado Hotel Casino in Reno, Nevada. In 1993, we partnered with MGM Resorts International to build Silver Legacy Resort Casino, the first mega-themed resort in Reno. In 2005, we acquired our first property outside of Reno when we purchased a casino in Shreveport, Louisiana, now known as Eldorado Shreveport. In September 2014, we merged with MTR Gaming Group, Inc. and acquired its three gaming and racing facilities in Ohio, Pennsylvania and West Virginia. The following year, in November 2015, we acquired Circus Circus Reno and the 50% membership interest in the Silver Legacy that was owned by MGM Resorts International. On May 1, 2017, we completed our acquisition of Isle of Capri Casinos, Inc. (“Isle” or “Isle of Capri”), adding 13 gaming properties to our portfolio. On August 7, 2018, we acquired the Elgin Riverboat Resort – Riverboat Casino d/b/a Grand Victoria Casino (“Elgin”) (“Elgin Acquisition”). On October 1, 2018, we completed our acquisition of Tropicana Entertainment, Inc. (“Tropicana”), adding seven properties to our portfolio (the “Tropicana Acquisition”).</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2018, we owned and operated the following properties:</w:t>
      </w:r>
    </w:p>
    <w:p>
      <w:pPr>
        <w:spacing w:after="0" w:line="117" w:lineRule="exact"/>
        <w:rPr>
          <w:sz w:val="20"/>
          <w:szCs w:val="20"/>
          <w:color w:val="auto"/>
        </w:rPr>
      </w:pPr>
    </w:p>
    <w:p>
      <w:pPr>
        <w:ind w:left="1120" w:right="80" w:hanging="558"/>
        <w:spacing w:after="0" w:line="308" w:lineRule="auto"/>
        <w:tabs>
          <w:tab w:leader="none" w:pos="11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Eldorado Resort Casino Reno (“Eldorado Reno”)—A 814-room hotel, casino and entertainment facility connected via an enclosed skywalk to Silver Legacy and Circus Reno located in downtown Reno, Nevada that includes 1,117 slot machines and 36 table games;</w:t>
      </w:r>
    </w:p>
    <w:p>
      <w:pPr>
        <w:spacing w:after="0" w:line="38" w:lineRule="exact"/>
        <w:rPr>
          <w:rFonts w:ascii="Arial" w:cs="Arial" w:eastAsia="Arial" w:hAnsi="Arial"/>
          <w:sz w:val="17"/>
          <w:szCs w:val="17"/>
          <w:color w:val="auto"/>
        </w:rPr>
      </w:pPr>
    </w:p>
    <w:p>
      <w:pPr>
        <w:ind w:left="1120" w:right="40" w:hanging="558"/>
        <w:spacing w:after="0" w:line="277"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Silver Legacy Resort Casino (“Silver Legacy”)—A 1,685-room themed hotel and casino connected via an enclosed skywalk to Eldorado Reno and Circus Reno that includes 1,119 slot machines, 48 table games and a 13-table poker room;</w:t>
      </w:r>
    </w:p>
    <w:p>
      <w:pPr>
        <w:spacing w:after="0" w:line="62" w:lineRule="exact"/>
        <w:rPr>
          <w:rFonts w:ascii="Arial" w:cs="Arial" w:eastAsia="Arial" w:hAnsi="Arial"/>
          <w:sz w:val="18"/>
          <w:szCs w:val="18"/>
          <w:color w:val="auto"/>
        </w:rPr>
      </w:pPr>
    </w:p>
    <w:p>
      <w:pPr>
        <w:ind w:left="1120" w:right="80" w:hanging="558"/>
        <w:spacing w:after="0" w:line="277"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Circus Circus Reno (“Circus Reno”)—A 1,571-room hotel-casino and entertainment complex connected via an enclosed skywalk to Eldorado Reno and Silver Legacy that includes 722 slot machines;</w:t>
      </w:r>
    </w:p>
    <w:p>
      <w:pPr>
        <w:spacing w:after="0" w:line="62" w:lineRule="exact"/>
        <w:rPr>
          <w:rFonts w:ascii="Arial" w:cs="Arial" w:eastAsia="Arial" w:hAnsi="Arial"/>
          <w:sz w:val="18"/>
          <w:szCs w:val="18"/>
          <w:color w:val="auto"/>
        </w:rPr>
      </w:pPr>
    </w:p>
    <w:p>
      <w:pPr>
        <w:ind w:left="1120" w:right="280" w:hanging="558"/>
        <w:spacing w:after="0" w:line="342" w:lineRule="auto"/>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Eldorado Resort Casino Shreveport (“Eldorado Shreveport”)—A 403-room, all suite art deco-style hotel and tri-level riverboat dockside casino situated on the Red River in Shreveport, Louisiana that includes 1,388 slot machines, 52 table games and an eight-table poker room;</w:t>
      </w:r>
    </w:p>
    <w:p>
      <w:pPr>
        <w:spacing w:after="0" w:line="15" w:lineRule="exact"/>
        <w:rPr>
          <w:rFonts w:ascii="Arial" w:cs="Arial" w:eastAsia="Arial" w:hAnsi="Arial"/>
          <w:sz w:val="16"/>
          <w:szCs w:val="16"/>
          <w:color w:val="auto"/>
        </w:rPr>
      </w:pPr>
    </w:p>
    <w:p>
      <w:pPr>
        <w:ind w:left="1120" w:right="340" w:hanging="558"/>
        <w:spacing w:after="0" w:line="264"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Mountaineer Casino, Racetrack &amp; Resort (“Mountaineer”)—A 357-room hotel, casino, entertainment and live thoroughbred horse racing facility located on the Ohio River at the northern tip of West Virginia’s northwestern panhandle that includes 1,486 slot machines, 36 table games and a 10-table poker room;</w:t>
      </w:r>
    </w:p>
    <w:p>
      <w:pPr>
        <w:spacing w:after="0" w:line="73" w:lineRule="exact"/>
        <w:rPr>
          <w:rFonts w:ascii="Arial" w:cs="Arial" w:eastAsia="Arial" w:hAnsi="Arial"/>
          <w:sz w:val="18"/>
          <w:szCs w:val="18"/>
          <w:color w:val="auto"/>
        </w:rPr>
      </w:pPr>
    </w:p>
    <w:p>
      <w:pPr>
        <w:ind w:left="1120" w:right="340" w:hanging="558"/>
        <w:spacing w:after="0" w:line="277"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Presque Isle Downs &amp; Casino (“Presque Isle Downs”)—A casino and live thoroughbred horse racing facility with 1,596 slot machines, 32 table games and a seven-table poker room located in Erie, Pennsylvania;</w:t>
      </w:r>
    </w:p>
    <w:p>
      <w:pPr>
        <w:spacing w:after="0" w:line="62" w:lineRule="exact"/>
        <w:rPr>
          <w:rFonts w:ascii="Arial" w:cs="Arial" w:eastAsia="Arial" w:hAnsi="Arial"/>
          <w:sz w:val="18"/>
          <w:szCs w:val="18"/>
          <w:color w:val="auto"/>
        </w:rPr>
      </w:pPr>
    </w:p>
    <w:p>
      <w:pPr>
        <w:ind w:left="1120" w:right="40" w:hanging="558"/>
        <w:spacing w:after="0" w:line="277"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Eldorado Gaming Scioto Downs (“Scioto Downs”)—A modern “racino” offering 2,238 VLTs, harness racing and a 118-room third party hotel connected to Scioto Downs located 15 minutes from downtown Columbus, Ohio.</w:t>
      </w:r>
    </w:p>
    <w:p>
      <w:pPr>
        <w:spacing w:after="0" w:line="62" w:lineRule="exact"/>
        <w:rPr>
          <w:rFonts w:ascii="Arial" w:cs="Arial" w:eastAsia="Arial" w:hAnsi="Arial"/>
          <w:sz w:val="18"/>
          <w:szCs w:val="18"/>
          <w:color w:val="auto"/>
        </w:rPr>
      </w:pPr>
    </w:p>
    <w:p>
      <w:pPr>
        <w:ind w:left="1120" w:right="220" w:hanging="558"/>
        <w:spacing w:after="0" w:line="277"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Isle Casino Hotel—Black Hawk (“Isle Black Hawk”)—A land-based casino on an approximately 10-acre site in Black Hawk, Colorado that includes 966 slot machines, 28 table games, a 10-table poker room and a 238-room hotel;</w:t>
      </w:r>
    </w:p>
    <w:p>
      <w:pPr>
        <w:spacing w:after="0" w:line="62" w:lineRule="exact"/>
        <w:rPr>
          <w:rFonts w:ascii="Arial" w:cs="Arial" w:eastAsia="Arial" w:hAnsi="Arial"/>
          <w:sz w:val="18"/>
          <w:szCs w:val="18"/>
          <w:color w:val="auto"/>
        </w:rPr>
      </w:pPr>
    </w:p>
    <w:p>
      <w:pPr>
        <w:ind w:left="1120" w:right="220" w:hanging="558"/>
        <w:spacing w:after="0" w:line="264"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Lady Luck Casino—Black Hawk (“Lady Luck Black Hawk”)—A land-based casino across the intersection from Isle Casino Hotel in Black Hawk Colorado, that includes 442 slot machines, seven table games and a 164-room hotel with a parking structure connecting Isle Black Hawk and Lady Luck Black Hawk;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5" w:name="page36"/>
    <w:bookmarkEnd w:id="35"/>
    <w:p>
      <w:pPr>
        <w:ind w:left="1120" w:right="300" w:hanging="558"/>
        <w:spacing w:after="0" w:line="277"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Isle Casino Racing Pompano Park (“Pompano”)—A casino and harness racing track on an approximately 223-acre owned site in Pompano Beach, Florida that includes 1,596 slot machines and a 39-table poker room;</w:t>
      </w:r>
    </w:p>
    <w:p>
      <w:pPr>
        <w:spacing w:after="0" w:line="62" w:lineRule="exact"/>
        <w:rPr>
          <w:rFonts w:ascii="Arial" w:cs="Arial" w:eastAsia="Arial" w:hAnsi="Arial"/>
          <w:sz w:val="18"/>
          <w:szCs w:val="18"/>
          <w:color w:val="auto"/>
        </w:rPr>
      </w:pPr>
    </w:p>
    <w:p>
      <w:pPr>
        <w:ind w:left="1120" w:right="280" w:hanging="558"/>
        <w:spacing w:after="0" w:line="277"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Isle Casino Bettendorf (“Bettendorf”)—A land-based single-level casino located off Interstate 74 in Bettendorf, Iowa that includes 969 slot machines and 15 table games with two hotel towers with 509 hotel rooms;</w:t>
      </w:r>
    </w:p>
    <w:p>
      <w:pPr>
        <w:spacing w:after="0" w:line="62"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Isle Casino Waterloo (“Waterloo”)—A single-level land-based casino in Waterloo, Iowa that includes 939 slot machines, 23 table games, and a 194-room hotel;</w:t>
      </w:r>
    </w:p>
    <w:p>
      <w:pPr>
        <w:spacing w:after="0" w:line="62" w:lineRule="exact"/>
        <w:rPr>
          <w:rFonts w:ascii="Arial" w:cs="Arial" w:eastAsia="Arial" w:hAnsi="Arial"/>
          <w:sz w:val="18"/>
          <w:szCs w:val="18"/>
          <w:color w:val="auto"/>
        </w:rPr>
      </w:pPr>
    </w:p>
    <w:p>
      <w:pPr>
        <w:ind w:left="1120" w:right="320" w:hanging="558"/>
        <w:spacing w:after="0" w:line="277"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Isle of Capri Casino Hotel Lake Charles (“Lake Charles”)—A gaming vessel on an approximately 19-acre site in Lake Charles, Louisiana, with 1,164 slot machines, 34 table games, 11 poker tables, and two hotels offering 493 rooms;</w:t>
      </w:r>
    </w:p>
    <w:p>
      <w:pPr>
        <w:spacing w:after="0" w:line="62" w:lineRule="exact"/>
        <w:rPr>
          <w:rFonts w:ascii="Arial" w:cs="Arial" w:eastAsia="Arial" w:hAnsi="Arial"/>
          <w:sz w:val="18"/>
          <w:szCs w:val="18"/>
          <w:color w:val="auto"/>
        </w:rPr>
      </w:pPr>
    </w:p>
    <w:p>
      <w:pPr>
        <w:ind w:left="1120" w:right="100" w:hanging="558"/>
        <w:spacing w:after="0" w:line="277"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Isle of Capri Casino Lula (“Lula”)—Two dockside casinos in Lula, Mississippi with 862 slot machines and 25 table games, two on-site hotels with a total of 486 rooms and a 28-space RV Park;</w:t>
      </w:r>
    </w:p>
    <w:p>
      <w:pPr>
        <w:spacing w:after="0" w:line="62" w:lineRule="exact"/>
        <w:rPr>
          <w:rFonts w:ascii="Arial" w:cs="Arial" w:eastAsia="Arial" w:hAnsi="Arial"/>
          <w:sz w:val="18"/>
          <w:szCs w:val="18"/>
          <w:color w:val="auto"/>
        </w:rPr>
      </w:pPr>
    </w:p>
    <w:p>
      <w:pPr>
        <w:ind w:left="1120" w:right="120" w:hanging="558"/>
        <w:spacing w:after="0" w:line="277"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Lady Luck Casino Vicksburg (“Vicksburg”)—A dockside casino in Vicksburg, Mississippi that includes 607 slot machines and a hotel with a total of 89 rooms;</w:t>
      </w:r>
    </w:p>
    <w:p>
      <w:pPr>
        <w:spacing w:after="0" w:line="62" w:lineRule="exact"/>
        <w:rPr>
          <w:rFonts w:ascii="Arial" w:cs="Arial" w:eastAsia="Arial" w:hAnsi="Arial"/>
          <w:sz w:val="18"/>
          <w:szCs w:val="18"/>
          <w:color w:val="auto"/>
        </w:rPr>
      </w:pPr>
    </w:p>
    <w:p>
      <w:pPr>
        <w:ind w:left="1120" w:right="40" w:hanging="558"/>
        <w:spacing w:after="0" w:line="277"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Isle of Capri Casino Boonville (“Boonville”)—A single-level dockside casino in Boonville, Missouri that includes 881 slot machines, 20 table games and a 140-room hotel;</w:t>
      </w:r>
    </w:p>
    <w:p>
      <w:pPr>
        <w:spacing w:after="0" w:line="62" w:lineRule="exact"/>
        <w:rPr>
          <w:rFonts w:ascii="Arial" w:cs="Arial" w:eastAsia="Arial" w:hAnsi="Arial"/>
          <w:sz w:val="18"/>
          <w:szCs w:val="18"/>
          <w:color w:val="auto"/>
        </w:rPr>
      </w:pPr>
    </w:p>
    <w:p>
      <w:pPr>
        <w:ind w:left="1120" w:right="180" w:hanging="558"/>
        <w:spacing w:after="0" w:line="277"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Isle Casino Cape Girardeau (“Cape Girardeau”)—A dockside casino and pavilion and entertainment center in Cape Girardeau, Missouri that includes 863 slot machines, 20 table games and four poker tables;</w:t>
      </w:r>
    </w:p>
    <w:p>
      <w:pPr>
        <w:spacing w:after="0" w:line="62" w:lineRule="exact"/>
        <w:rPr>
          <w:rFonts w:ascii="Arial" w:cs="Arial" w:eastAsia="Arial" w:hAnsi="Arial"/>
          <w:sz w:val="18"/>
          <w:szCs w:val="18"/>
          <w:color w:val="auto"/>
        </w:rPr>
      </w:pPr>
    </w:p>
    <w:p>
      <w:pPr>
        <w:ind w:left="1120" w:right="180" w:hanging="558"/>
        <w:spacing w:after="0" w:line="277"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Lady Luck Casino Caruthersville (“Caruthersville”)—A riverboat casino located along the Mississippi River in Caruthersville, Missouri that includes 507 slot machines and nine table games;</w:t>
      </w:r>
    </w:p>
    <w:p>
      <w:pPr>
        <w:spacing w:after="0" w:line="62" w:lineRule="exact"/>
        <w:rPr>
          <w:rFonts w:ascii="Arial" w:cs="Arial" w:eastAsia="Arial" w:hAnsi="Arial"/>
          <w:sz w:val="18"/>
          <w:szCs w:val="18"/>
          <w:color w:val="auto"/>
        </w:rPr>
      </w:pPr>
    </w:p>
    <w:p>
      <w:pPr>
        <w:ind w:left="1120" w:right="400" w:hanging="558"/>
        <w:spacing w:after="0" w:line="277"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Isle of Capri Casino Kansas City (“Kansas City”)—A dockside casino located close to downtown Kansas City, Missouri offering 938 slot machines and 13 table games;</w:t>
      </w:r>
    </w:p>
    <w:p>
      <w:pPr>
        <w:spacing w:after="0" w:line="62" w:lineRule="exact"/>
        <w:rPr>
          <w:rFonts w:ascii="Arial" w:cs="Arial" w:eastAsia="Arial" w:hAnsi="Arial"/>
          <w:sz w:val="18"/>
          <w:szCs w:val="18"/>
          <w:color w:val="auto"/>
        </w:rPr>
      </w:pPr>
    </w:p>
    <w:p>
      <w:pPr>
        <w:ind w:left="1120" w:right="680" w:hanging="558"/>
        <w:spacing w:after="0" w:line="277"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Lady Luck Casino Nemacolin (“Nemacolin”)—A casino property located on the 2,000-acre Nemacolin Woodlands Resort in Western Pennsylvania that includes 600 slot machines and 28 table games.</w:t>
      </w:r>
    </w:p>
    <w:p>
      <w:pPr>
        <w:spacing w:after="0" w:line="62" w:lineRule="exact"/>
        <w:rPr>
          <w:rFonts w:ascii="Arial" w:cs="Arial" w:eastAsia="Arial" w:hAnsi="Arial"/>
          <w:sz w:val="18"/>
          <w:szCs w:val="18"/>
          <w:color w:val="auto"/>
        </w:rPr>
      </w:pPr>
    </w:p>
    <w:p>
      <w:pPr>
        <w:ind w:left="1120" w:right="20" w:hanging="558"/>
        <w:spacing w:after="0" w:line="264"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Tropicana Casino and Resort, Atlantic City (“Trop AC”)—A casino and resort situated on approximately 15 acres with approximately 660 feet of ocean frontage in Atlantic City, New Jersey that includes approximately 2,464 slot machines, 107 table games, 18 poker tables and 2,366 hotel rooms;</w:t>
      </w:r>
    </w:p>
    <w:p>
      <w:pPr>
        <w:spacing w:after="0" w:line="73"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Tropicana Evansville (“Evansville”)—A casino hotel and entertainment complex in Evansville, Indiana featuring 1,128 slot machines, 33 table games, eight poker tables and two on-site hotels with a total of 338 rooms;</w:t>
      </w:r>
    </w:p>
    <w:p>
      <w:pPr>
        <w:spacing w:after="0" w:line="62" w:lineRule="exact"/>
        <w:rPr>
          <w:rFonts w:ascii="Arial" w:cs="Arial" w:eastAsia="Arial" w:hAnsi="Arial"/>
          <w:sz w:val="18"/>
          <w:szCs w:val="18"/>
          <w:color w:val="auto"/>
        </w:rPr>
      </w:pPr>
    </w:p>
    <w:p>
      <w:pPr>
        <w:ind w:left="1120" w:right="280" w:hanging="558"/>
        <w:spacing w:after="0" w:line="264"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Lumière Place Casino (“Lumière”)—A casino located on approximately 20 acres, located in historic downtown St. Louis, Missouri near business and entertainment districts and overlooks the Mississippi River with approximately 1,401 slot machines, 48 table games, 10 poker tables and 494 hotel rooms;</w:t>
      </w:r>
    </w:p>
    <w:p>
      <w:pPr>
        <w:spacing w:after="0" w:line="73" w:lineRule="exact"/>
        <w:rPr>
          <w:rFonts w:ascii="Arial" w:cs="Arial" w:eastAsia="Arial" w:hAnsi="Arial"/>
          <w:sz w:val="18"/>
          <w:szCs w:val="18"/>
          <w:color w:val="auto"/>
        </w:rPr>
      </w:pPr>
    </w:p>
    <w:p>
      <w:pPr>
        <w:ind w:left="1120" w:right="580" w:hanging="558"/>
        <w:spacing w:after="0" w:line="277"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Tropicana Laughlin Hotel and Casino (“Laughlin”)—A casino in Casino Drive, Laughlin, Nevada that includes approximately 895 slot machines, 20 table games and 1,487 hotel rooms;</w:t>
      </w:r>
    </w:p>
    <w:p>
      <w:pPr>
        <w:spacing w:after="0" w:line="62" w:lineRule="exact"/>
        <w:rPr>
          <w:rFonts w:ascii="Arial" w:cs="Arial" w:eastAsia="Arial" w:hAnsi="Arial"/>
          <w:sz w:val="18"/>
          <w:szCs w:val="18"/>
          <w:color w:val="auto"/>
        </w:rPr>
      </w:pPr>
    </w:p>
    <w:p>
      <w:pPr>
        <w:ind w:left="1120" w:right="60" w:hanging="558"/>
        <w:spacing w:after="0" w:line="277"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MontBleu Casino Resort &amp; Spa (“MontBleu”)—A casino situated on approximately 21 acres in South Lake Tahoe, Nevada surrounded by the Sierra Nevada Mountains featuring approximately 474 slot machines, 17 table games and 438 hotel rooms;</w:t>
      </w:r>
    </w:p>
    <w:p>
      <w:pPr>
        <w:spacing w:after="0" w:line="62" w:lineRule="exact"/>
        <w:rPr>
          <w:rFonts w:ascii="Arial" w:cs="Arial" w:eastAsia="Arial" w:hAnsi="Arial"/>
          <w:sz w:val="18"/>
          <w:szCs w:val="18"/>
          <w:color w:val="auto"/>
        </w:rPr>
      </w:pPr>
    </w:p>
    <w:p>
      <w:pPr>
        <w:ind w:left="1120" w:right="120" w:hanging="558"/>
        <w:spacing w:after="0" w:line="277"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Trop Casino Greenville (“Greenville”)—A landside gaming facility located in Greenville, Mississippi with approximately 590 slot machines, 10 table games and 40 hotel rooms;</w:t>
      </w:r>
    </w:p>
    <w:p>
      <w:pPr>
        <w:spacing w:after="0" w:line="62" w:lineRule="exact"/>
        <w:rPr>
          <w:rFonts w:ascii="Arial" w:cs="Arial" w:eastAsia="Arial" w:hAnsi="Arial"/>
          <w:sz w:val="18"/>
          <w:szCs w:val="18"/>
          <w:color w:val="auto"/>
        </w:rPr>
      </w:pPr>
    </w:p>
    <w:p>
      <w:pPr>
        <w:ind w:left="1120" w:right="60" w:hanging="558"/>
        <w:spacing w:after="0" w:line="342" w:lineRule="auto"/>
        <w:tabs>
          <w:tab w:leader="none" w:pos="11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Belle of Baton Rouge Casino &amp; Hotel (“Baton Rouge”)—A dockside riverboat situated on approximately 23 acres on the Mississippi River in the downtown historic district of Baton Rouge featuring approximately 773 slot machines, 14 table games and 288 hotel rooms; and</w:t>
      </w:r>
    </w:p>
    <w:p>
      <w:pPr>
        <w:spacing w:after="0" w:line="15" w:lineRule="exact"/>
        <w:rPr>
          <w:rFonts w:ascii="Arial" w:cs="Arial" w:eastAsia="Arial" w:hAnsi="Arial"/>
          <w:sz w:val="16"/>
          <w:szCs w:val="16"/>
          <w:color w:val="auto"/>
        </w:rPr>
      </w:pPr>
    </w:p>
    <w:p>
      <w:pPr>
        <w:ind w:left="1120" w:hanging="558"/>
        <w:spacing w:after="0"/>
        <w:tabs>
          <w:tab w:leader="none" w:pos="11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Grand Victoria Casino (“Elgin”)—A casino located in Elgin, Illinois featuring approximately 1,088 slot machines and 30 table games.</w:t>
      </w:r>
    </w:p>
    <w:p>
      <w:pPr>
        <w:spacing w:after="0" w:line="237" w:lineRule="exact"/>
        <w:rPr>
          <w:sz w:val="20"/>
          <w:szCs w:val="20"/>
          <w:color w:val="auto"/>
        </w:rPr>
      </w:pPr>
    </w:p>
    <w:p>
      <w:pPr>
        <w:ind w:right="300" w:firstLine="555"/>
        <w:spacing w:after="0" w:line="308" w:lineRule="auto"/>
        <w:rPr>
          <w:sz w:val="20"/>
          <w:szCs w:val="20"/>
          <w:color w:val="auto"/>
        </w:rPr>
      </w:pPr>
      <w:r>
        <w:rPr>
          <w:rFonts w:ascii="Arial" w:cs="Arial" w:eastAsia="Arial" w:hAnsi="Arial"/>
          <w:sz w:val="17"/>
          <w:szCs w:val="17"/>
          <w:color w:val="auto"/>
        </w:rPr>
        <w:t>In addition, Scioto Downs, through its subsidiary RacelineBet, Inc., also operates Racelinebet.com, a national account wagering service that offers online and telephone wagering on horse races as a marketing affiliate of TwinSpires.com, an affiliate of Churchill Downs Incorporated.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Acquisitions and Development Opportunities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Isle of Capri Casinos, Inc.</w:t>
      </w:r>
    </w:p>
    <w:p>
      <w:pPr>
        <w:spacing w:after="0" w:line="117" w:lineRule="exact"/>
        <w:rPr>
          <w:sz w:val="20"/>
          <w:szCs w:val="20"/>
          <w:color w:val="auto"/>
        </w:rPr>
      </w:pPr>
    </w:p>
    <w:p>
      <w:pPr>
        <w:ind w:right="40" w:firstLine="555"/>
        <w:spacing w:after="0" w:line="297" w:lineRule="auto"/>
        <w:rPr>
          <w:sz w:val="20"/>
          <w:szCs w:val="20"/>
          <w:color w:val="auto"/>
        </w:rPr>
      </w:pPr>
      <w:r>
        <w:rPr>
          <w:rFonts w:ascii="Arial" w:cs="Arial" w:eastAsia="Arial" w:hAnsi="Arial"/>
          <w:sz w:val="16"/>
          <w:szCs w:val="16"/>
          <w:color w:val="auto"/>
        </w:rPr>
        <w:t>On May 1, 2017, we completed our acquisition of Isle pursuant to the Agreement and Plan of Merger dated as of September 19, 2016 with Isle. As a result of the acquisition of Isle, Isle became a wholly-owned subsidiary of ours and, at the effective time of the acquisition of Isle, each outstanding share of Isle common stock converted into the right to receive $23.00 in cash or 1.638 shares of our common stock, at the election of the applicable Isle shareholder and subject to proration such that the outstanding shares of Isle common stock were exchanged for aggregate consideration comprised of 58% cash, or $552.0 million, and 42% of our common stock, or 28.5 million newly issued shares of our common stock. The total purchase consideration was $1.93 billion.</w:t>
      </w:r>
    </w:p>
    <w:p>
      <w:pPr>
        <w:spacing w:after="0" w:line="158"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In connection with our acquisition of Isle, we completed a debt financing transaction comprised of: (a) a senior secured credit facility in an aggregate principal amount of $1.75 billion with a (i) term loan facility of $1.45 billion and (ii) revolving credit facility of $300.0 million and (b) $375.0 million of senior unsecured notes. The proceeds of such borrowings were used to pay the cash portion of the consideration payable in the acquisition of Isle, refinance all of Isle’s existing credit facilities, redeem or otherwise repurchase all of Isle’s senior and senior subordinated notes, refinance our existing credit facility and pay transaction fees and expenses related to the foregoing.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Grand Victoria Casino</w:t>
      </w:r>
    </w:p>
    <w:p>
      <w:pPr>
        <w:spacing w:after="0" w:line="117"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color w:val="auto"/>
        </w:rPr>
        <w:t>On August 7, 2018, we completed the acquisition of the Grand Victoria Casino in Elgin, Illinois. We purchased Elgin for $328.8 million, including a working capital adjustment totaling $1.3 million. The Elgin Acquisition was financed using cash on hand and borrowings under the Company’s revolving credit facility.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 Entertainment Inc.</w:t>
      </w:r>
    </w:p>
    <w:p>
      <w:pPr>
        <w:spacing w:after="0" w:line="117" w:lineRule="exact"/>
        <w:rPr>
          <w:sz w:val="20"/>
          <w:szCs w:val="20"/>
          <w:color w:val="auto"/>
        </w:rPr>
      </w:pPr>
    </w:p>
    <w:p>
      <w:pPr>
        <w:ind w:right="120" w:firstLine="555"/>
        <w:spacing w:after="0" w:line="291" w:lineRule="auto"/>
        <w:rPr>
          <w:sz w:val="20"/>
          <w:szCs w:val="20"/>
          <w:color w:val="auto"/>
        </w:rPr>
      </w:pPr>
      <w:r>
        <w:rPr>
          <w:rFonts w:ascii="Arial" w:cs="Arial" w:eastAsia="Arial" w:hAnsi="Arial"/>
          <w:sz w:val="16"/>
          <w:szCs w:val="16"/>
          <w:color w:val="auto"/>
        </w:rPr>
        <w:t>On October 1, 2018, we acquired Tropicana in a cash transaction valued at $1.9 billion. At the closing of the transaction Tropicana became a wholly-owned subsidiary of ours. Immediately prior to our acquisition, Tropicana sold Tropicana Aruba Resort and GLP Capital, L.P., a wholly owned subsidiary of Gaming and Leisure Properties, Inc. (“GLPI”), acquired substantially all of Tropicana’s real estate, other than the real estate underlying MontBleu and Lumière, for approximately $964 million. We acquired the real estate underlying Lumière for $246 million with the proceeds of a $246 million loan from GLPI. We funded the remaining consideration payable with our cash on hand and cash on hand at Tropicana, borrowings under our revolving credit facility and proceeds from our offering of $600 million of 6.0% senior notes due 2026. In addition, our borrowing capacity on our revolving credit facility increased from $300 million to $500 million effective October 1, 2018, and the maturity of the revolving credit facility was extended to October 1, 2023.</w:t>
      </w:r>
    </w:p>
    <w:p>
      <w:pPr>
        <w:spacing w:after="0" w:line="167" w:lineRule="exact"/>
        <w:rPr>
          <w:sz w:val="20"/>
          <w:szCs w:val="20"/>
          <w:color w:val="auto"/>
        </w:rPr>
      </w:pPr>
    </w:p>
    <w:p>
      <w:pPr>
        <w:ind w:firstLine="555"/>
        <w:spacing w:after="0" w:line="254" w:lineRule="auto"/>
        <w:rPr>
          <w:sz w:val="20"/>
          <w:szCs w:val="20"/>
          <w:color w:val="auto"/>
        </w:rPr>
      </w:pPr>
      <w:r>
        <w:rPr>
          <w:rFonts w:ascii="Arial" w:cs="Arial" w:eastAsia="Arial" w:hAnsi="Arial"/>
          <w:sz w:val="18"/>
          <w:szCs w:val="18"/>
          <w:color w:val="auto"/>
        </w:rPr>
        <w:t>Substantially concurrently with the acquisition of the real estate portfolio by GLPI, we entered into a triple net master lease for the Tropicana properties acquired by GLPI with an initial term of 15 years, with renewals of up to 20 years at our option (“Master Lease”). Under the Master Lease, we are required to pay the following, among other things: lease payments to the underlying ground lessor for properties that are subject to ground leases, facility maintenance costs, all insurance premiums for insurance with respect to the leased properties and the business conducted on the leased properties, taxes levied on or with respect to the leased properties (other than taxes on the income of the lessor and all utilities and other services necessary or appropriate for the leased properties and the business conducted on the leased properties). The annual rent under the terms of the lease was initially approximately $87.6 million and is subject to annual escalation. We do not have the ability to terminate the obligations under the Master Lease prior to its expiration without GLPI’s consent.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Lumière Loan</w:t>
      </w:r>
    </w:p>
    <w:p>
      <w:pPr>
        <w:spacing w:after="0" w:line="117" w:lineRule="exact"/>
        <w:rPr>
          <w:sz w:val="20"/>
          <w:szCs w:val="20"/>
          <w:color w:val="auto"/>
        </w:rPr>
      </w:pPr>
    </w:p>
    <w:p>
      <w:pPr>
        <w:ind w:right="80" w:firstLine="555"/>
        <w:spacing w:after="0" w:line="284" w:lineRule="auto"/>
        <w:rPr>
          <w:sz w:val="20"/>
          <w:szCs w:val="20"/>
          <w:color w:val="auto"/>
        </w:rPr>
      </w:pPr>
      <w:r>
        <w:rPr>
          <w:rFonts w:ascii="Arial" w:cs="Arial" w:eastAsia="Arial" w:hAnsi="Arial"/>
          <w:sz w:val="16"/>
          <w:szCs w:val="16"/>
          <w:color w:val="auto"/>
        </w:rPr>
        <w:t>In connection with the purchase of the real estate related to Lumière, GLPI, Tropicana St. Louis RE LLC, a wholly-owned subsidiary of ours (“Tropicana St. Louis RE”), and GLPI entered into a loan agreement, dated as of October 1, 2018 (the “Lumière Loan”), relating to a loan of $246 million by GLPI to Tropicana St. Louis RE to fund the entire purchase price of the real estate underlying Lumière. The Lumière Loan is guaranteed by us, bears interest at a rate equal to (i) 9.09% until October 1, 2019 and (ii) 9.27% thereafter and matures on October 1, 2020. The Lumière Loan is secured by a first priority mortgage on the Lumière real estate until October 1, 2019. In connection with the issuance of the Lumière Loan, we agreed to use our commercially reasonable efforts to transfer one or more of Elgin, Bettendorf, Waterloo, Lula, Vicksburg and Mountaineer or such other property or properties mutually acceptable to Tropicana St. Louis RE and GLPI, provided that the aggregate value of such property, individually or collectively, is at least $246 million (the “Replacement Property”), to GLPI with a simultaneous leaseback to us of such Replacement Property. In connection with such Replacement Property sale,</w:t>
      </w:r>
    </w:p>
    <w:p>
      <w:pPr>
        <w:spacing w:after="0" w:line="1" w:lineRule="exact"/>
        <w:rPr>
          <w:sz w:val="20"/>
          <w:szCs w:val="20"/>
          <w:color w:val="auto"/>
        </w:rPr>
      </w:pPr>
    </w:p>
    <w:p>
      <w:pPr>
        <w:ind w:right="140" w:firstLine="8"/>
        <w:spacing w:after="0" w:line="261" w:lineRule="auto"/>
        <w:tabs>
          <w:tab w:leader="none" w:pos="2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and GLPI will enter into an amendment to the Master Lease to revise the economic terms to include the Replacement Property, (ii) GLPI, or one of its affiliates, will assume the Lumière Loan and Tropicana St. Louis RE’s obligations under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7" w:name="page38"/>
    <w:bookmarkEnd w:id="37"/>
    <w:p>
      <w:pPr>
        <w:ind w:right="120"/>
        <w:spacing w:after="0" w:line="272" w:lineRule="auto"/>
        <w:rPr>
          <w:sz w:val="20"/>
          <w:szCs w:val="20"/>
          <w:color w:val="auto"/>
        </w:rPr>
      </w:pPr>
      <w:r>
        <w:rPr>
          <w:rFonts w:ascii="Arial" w:cs="Arial" w:eastAsia="Arial" w:hAnsi="Arial"/>
          <w:sz w:val="17"/>
          <w:szCs w:val="17"/>
          <w:color w:val="auto"/>
        </w:rPr>
        <w:t>Lumière Loan in consideration of the acquisition of the Replacement Property and our Tropicana St. Louis RE’s obligations under the Lumière Loan will be deemed to have been satisfied, (iii) the Lumière Real Property will be released from the lien placed on it in connection with the Lumière Loan (if such lien has not yet been released in accordance with the terms of the Lumière Loan) and (iv) in the event the value of the Replacement Property is greater than the outstanding obligations of Tropicana St. Louis RE under the Lumière Loan, GLPI will pay Tropicana St. Louis RE the difference between the value of the Replacement Property and the amount of outstanding obligations under the Lumière Loan. If such Replacement Property transaction is not consummated prior to the maturity date of the Lumière Loan, other than as a result of certain failures to perform by GLPI, then the amounts outstanding will be paid in full and the rent under the Master Lease will automatically increase, subject to certain escalations.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William Hill</w:t>
      </w:r>
    </w:p>
    <w:p>
      <w:pPr>
        <w:spacing w:after="0" w:line="131" w:lineRule="exact"/>
        <w:rPr>
          <w:sz w:val="20"/>
          <w:szCs w:val="20"/>
          <w:color w:val="auto"/>
        </w:rPr>
      </w:pPr>
    </w:p>
    <w:p>
      <w:pPr>
        <w:ind w:right="60" w:firstLine="555"/>
        <w:spacing w:after="0" w:line="272" w:lineRule="auto"/>
        <w:rPr>
          <w:sz w:val="20"/>
          <w:szCs w:val="20"/>
          <w:color w:val="auto"/>
        </w:rPr>
      </w:pPr>
      <w:r>
        <w:rPr>
          <w:rFonts w:ascii="Arial" w:cs="Arial" w:eastAsia="Arial" w:hAnsi="Arial"/>
          <w:sz w:val="17"/>
          <w:szCs w:val="17"/>
          <w:color w:val="auto"/>
        </w:rPr>
        <w:t>In September 2018, we entered into a 25-year agreement, which became effective January 2019, with William Hill PLC and William Hill US, its U.S. subsidiary (together, “William Hill”) pursuant to which we (i) granted to William Hill the right to conduct betting activities in retail channels and under our first skin and third skin for online channels with respect to our current and future properties located in the United States and the territories and possessions of the United States, including Puerto Rico and the U.S. Virgin Islands and (ii) agreed that William Hill will have the right to conduct real money online gaming activities utilizing our second skin available with respect to properties in such territory</w:t>
      </w:r>
      <w:r>
        <w:rPr>
          <w:rFonts w:ascii="Arial" w:cs="Arial" w:eastAsia="Arial" w:hAnsi="Arial"/>
          <w:sz w:val="17"/>
          <w:szCs w:val="17"/>
          <w:i w:val="1"/>
          <w:iCs w:val="1"/>
          <w:color w:val="auto"/>
        </w:rPr>
        <w:t>.</w:t>
      </w:r>
      <w:r>
        <w:rPr>
          <w:rFonts w:ascii="Arial" w:cs="Arial" w:eastAsia="Arial" w:hAnsi="Arial"/>
          <w:sz w:val="17"/>
          <w:szCs w:val="17"/>
          <w:color w:val="auto"/>
        </w:rPr>
        <w:t xml:space="preserve"> Pursuant to the terms of the agreement, in January 2019 we received a 20% equity stake in William Hill US as well as 13.4 million ordinary shares of William Hill PLC, and we will receive a revenue share from the operation of retail betting and online betting and gaming activities.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Stars Group</w:t>
      </w:r>
    </w:p>
    <w:p>
      <w:pPr>
        <w:spacing w:after="0" w:line="117"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In November 2018, we entered into a 20-year agreement with The Stars Group Inc. (“TSG”) pursuant to which we agreed to provide TSG with options to obtain access to our second skin for online sports wagering and third skin for real money online gaming and poker, in each case with respect to our properties in the United States. Under the terms of the agreement, we will receive a revenue share from the operation of the applicable verticals by TSG under our licenses. Pursuant to the terms of the TSG agreement, we received 1.1 million TSG common shares and we may receive an additional $5.0 million in TSG common shares upon the exercise of the first option by TSG. We may also receive additional TSG common shares in the future based on TSG net gaming revenue generated in our markets.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Pompano Joint Venture</w:t>
      </w:r>
    </w:p>
    <w:p>
      <w:pPr>
        <w:spacing w:after="0" w:line="117"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In April 2018, we entered into a joint venture with Cordish Companies (“Cordish”) to master plan and develop a mixed-use entertainment and hospitality destination expected to be located on unused land adjacent to the casino and racetrack at our Pompano property. As the managing member, Cordish will operate the business and manage the development, construction, financing, marketing, leasing, maintenance and day-to-day operation of the various phases of the project. Additionally, we will be responsible for the development of the master plan for the project with our input and will submit it for our review and approval. We and Cordish have made initial cash contributions of $250,000 each and could be required to make additional contributions to a maximum of $2.0 million ($1.0 million per member) at the request of the managing member. We have agreed to contribute land to the joint venture for the project. While we hold a 50% variable interest in the joint venture, we are not the primary beneficiary; as such the investment in the joint venture is accounted for using the equity method. We will participate evenly with Cordish in the profits and losses of the joint venture, which is included in loss from unconsolidated affiliates on the Consolidated Statements of Income.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Dispositions</w:t>
      </w:r>
    </w:p>
    <w:p>
      <w:pPr>
        <w:spacing w:after="0" w:line="121" w:lineRule="exact"/>
        <w:rPr>
          <w:sz w:val="20"/>
          <w:szCs w:val="20"/>
          <w:color w:val="auto"/>
        </w:rPr>
      </w:pPr>
    </w:p>
    <w:p>
      <w:pPr>
        <w:ind w:right="60" w:firstLine="555"/>
        <w:spacing w:after="0" w:line="276" w:lineRule="auto"/>
        <w:rPr>
          <w:sz w:val="20"/>
          <w:szCs w:val="20"/>
          <w:color w:val="auto"/>
        </w:rPr>
      </w:pPr>
      <w:r>
        <w:rPr>
          <w:rFonts w:ascii="Arial" w:cs="Arial" w:eastAsia="Arial" w:hAnsi="Arial"/>
          <w:sz w:val="17"/>
          <w:szCs w:val="17"/>
          <w:color w:val="auto"/>
        </w:rPr>
        <w:t>On February 28, 2018, we entered into definitive agreements to sell substantially all of the assets and liabilities of Presque Isle Downs and Vicksburg to Churchill Downs Incorporated (“CDI”). Under the terms of the agreements, CDI agreed to purchase Presque Isle Downs for cash consideration of approximately $178.9 million and Vicksburg for cash consideration of approximately $50.6 million, in each case subject to a customary working capital adjustment. In conjunction with the classification of Vicksburg’s operations as assets held for sale at March 31, 2018 as a result of the announced sale to CDI, an impairment charge totaling $9.8 million was recorded due to the carrying value exceeding the estimated net sales proceeds.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8" w:name="page39"/>
    <w:bookmarkEnd w:id="38"/>
    <w:p>
      <w:pPr>
        <w:ind w:right="180" w:firstLine="555"/>
        <w:spacing w:after="0" w:line="257" w:lineRule="auto"/>
        <w:rPr>
          <w:sz w:val="20"/>
          <w:szCs w:val="20"/>
          <w:color w:val="auto"/>
        </w:rPr>
      </w:pPr>
      <w:r>
        <w:rPr>
          <w:rFonts w:ascii="Arial" w:cs="Arial" w:eastAsia="Arial" w:hAnsi="Arial"/>
          <w:sz w:val="18"/>
          <w:szCs w:val="18"/>
          <w:color w:val="auto"/>
        </w:rPr>
        <w:t>The definitive agreements provided that the dispositions were subject to receipt of required regulatory approvals, termination of the waiting period under the Hart-Scott-Rodino Act and other customary closing conditions, including, in the case of Presque Isle Downs, the prior closing of the sale of Vicksburg or the entry into an agreement to acquire another asset of ours. On May 7, 2018, we and CDI each received a Request for Additional Information and Documentary Materials, often referred to as a “Second Request,” from the Federal Trade Commission in connection with its review of the Vicksburg acquisition.</w:t>
      </w:r>
    </w:p>
    <w:p>
      <w:pPr>
        <w:spacing w:after="0" w:line="188"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color w:val="auto"/>
        </w:rPr>
        <w:t>On July 6, 2018, in consideration of the time and expense needed to reply to the Second Request, the Company and CDI entered into a termination agreement and release pursuant to which the parties agreed to terminate the asset purchase agreement with respect to Vicksburg and to enter into an asset purchase agreement pursuant to which CDI would acquire and assume the rights and obligations to operate Nemacolin (the “Vicksburg Termination Agreement”). The Vicksburg Termination Agreement also provided that CDI would pay us a $5.0 million termination fee upon execution of a definitive agreement with respect to the Nemacolin transaction. On August 10, 2018, we entered into a definitive agreement to sell substantially all of the assets and liabilities of Nemacolin to CDI. Under the terms of the agreement, CDI agreed to purchase Nemacolin for cash consideration of approximately $0.1 million, subject to a customary working capital adjustment.</w:t>
      </w:r>
    </w:p>
    <w:p>
      <w:pPr>
        <w:spacing w:after="0" w:line="189"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color w:val="auto"/>
        </w:rPr>
        <w:t>As a result of the agreement to sell Nemacolin, an impairment charge of $3.8 million for the year ended December 31, 2018 was recorded due to the carrying value of the net property and equipment being sold exceeding the estimated net sales proceeds.</w:t>
      </w:r>
    </w:p>
    <w:p>
      <w:pPr>
        <w:spacing w:after="0" w:line="170"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We closed on the sale of Presque Isle Downs on January 11, 2019. We expect to close on the sale of Nemacolin in the first quarter of 2019, subject to satisfaction of closing conditions, including receipt of Pennsylvania regulatory approvals.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21" w:lineRule="exact"/>
        <w:rPr>
          <w:sz w:val="20"/>
          <w:szCs w:val="20"/>
          <w:color w:val="auto"/>
        </w:rPr>
      </w:pPr>
    </w:p>
    <w:p>
      <w:pPr>
        <w:ind w:right="180" w:firstLine="555"/>
        <w:spacing w:after="0" w:line="255" w:lineRule="auto"/>
        <w:rPr>
          <w:sz w:val="20"/>
          <w:szCs w:val="20"/>
          <w:color w:val="auto"/>
        </w:rPr>
      </w:pPr>
      <w:r>
        <w:rPr>
          <w:rFonts w:ascii="Arial" w:cs="Arial" w:eastAsia="Arial" w:hAnsi="Arial"/>
          <w:sz w:val="18"/>
          <w:szCs w:val="18"/>
          <w:color w:val="auto"/>
        </w:rPr>
        <w:t>The executive decision maker of our company reviews operating results, assesses performance and makes decisions on a “significant market” basis. Our management views each of its properties as an operating segment. Operating segments are aggregated based on their similar economic characteristics, types of customers, types of services and products provided, the regulatory environments in which they operate, and their management and reporting structure. Prior to our acquisition of Isle, our principal operating activities occurred in three geographic regions: Nevada, Louisiana and parts of the eastern United States. Following the Isle Acquisition, the Company’s principal operating activities occurred in four geographic regions and reportable segments: West, Midwest, South and East. Following the Tropicana Acquisition and Elgin Acquisition, an additional segment, Central, was added increasing our reportable segments to five.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21" w:lineRule="exact"/>
        <w:rPr>
          <w:sz w:val="20"/>
          <w:szCs w:val="20"/>
          <w:color w:val="auto"/>
        </w:rPr>
      </w:pPr>
    </w:p>
    <w:p>
      <w:pPr>
        <w:ind w:right="240" w:firstLine="555"/>
        <w:spacing w:after="0" w:line="259" w:lineRule="auto"/>
        <w:rPr>
          <w:sz w:val="20"/>
          <w:szCs w:val="20"/>
          <w:color w:val="auto"/>
        </w:rPr>
      </w:pPr>
      <w:r>
        <w:rPr>
          <w:rFonts w:ascii="Arial" w:cs="Arial" w:eastAsia="Arial" w:hAnsi="Arial"/>
          <w:sz w:val="18"/>
          <w:szCs w:val="18"/>
          <w:color w:val="auto"/>
        </w:rPr>
        <w:t>The financial information included in this Item 7 for periods prior to our acquisitions of Isle, Elgin, and Tropicana are those of ERI and its subsidiaries. The presentation of information herein for periods prior to our acquisitions of Isle, Elgin and Tropicana and after our acquisition of Isle, Elgin and Tropicana are not fully comparable because the results of operations for Isle, Elgin and Tropicana are not included for periods prior to their respective acquisition dates.</w:t>
      </w:r>
    </w:p>
    <w:p>
      <w:pPr>
        <w:spacing w:after="0" w:line="187" w:lineRule="exact"/>
        <w:rPr>
          <w:sz w:val="20"/>
          <w:szCs w:val="20"/>
          <w:color w:val="auto"/>
        </w:rPr>
      </w:pPr>
    </w:p>
    <w:p>
      <w:pPr>
        <w:ind w:right="80" w:firstLine="555"/>
        <w:spacing w:after="0" w:line="264" w:lineRule="auto"/>
        <w:rPr>
          <w:sz w:val="20"/>
          <w:szCs w:val="20"/>
          <w:color w:val="auto"/>
        </w:rPr>
      </w:pPr>
      <w:r>
        <w:rPr>
          <w:rFonts w:ascii="Arial" w:cs="Arial" w:eastAsia="Arial" w:hAnsi="Arial"/>
          <w:sz w:val="18"/>
          <w:szCs w:val="18"/>
          <w:color w:val="auto"/>
        </w:rPr>
        <w:t>Summary financial results of Isle for the three and nine months ended January 22, 2017 are included in Isle’s Quarterly Report on Form 10-Q as filed with the Securities and Exchange Commission (‘‘SEC’’). In conjunction with our acquisition of Isle, Isle is no longer required to file quarterly and annual reports with the SEC and terminated its registration on May 11, 2017.</w:t>
      </w:r>
    </w:p>
    <w:p>
      <w:pPr>
        <w:spacing w:after="0" w:line="181" w:lineRule="exact"/>
        <w:rPr>
          <w:sz w:val="20"/>
          <w:szCs w:val="20"/>
          <w:color w:val="auto"/>
        </w:rPr>
      </w:pPr>
    </w:p>
    <w:p>
      <w:pPr>
        <w:jc w:val="both"/>
        <w:ind w:right="60" w:firstLine="555"/>
        <w:spacing w:after="0" w:line="264" w:lineRule="auto"/>
        <w:rPr>
          <w:sz w:val="20"/>
          <w:szCs w:val="20"/>
          <w:color w:val="auto"/>
        </w:rPr>
      </w:pPr>
      <w:r>
        <w:rPr>
          <w:rFonts w:ascii="Arial" w:cs="Arial" w:eastAsia="Arial" w:hAnsi="Arial"/>
          <w:sz w:val="18"/>
          <w:szCs w:val="18"/>
          <w:color w:val="auto"/>
        </w:rPr>
        <w:t>Summary financial results of Tropicana for the three and six months ended June 30, 2018 are included in Tropicana’s Quarterly Report on Form 10-Q as filed with the SEC. In conjunction with our acquisition of Tropicana, Tropicana is no longer required to file quarterly and annual reports with the SEC and terminated its registration on October 1, 2018.</w:t>
      </w:r>
    </w:p>
    <w:p>
      <w:pPr>
        <w:spacing w:after="0" w:line="181"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information to assist in better understanding and evaluating our financial condition and results of operations. Our historical operating results may not be indicative of our future results of operations because of these factors and the changing competitive landscape in each of our markets, as well as by factors discussed elsewhere herein. We recommend that you read this MD&amp;A in conjunction with our audited consolidated financial statements and the notes to those statements included in this Annual Report on Form 10-K.</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9" w:name="page40"/>
    <w:bookmarkEnd w:id="39"/>
    <w:p>
      <w:pPr>
        <w:ind w:left="560"/>
        <w:spacing w:after="0"/>
        <w:rPr>
          <w:sz w:val="20"/>
          <w:szCs w:val="20"/>
          <w:color w:val="auto"/>
        </w:rPr>
      </w:pPr>
      <w:r>
        <w:rPr>
          <w:rFonts w:ascii="Arial" w:cs="Arial" w:eastAsia="Arial" w:hAnsi="Arial"/>
          <w:sz w:val="18"/>
          <w:szCs w:val="18"/>
          <w:color w:val="auto"/>
        </w:rPr>
        <w:t>The following table summarizes our segments as of December 31, 2018 and reporting periods based on acquisition dates: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gridSpan w:val="2"/>
          </w:tcPr>
          <w:p>
            <w:pPr>
              <w:ind w:left="1080"/>
              <w:spacing w:after="0"/>
              <w:rPr>
                <w:sz w:val="20"/>
                <w:szCs w:val="20"/>
                <w:color w:val="auto"/>
              </w:rPr>
            </w:pPr>
            <w:r>
              <w:rPr>
                <w:rFonts w:ascii="Arial" w:cs="Arial" w:eastAsia="Arial" w:hAnsi="Arial"/>
                <w:sz w:val="14"/>
                <w:szCs w:val="14"/>
                <w:b w:val="1"/>
                <w:bCs w:val="1"/>
                <w:color w:val="auto"/>
              </w:rPr>
              <w:t>Segment</w:t>
            </w:r>
          </w:p>
        </w:tc>
        <w:tc>
          <w:tcPr>
            <w:tcW w:w="3040" w:type="dxa"/>
            <w:vAlign w:val="bottom"/>
            <w:gridSpan w:val="2"/>
          </w:tcPr>
          <w:p>
            <w:pPr>
              <w:ind w:left="1080"/>
              <w:spacing w:after="0"/>
              <w:rPr>
                <w:sz w:val="20"/>
                <w:szCs w:val="20"/>
                <w:color w:val="auto"/>
              </w:rPr>
            </w:pPr>
            <w:r>
              <w:rPr>
                <w:rFonts w:ascii="Arial" w:cs="Arial" w:eastAsia="Arial" w:hAnsi="Arial"/>
                <w:sz w:val="14"/>
                <w:szCs w:val="14"/>
                <w:b w:val="1"/>
                <w:bCs w:val="1"/>
                <w:color w:val="auto"/>
              </w:rPr>
              <w:t>Property</w:t>
            </w:r>
          </w:p>
        </w:tc>
        <w:tc>
          <w:tcPr>
            <w:tcW w:w="2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Date Acquired</w:t>
            </w:r>
          </w:p>
        </w:tc>
        <w:tc>
          <w:tcPr>
            <w:tcW w:w="2420" w:type="dxa"/>
            <w:vAlign w:val="bottom"/>
          </w:tcPr>
          <w:p>
            <w:pPr>
              <w:ind w:left="1040"/>
              <w:spacing w:after="0"/>
              <w:rPr>
                <w:sz w:val="20"/>
                <w:szCs w:val="20"/>
                <w:color w:val="auto"/>
              </w:rPr>
            </w:pPr>
            <w:r>
              <w:rPr>
                <w:rFonts w:ascii="Arial" w:cs="Arial" w:eastAsia="Arial" w:hAnsi="Arial"/>
                <w:sz w:val="14"/>
                <w:szCs w:val="14"/>
                <w:b w:val="1"/>
                <w:bCs w:val="1"/>
                <w:color w:val="auto"/>
              </w:rPr>
              <w:t>State</w:t>
            </w:r>
          </w:p>
        </w:tc>
      </w:tr>
      <w:tr>
        <w:trPr>
          <w:trHeight w:val="223"/>
        </w:trPr>
        <w:tc>
          <w:tcPr>
            <w:tcW w:w="268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320" w:type="dxa"/>
            <w:vAlign w:val="bottom"/>
            <w:tcBorders>
              <w:top w:val="single" w:sz="8" w:color="CFF0FC"/>
            </w:tcBorders>
            <w:shd w:val="clear" w:color="auto" w:fill="CFF0FC"/>
          </w:tcPr>
          <w:p>
            <w:pPr>
              <w:spacing w:after="0"/>
              <w:rPr>
                <w:sz w:val="19"/>
                <w:szCs w:val="19"/>
                <w:color w:val="auto"/>
              </w:rPr>
            </w:pPr>
          </w:p>
        </w:tc>
        <w:tc>
          <w:tcPr>
            <w:tcW w:w="272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Eldorado Reno</w:t>
            </w:r>
          </w:p>
        </w:tc>
        <w:tc>
          <w:tcPr>
            <w:tcW w:w="320" w:type="dxa"/>
            <w:vAlign w:val="bottom"/>
            <w:tcBorders>
              <w:top w:val="single" w:sz="8" w:color="CFF0FC"/>
            </w:tcBorders>
            <w:shd w:val="clear" w:color="auto" w:fill="CFF0FC"/>
          </w:tcPr>
          <w:p>
            <w:pPr>
              <w:spacing w:after="0"/>
              <w:rPr>
                <w:sz w:val="19"/>
                <w:szCs w:val="19"/>
                <w:color w:val="auto"/>
              </w:rPr>
            </w:pPr>
          </w:p>
        </w:tc>
        <w:tc>
          <w:tcPr>
            <w:tcW w:w="26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(a)</w:t>
            </w:r>
          </w:p>
        </w:tc>
        <w:tc>
          <w:tcPr>
            <w:tcW w:w="300" w:type="dxa"/>
            <w:vAlign w:val="bottom"/>
            <w:tcBorders>
              <w:top w:val="single" w:sz="8" w:color="CFF0FC"/>
            </w:tcBorders>
            <w:shd w:val="clear" w:color="auto" w:fill="CFF0FC"/>
          </w:tcPr>
          <w:p>
            <w:pPr>
              <w:spacing w:after="0"/>
              <w:rPr>
                <w:sz w:val="19"/>
                <w:szCs w:val="19"/>
                <w:color w:val="auto"/>
              </w:rPr>
            </w:pPr>
          </w:p>
        </w:tc>
        <w:tc>
          <w:tcPr>
            <w:tcW w:w="242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Nevada</w:t>
            </w:r>
          </w:p>
        </w:tc>
      </w:tr>
      <w:tr>
        <w:trPr>
          <w:trHeight w:val="230"/>
        </w:trPr>
        <w:tc>
          <w:tcPr>
            <w:tcW w:w="2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40" w:type="dxa"/>
            <w:vAlign w:val="bottom"/>
            <w:gridSpan w:val="2"/>
          </w:tcPr>
          <w:p>
            <w:pPr>
              <w:ind w:left="240"/>
              <w:spacing w:after="0"/>
              <w:rPr>
                <w:sz w:val="20"/>
                <w:szCs w:val="20"/>
                <w:color w:val="auto"/>
              </w:rPr>
            </w:pPr>
            <w:r>
              <w:rPr>
                <w:rFonts w:ascii="Arial" w:cs="Arial" w:eastAsia="Arial" w:hAnsi="Arial"/>
                <w:sz w:val="18"/>
                <w:szCs w:val="18"/>
                <w:color w:val="auto"/>
              </w:rPr>
              <w:t>Silver Legacy</w:t>
            </w:r>
          </w:p>
        </w:tc>
        <w:tc>
          <w:tcPr>
            <w:tcW w:w="29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(a)</w:t>
            </w:r>
          </w:p>
        </w:tc>
        <w:tc>
          <w:tcPr>
            <w:tcW w:w="2420" w:type="dxa"/>
            <w:vAlign w:val="bottom"/>
          </w:tcPr>
          <w:p>
            <w:pPr>
              <w:ind w:left="240"/>
              <w:spacing w:after="0"/>
              <w:rPr>
                <w:sz w:val="20"/>
                <w:szCs w:val="20"/>
                <w:color w:val="auto"/>
              </w:rPr>
            </w:pPr>
            <w:r>
              <w:rPr>
                <w:rFonts w:ascii="Arial" w:cs="Arial" w:eastAsia="Arial" w:hAnsi="Arial"/>
                <w:sz w:val="18"/>
                <w:szCs w:val="18"/>
                <w:color w:val="auto"/>
              </w:rPr>
              <w:t>Nevada</w:t>
            </w:r>
          </w:p>
        </w:tc>
      </w:tr>
      <w:tr>
        <w:trPr>
          <w:trHeight w:val="230"/>
        </w:trPr>
        <w:tc>
          <w:tcPr>
            <w:tcW w:w="2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Circus Reno</w:t>
            </w:r>
          </w:p>
        </w:tc>
        <w:tc>
          <w:tcPr>
            <w:tcW w:w="296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0"/>
              </w:rPr>
              <w:t>(a)</w:t>
            </w:r>
          </w:p>
        </w:tc>
        <w:tc>
          <w:tcPr>
            <w:tcW w:w="2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Nevada</w:t>
            </w:r>
          </w:p>
        </w:tc>
      </w:tr>
      <w:tr>
        <w:trPr>
          <w:trHeight w:val="230"/>
        </w:trPr>
        <w:tc>
          <w:tcPr>
            <w:tcW w:w="2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40" w:type="dxa"/>
            <w:vAlign w:val="bottom"/>
            <w:gridSpan w:val="2"/>
          </w:tcPr>
          <w:p>
            <w:pPr>
              <w:ind w:left="240"/>
              <w:spacing w:after="0"/>
              <w:rPr>
                <w:sz w:val="20"/>
                <w:szCs w:val="20"/>
                <w:color w:val="auto"/>
              </w:rPr>
            </w:pPr>
            <w:r>
              <w:rPr>
                <w:rFonts w:ascii="Arial" w:cs="Arial" w:eastAsia="Arial" w:hAnsi="Arial"/>
                <w:sz w:val="18"/>
                <w:szCs w:val="18"/>
                <w:color w:val="auto"/>
              </w:rPr>
              <w:t>MontBleu</w:t>
            </w:r>
          </w:p>
        </w:tc>
        <w:tc>
          <w:tcPr>
            <w:tcW w:w="29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October 1, 2018</w:t>
            </w:r>
          </w:p>
        </w:tc>
        <w:tc>
          <w:tcPr>
            <w:tcW w:w="2420" w:type="dxa"/>
            <w:vAlign w:val="bottom"/>
          </w:tcPr>
          <w:p>
            <w:pPr>
              <w:ind w:left="240"/>
              <w:spacing w:after="0"/>
              <w:rPr>
                <w:sz w:val="20"/>
                <w:szCs w:val="20"/>
                <w:color w:val="auto"/>
              </w:rPr>
            </w:pPr>
            <w:r>
              <w:rPr>
                <w:rFonts w:ascii="Arial" w:cs="Arial" w:eastAsia="Arial" w:hAnsi="Arial"/>
                <w:sz w:val="18"/>
                <w:szCs w:val="18"/>
                <w:color w:val="auto"/>
              </w:rPr>
              <w:t>Nevada</w:t>
            </w:r>
          </w:p>
        </w:tc>
      </w:tr>
      <w:tr>
        <w:trPr>
          <w:trHeight w:val="230"/>
        </w:trPr>
        <w:tc>
          <w:tcPr>
            <w:tcW w:w="2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Laughlin</w:t>
            </w:r>
          </w:p>
        </w:tc>
        <w:tc>
          <w:tcPr>
            <w:tcW w:w="296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89"/>
              </w:rPr>
              <w:t>October 1, 2018</w:t>
            </w:r>
          </w:p>
        </w:tc>
        <w:tc>
          <w:tcPr>
            <w:tcW w:w="2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Nevada</w:t>
            </w:r>
          </w:p>
        </w:tc>
      </w:tr>
      <w:tr>
        <w:trPr>
          <w:trHeight w:val="230"/>
        </w:trPr>
        <w:tc>
          <w:tcPr>
            <w:tcW w:w="2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40" w:type="dxa"/>
            <w:vAlign w:val="bottom"/>
            <w:gridSpan w:val="2"/>
          </w:tcPr>
          <w:p>
            <w:pPr>
              <w:ind w:left="240"/>
              <w:spacing w:after="0"/>
              <w:rPr>
                <w:sz w:val="20"/>
                <w:szCs w:val="20"/>
                <w:color w:val="auto"/>
              </w:rPr>
            </w:pPr>
            <w:r>
              <w:rPr>
                <w:rFonts w:ascii="Arial" w:cs="Arial" w:eastAsia="Arial" w:hAnsi="Arial"/>
                <w:sz w:val="18"/>
                <w:szCs w:val="18"/>
                <w:color w:val="auto"/>
              </w:rPr>
              <w:t>Isle Black Hawk</w:t>
            </w:r>
          </w:p>
        </w:tc>
        <w:tc>
          <w:tcPr>
            <w:tcW w:w="29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May 1, 2017</w:t>
            </w:r>
          </w:p>
        </w:tc>
        <w:tc>
          <w:tcPr>
            <w:tcW w:w="2420" w:type="dxa"/>
            <w:vAlign w:val="bottom"/>
          </w:tcPr>
          <w:p>
            <w:pPr>
              <w:ind w:left="240"/>
              <w:spacing w:after="0"/>
              <w:rPr>
                <w:sz w:val="20"/>
                <w:szCs w:val="20"/>
                <w:color w:val="auto"/>
              </w:rPr>
            </w:pPr>
            <w:r>
              <w:rPr>
                <w:rFonts w:ascii="Arial" w:cs="Arial" w:eastAsia="Arial" w:hAnsi="Arial"/>
                <w:sz w:val="18"/>
                <w:szCs w:val="18"/>
                <w:color w:val="auto"/>
              </w:rPr>
              <w:t>Colorado</w:t>
            </w:r>
          </w:p>
        </w:tc>
      </w:tr>
      <w:tr>
        <w:trPr>
          <w:trHeight w:val="230"/>
        </w:trPr>
        <w:tc>
          <w:tcPr>
            <w:tcW w:w="2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Lady Luck Black Hawk</w:t>
            </w:r>
          </w:p>
        </w:tc>
        <w:tc>
          <w:tcPr>
            <w:tcW w:w="296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2"/>
              </w:rPr>
              <w:t>May 1, 2017</w:t>
            </w:r>
          </w:p>
        </w:tc>
        <w:tc>
          <w:tcPr>
            <w:tcW w:w="2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Colorado</w:t>
            </w:r>
          </w:p>
        </w:tc>
      </w:tr>
      <w:tr>
        <w:trPr>
          <w:trHeight w:val="230"/>
        </w:trPr>
        <w:tc>
          <w:tcPr>
            <w:tcW w:w="2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30"/>
        </w:trPr>
        <w:tc>
          <w:tcPr>
            <w:tcW w:w="30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30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Waterloo</w:t>
            </w:r>
          </w:p>
        </w:tc>
        <w:tc>
          <w:tcPr>
            <w:tcW w:w="296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2"/>
              </w:rPr>
              <w:t>May 1, 2017</w:t>
            </w:r>
          </w:p>
        </w:tc>
        <w:tc>
          <w:tcPr>
            <w:tcW w:w="2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Iowa</w:t>
            </w:r>
          </w:p>
        </w:tc>
      </w:tr>
      <w:tr>
        <w:trPr>
          <w:trHeight w:val="230"/>
        </w:trPr>
        <w:tc>
          <w:tcPr>
            <w:tcW w:w="2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40" w:type="dxa"/>
            <w:vAlign w:val="bottom"/>
            <w:gridSpan w:val="2"/>
          </w:tcPr>
          <w:p>
            <w:pPr>
              <w:ind w:left="240"/>
              <w:spacing w:after="0"/>
              <w:rPr>
                <w:sz w:val="20"/>
                <w:szCs w:val="20"/>
                <w:color w:val="auto"/>
              </w:rPr>
            </w:pPr>
            <w:r>
              <w:rPr>
                <w:rFonts w:ascii="Arial" w:cs="Arial" w:eastAsia="Arial" w:hAnsi="Arial"/>
                <w:sz w:val="18"/>
                <w:szCs w:val="18"/>
                <w:color w:val="auto"/>
              </w:rPr>
              <w:t>Bettendorf</w:t>
            </w:r>
          </w:p>
        </w:tc>
        <w:tc>
          <w:tcPr>
            <w:tcW w:w="29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May 1, 2017</w:t>
            </w:r>
          </w:p>
        </w:tc>
        <w:tc>
          <w:tcPr>
            <w:tcW w:w="2420" w:type="dxa"/>
            <w:vAlign w:val="bottom"/>
          </w:tcPr>
          <w:p>
            <w:pPr>
              <w:ind w:left="240"/>
              <w:spacing w:after="0"/>
              <w:rPr>
                <w:sz w:val="20"/>
                <w:szCs w:val="20"/>
                <w:color w:val="auto"/>
              </w:rPr>
            </w:pPr>
            <w:r>
              <w:rPr>
                <w:rFonts w:ascii="Arial" w:cs="Arial" w:eastAsia="Arial" w:hAnsi="Arial"/>
                <w:sz w:val="18"/>
                <w:szCs w:val="18"/>
                <w:color w:val="auto"/>
              </w:rPr>
              <w:t>Iowa</w:t>
            </w:r>
          </w:p>
        </w:tc>
      </w:tr>
      <w:tr>
        <w:trPr>
          <w:trHeight w:val="230"/>
        </w:trPr>
        <w:tc>
          <w:tcPr>
            <w:tcW w:w="2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Boonville</w:t>
            </w:r>
          </w:p>
        </w:tc>
        <w:tc>
          <w:tcPr>
            <w:tcW w:w="296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2"/>
              </w:rPr>
              <w:t>May 1, 2017</w:t>
            </w:r>
          </w:p>
        </w:tc>
        <w:tc>
          <w:tcPr>
            <w:tcW w:w="2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Missouri</w:t>
            </w:r>
          </w:p>
        </w:tc>
      </w:tr>
      <w:tr>
        <w:trPr>
          <w:trHeight w:val="230"/>
        </w:trPr>
        <w:tc>
          <w:tcPr>
            <w:tcW w:w="2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40" w:type="dxa"/>
            <w:vAlign w:val="bottom"/>
            <w:gridSpan w:val="2"/>
          </w:tcPr>
          <w:p>
            <w:pPr>
              <w:ind w:left="240"/>
              <w:spacing w:after="0"/>
              <w:rPr>
                <w:sz w:val="20"/>
                <w:szCs w:val="20"/>
                <w:color w:val="auto"/>
              </w:rPr>
            </w:pPr>
            <w:r>
              <w:rPr>
                <w:rFonts w:ascii="Arial" w:cs="Arial" w:eastAsia="Arial" w:hAnsi="Arial"/>
                <w:sz w:val="18"/>
                <w:szCs w:val="18"/>
                <w:color w:val="auto"/>
              </w:rPr>
              <w:t>Cape Girardeau</w:t>
            </w:r>
          </w:p>
        </w:tc>
        <w:tc>
          <w:tcPr>
            <w:tcW w:w="29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May 1, 2017</w:t>
            </w:r>
          </w:p>
        </w:tc>
        <w:tc>
          <w:tcPr>
            <w:tcW w:w="2420" w:type="dxa"/>
            <w:vAlign w:val="bottom"/>
          </w:tcPr>
          <w:p>
            <w:pPr>
              <w:ind w:left="240"/>
              <w:spacing w:after="0"/>
              <w:rPr>
                <w:sz w:val="20"/>
                <w:szCs w:val="20"/>
                <w:color w:val="auto"/>
              </w:rPr>
            </w:pPr>
            <w:r>
              <w:rPr>
                <w:rFonts w:ascii="Arial" w:cs="Arial" w:eastAsia="Arial" w:hAnsi="Arial"/>
                <w:sz w:val="18"/>
                <w:szCs w:val="18"/>
                <w:color w:val="auto"/>
              </w:rPr>
              <w:t>Missouri</w:t>
            </w:r>
          </w:p>
        </w:tc>
      </w:tr>
      <w:tr>
        <w:trPr>
          <w:trHeight w:val="230"/>
        </w:trPr>
        <w:tc>
          <w:tcPr>
            <w:tcW w:w="2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Caruthersville</w:t>
            </w:r>
          </w:p>
        </w:tc>
        <w:tc>
          <w:tcPr>
            <w:tcW w:w="296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2"/>
              </w:rPr>
              <w:t>May 1, 2017</w:t>
            </w:r>
          </w:p>
        </w:tc>
        <w:tc>
          <w:tcPr>
            <w:tcW w:w="2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Missouri</w:t>
            </w:r>
          </w:p>
        </w:tc>
      </w:tr>
      <w:tr>
        <w:trPr>
          <w:trHeight w:val="230"/>
        </w:trPr>
        <w:tc>
          <w:tcPr>
            <w:tcW w:w="2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40" w:type="dxa"/>
            <w:vAlign w:val="bottom"/>
            <w:gridSpan w:val="2"/>
          </w:tcPr>
          <w:p>
            <w:pPr>
              <w:ind w:left="240"/>
              <w:spacing w:after="0"/>
              <w:rPr>
                <w:sz w:val="20"/>
                <w:szCs w:val="20"/>
                <w:color w:val="auto"/>
              </w:rPr>
            </w:pPr>
            <w:r>
              <w:rPr>
                <w:rFonts w:ascii="Arial" w:cs="Arial" w:eastAsia="Arial" w:hAnsi="Arial"/>
                <w:sz w:val="18"/>
                <w:szCs w:val="18"/>
                <w:color w:val="auto"/>
              </w:rPr>
              <w:t>Kansas City</w:t>
            </w:r>
          </w:p>
        </w:tc>
        <w:tc>
          <w:tcPr>
            <w:tcW w:w="29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May 1, 2017</w:t>
            </w:r>
          </w:p>
        </w:tc>
        <w:tc>
          <w:tcPr>
            <w:tcW w:w="2420" w:type="dxa"/>
            <w:vAlign w:val="bottom"/>
          </w:tcPr>
          <w:p>
            <w:pPr>
              <w:ind w:left="240"/>
              <w:spacing w:after="0"/>
              <w:rPr>
                <w:sz w:val="20"/>
                <w:szCs w:val="20"/>
                <w:color w:val="auto"/>
              </w:rPr>
            </w:pPr>
            <w:r>
              <w:rPr>
                <w:rFonts w:ascii="Arial" w:cs="Arial" w:eastAsia="Arial" w:hAnsi="Arial"/>
                <w:sz w:val="18"/>
                <w:szCs w:val="18"/>
                <w:color w:val="auto"/>
              </w:rPr>
              <w:t>Missouri</w:t>
            </w:r>
          </w:p>
        </w:tc>
      </w:tr>
      <w:tr>
        <w:trPr>
          <w:trHeight w:val="230"/>
        </w:trPr>
        <w:tc>
          <w:tcPr>
            <w:tcW w:w="2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20" w:type="dxa"/>
            <w:vAlign w:val="bottom"/>
            <w:shd w:val="clear" w:color="auto" w:fill="CFF0FC"/>
          </w:tcPr>
          <w:p>
            <w:pPr>
              <w:spacing w:after="0"/>
              <w:rPr>
                <w:sz w:val="19"/>
                <w:szCs w:val="19"/>
                <w:color w:val="auto"/>
              </w:rPr>
            </w:pPr>
          </w:p>
        </w:tc>
      </w:tr>
      <w:tr>
        <w:trPr>
          <w:trHeight w:val="230"/>
        </w:trPr>
        <w:tc>
          <w:tcPr>
            <w:tcW w:w="3000" w:type="dxa"/>
            <w:vAlign w:val="bottom"/>
            <w:gridSpan w:val="2"/>
          </w:tcPr>
          <w:p>
            <w:pPr>
              <w:ind w:left="260"/>
              <w:spacing w:after="0"/>
              <w:rPr>
                <w:sz w:val="20"/>
                <w:szCs w:val="20"/>
                <w:color w:val="auto"/>
              </w:rPr>
            </w:pPr>
            <w:r>
              <w:rPr>
                <w:rFonts w:ascii="Arial" w:cs="Arial" w:eastAsia="Arial" w:hAnsi="Arial"/>
                <w:sz w:val="18"/>
                <w:szCs w:val="18"/>
                <w:color w:val="auto"/>
              </w:rPr>
              <w:t>South</w:t>
            </w:r>
          </w:p>
        </w:tc>
        <w:tc>
          <w:tcPr>
            <w:tcW w:w="3040" w:type="dxa"/>
            <w:vAlign w:val="bottom"/>
            <w:gridSpan w:val="2"/>
          </w:tcPr>
          <w:p>
            <w:pPr>
              <w:ind w:left="240"/>
              <w:spacing w:after="0"/>
              <w:rPr>
                <w:sz w:val="20"/>
                <w:szCs w:val="20"/>
                <w:color w:val="auto"/>
              </w:rPr>
            </w:pPr>
            <w:r>
              <w:rPr>
                <w:rFonts w:ascii="Arial" w:cs="Arial" w:eastAsia="Arial" w:hAnsi="Arial"/>
                <w:sz w:val="18"/>
                <w:szCs w:val="18"/>
                <w:color w:val="auto"/>
              </w:rPr>
              <w:t>Pompano</w:t>
            </w:r>
          </w:p>
        </w:tc>
        <w:tc>
          <w:tcPr>
            <w:tcW w:w="29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May 1, 2017</w:t>
            </w:r>
          </w:p>
        </w:tc>
        <w:tc>
          <w:tcPr>
            <w:tcW w:w="2420" w:type="dxa"/>
            <w:vAlign w:val="bottom"/>
          </w:tcPr>
          <w:p>
            <w:pPr>
              <w:ind w:left="240"/>
              <w:spacing w:after="0"/>
              <w:rPr>
                <w:sz w:val="20"/>
                <w:szCs w:val="20"/>
                <w:color w:val="auto"/>
              </w:rPr>
            </w:pPr>
            <w:r>
              <w:rPr>
                <w:rFonts w:ascii="Arial" w:cs="Arial" w:eastAsia="Arial" w:hAnsi="Arial"/>
                <w:sz w:val="18"/>
                <w:szCs w:val="18"/>
                <w:color w:val="auto"/>
              </w:rPr>
              <w:t>Florida</w:t>
            </w:r>
          </w:p>
        </w:tc>
      </w:tr>
      <w:tr>
        <w:trPr>
          <w:trHeight w:val="230"/>
        </w:trPr>
        <w:tc>
          <w:tcPr>
            <w:tcW w:w="2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Eldorado Shreveport</w:t>
            </w:r>
          </w:p>
        </w:tc>
        <w:tc>
          <w:tcPr>
            <w:tcW w:w="296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0"/>
              </w:rPr>
              <w:t>(a)</w:t>
            </w:r>
          </w:p>
        </w:tc>
        <w:tc>
          <w:tcPr>
            <w:tcW w:w="2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Louisiana</w:t>
            </w:r>
          </w:p>
        </w:tc>
      </w:tr>
      <w:tr>
        <w:trPr>
          <w:trHeight w:val="230"/>
        </w:trPr>
        <w:tc>
          <w:tcPr>
            <w:tcW w:w="2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40" w:type="dxa"/>
            <w:vAlign w:val="bottom"/>
            <w:gridSpan w:val="2"/>
          </w:tcPr>
          <w:p>
            <w:pPr>
              <w:ind w:left="240"/>
              <w:spacing w:after="0"/>
              <w:rPr>
                <w:sz w:val="20"/>
                <w:szCs w:val="20"/>
                <w:color w:val="auto"/>
              </w:rPr>
            </w:pPr>
            <w:r>
              <w:rPr>
                <w:rFonts w:ascii="Arial" w:cs="Arial" w:eastAsia="Arial" w:hAnsi="Arial"/>
                <w:sz w:val="18"/>
                <w:szCs w:val="18"/>
                <w:color w:val="auto"/>
              </w:rPr>
              <w:t>Lake Charles</w:t>
            </w:r>
          </w:p>
        </w:tc>
        <w:tc>
          <w:tcPr>
            <w:tcW w:w="29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May 1, 2017</w:t>
            </w:r>
          </w:p>
        </w:tc>
        <w:tc>
          <w:tcPr>
            <w:tcW w:w="2420" w:type="dxa"/>
            <w:vAlign w:val="bottom"/>
          </w:tcPr>
          <w:p>
            <w:pPr>
              <w:ind w:left="240"/>
              <w:spacing w:after="0"/>
              <w:rPr>
                <w:sz w:val="20"/>
                <w:szCs w:val="20"/>
                <w:color w:val="auto"/>
              </w:rPr>
            </w:pPr>
            <w:r>
              <w:rPr>
                <w:rFonts w:ascii="Arial" w:cs="Arial" w:eastAsia="Arial" w:hAnsi="Arial"/>
                <w:sz w:val="18"/>
                <w:szCs w:val="18"/>
                <w:color w:val="auto"/>
              </w:rPr>
              <w:t>Louisiana</w:t>
            </w:r>
          </w:p>
        </w:tc>
      </w:tr>
      <w:tr>
        <w:trPr>
          <w:trHeight w:val="230"/>
        </w:trPr>
        <w:tc>
          <w:tcPr>
            <w:tcW w:w="2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Baton Rouge</w:t>
            </w:r>
          </w:p>
        </w:tc>
        <w:tc>
          <w:tcPr>
            <w:tcW w:w="296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89"/>
              </w:rPr>
              <w:t>October 1, 2018</w:t>
            </w:r>
          </w:p>
        </w:tc>
        <w:tc>
          <w:tcPr>
            <w:tcW w:w="2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Louisiana</w:t>
            </w:r>
          </w:p>
        </w:tc>
      </w:tr>
      <w:tr>
        <w:trPr>
          <w:trHeight w:val="230"/>
        </w:trPr>
        <w:tc>
          <w:tcPr>
            <w:tcW w:w="2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40" w:type="dxa"/>
            <w:vAlign w:val="bottom"/>
            <w:gridSpan w:val="2"/>
          </w:tcPr>
          <w:p>
            <w:pPr>
              <w:ind w:left="240"/>
              <w:spacing w:after="0"/>
              <w:rPr>
                <w:sz w:val="20"/>
                <w:szCs w:val="20"/>
                <w:color w:val="auto"/>
              </w:rPr>
            </w:pPr>
            <w:r>
              <w:rPr>
                <w:rFonts w:ascii="Arial" w:cs="Arial" w:eastAsia="Arial" w:hAnsi="Arial"/>
                <w:sz w:val="18"/>
                <w:szCs w:val="18"/>
                <w:color w:val="auto"/>
              </w:rPr>
              <w:t>Lula</w:t>
            </w:r>
          </w:p>
        </w:tc>
        <w:tc>
          <w:tcPr>
            <w:tcW w:w="29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May 1, 2017</w:t>
            </w:r>
          </w:p>
        </w:tc>
        <w:tc>
          <w:tcPr>
            <w:tcW w:w="2420" w:type="dxa"/>
            <w:vAlign w:val="bottom"/>
          </w:tcPr>
          <w:p>
            <w:pPr>
              <w:ind w:left="240"/>
              <w:spacing w:after="0"/>
              <w:rPr>
                <w:sz w:val="20"/>
                <w:szCs w:val="20"/>
                <w:color w:val="auto"/>
              </w:rPr>
            </w:pPr>
            <w:r>
              <w:rPr>
                <w:rFonts w:ascii="Arial" w:cs="Arial" w:eastAsia="Arial" w:hAnsi="Arial"/>
                <w:sz w:val="18"/>
                <w:szCs w:val="18"/>
                <w:color w:val="auto"/>
              </w:rPr>
              <w:t>Mississippi</w:t>
            </w:r>
          </w:p>
        </w:tc>
      </w:tr>
      <w:tr>
        <w:trPr>
          <w:trHeight w:val="230"/>
        </w:trPr>
        <w:tc>
          <w:tcPr>
            <w:tcW w:w="2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Vicksburg</w:t>
            </w:r>
          </w:p>
        </w:tc>
        <w:tc>
          <w:tcPr>
            <w:tcW w:w="296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2"/>
              </w:rPr>
              <w:t>May 1, 2017</w:t>
            </w:r>
          </w:p>
        </w:tc>
        <w:tc>
          <w:tcPr>
            <w:tcW w:w="2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Mississippi</w:t>
            </w:r>
          </w:p>
        </w:tc>
      </w:tr>
      <w:tr>
        <w:trPr>
          <w:trHeight w:val="230"/>
        </w:trPr>
        <w:tc>
          <w:tcPr>
            <w:tcW w:w="2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40" w:type="dxa"/>
            <w:vAlign w:val="bottom"/>
            <w:gridSpan w:val="2"/>
          </w:tcPr>
          <w:p>
            <w:pPr>
              <w:ind w:left="240"/>
              <w:spacing w:after="0"/>
              <w:rPr>
                <w:sz w:val="20"/>
                <w:szCs w:val="20"/>
                <w:color w:val="auto"/>
              </w:rPr>
            </w:pPr>
            <w:r>
              <w:rPr>
                <w:rFonts w:ascii="Arial" w:cs="Arial" w:eastAsia="Arial" w:hAnsi="Arial"/>
                <w:sz w:val="18"/>
                <w:szCs w:val="18"/>
                <w:color w:val="auto"/>
              </w:rPr>
              <w:t>Greenville</w:t>
            </w:r>
          </w:p>
        </w:tc>
        <w:tc>
          <w:tcPr>
            <w:tcW w:w="29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October 1, 2018</w:t>
            </w:r>
          </w:p>
        </w:tc>
        <w:tc>
          <w:tcPr>
            <w:tcW w:w="2420" w:type="dxa"/>
            <w:vAlign w:val="bottom"/>
          </w:tcPr>
          <w:p>
            <w:pPr>
              <w:ind w:left="240"/>
              <w:spacing w:after="0"/>
              <w:rPr>
                <w:sz w:val="20"/>
                <w:szCs w:val="20"/>
                <w:color w:val="auto"/>
              </w:rPr>
            </w:pPr>
            <w:r>
              <w:rPr>
                <w:rFonts w:ascii="Arial" w:cs="Arial" w:eastAsia="Arial" w:hAnsi="Arial"/>
                <w:sz w:val="18"/>
                <w:szCs w:val="18"/>
                <w:color w:val="auto"/>
              </w:rPr>
              <w:t>Mississippi</w:t>
            </w:r>
          </w:p>
        </w:tc>
      </w:tr>
      <w:tr>
        <w:trPr>
          <w:trHeight w:val="230"/>
        </w:trPr>
        <w:tc>
          <w:tcPr>
            <w:tcW w:w="2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20" w:type="dxa"/>
            <w:vAlign w:val="bottom"/>
            <w:shd w:val="clear" w:color="auto" w:fill="CFF0FC"/>
          </w:tcPr>
          <w:p>
            <w:pPr>
              <w:spacing w:after="0"/>
              <w:rPr>
                <w:sz w:val="19"/>
                <w:szCs w:val="19"/>
                <w:color w:val="auto"/>
              </w:rPr>
            </w:pPr>
          </w:p>
        </w:tc>
      </w:tr>
      <w:tr>
        <w:trPr>
          <w:trHeight w:val="230"/>
        </w:trPr>
        <w:tc>
          <w:tcPr>
            <w:tcW w:w="3000" w:type="dxa"/>
            <w:vAlign w:val="bottom"/>
            <w:gridSpan w:val="2"/>
          </w:tcPr>
          <w:p>
            <w:pPr>
              <w:ind w:left="260"/>
              <w:spacing w:after="0"/>
              <w:rPr>
                <w:sz w:val="20"/>
                <w:szCs w:val="20"/>
                <w:color w:val="auto"/>
              </w:rPr>
            </w:pPr>
            <w:r>
              <w:rPr>
                <w:rFonts w:ascii="Arial" w:cs="Arial" w:eastAsia="Arial" w:hAnsi="Arial"/>
                <w:sz w:val="18"/>
                <w:szCs w:val="18"/>
                <w:color w:val="auto"/>
              </w:rPr>
              <w:t>East</w:t>
            </w:r>
          </w:p>
        </w:tc>
        <w:tc>
          <w:tcPr>
            <w:tcW w:w="3040" w:type="dxa"/>
            <w:vAlign w:val="bottom"/>
            <w:gridSpan w:val="2"/>
          </w:tcPr>
          <w:p>
            <w:pPr>
              <w:ind w:left="240"/>
              <w:spacing w:after="0"/>
              <w:rPr>
                <w:sz w:val="20"/>
                <w:szCs w:val="20"/>
                <w:color w:val="auto"/>
              </w:rPr>
            </w:pPr>
            <w:r>
              <w:rPr>
                <w:rFonts w:ascii="Arial" w:cs="Arial" w:eastAsia="Arial" w:hAnsi="Arial"/>
                <w:sz w:val="18"/>
                <w:szCs w:val="18"/>
                <w:color w:val="auto"/>
              </w:rPr>
              <w:t>Presque Isle Downs</w:t>
            </w:r>
          </w:p>
        </w:tc>
        <w:tc>
          <w:tcPr>
            <w:tcW w:w="29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(a)</w:t>
            </w:r>
          </w:p>
        </w:tc>
        <w:tc>
          <w:tcPr>
            <w:tcW w:w="2420" w:type="dxa"/>
            <w:vAlign w:val="bottom"/>
          </w:tcPr>
          <w:p>
            <w:pPr>
              <w:ind w:left="240"/>
              <w:spacing w:after="0"/>
              <w:rPr>
                <w:sz w:val="20"/>
                <w:szCs w:val="20"/>
                <w:color w:val="auto"/>
              </w:rPr>
            </w:pPr>
            <w:r>
              <w:rPr>
                <w:rFonts w:ascii="Arial" w:cs="Arial" w:eastAsia="Arial" w:hAnsi="Arial"/>
                <w:sz w:val="18"/>
                <w:szCs w:val="18"/>
                <w:color w:val="auto"/>
              </w:rPr>
              <w:t>Pennsylvania</w:t>
            </w:r>
          </w:p>
        </w:tc>
      </w:tr>
      <w:tr>
        <w:trPr>
          <w:trHeight w:val="230"/>
        </w:trPr>
        <w:tc>
          <w:tcPr>
            <w:tcW w:w="2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Nemacolin</w:t>
            </w:r>
          </w:p>
        </w:tc>
        <w:tc>
          <w:tcPr>
            <w:tcW w:w="296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2"/>
              </w:rPr>
              <w:t>May 1, 2017</w:t>
            </w:r>
          </w:p>
        </w:tc>
        <w:tc>
          <w:tcPr>
            <w:tcW w:w="2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Pennsylvania</w:t>
            </w:r>
          </w:p>
        </w:tc>
      </w:tr>
      <w:tr>
        <w:trPr>
          <w:trHeight w:val="230"/>
        </w:trPr>
        <w:tc>
          <w:tcPr>
            <w:tcW w:w="2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40" w:type="dxa"/>
            <w:vAlign w:val="bottom"/>
            <w:gridSpan w:val="2"/>
          </w:tcPr>
          <w:p>
            <w:pPr>
              <w:ind w:left="240"/>
              <w:spacing w:after="0"/>
              <w:rPr>
                <w:sz w:val="20"/>
                <w:szCs w:val="20"/>
                <w:color w:val="auto"/>
              </w:rPr>
            </w:pPr>
            <w:r>
              <w:rPr>
                <w:rFonts w:ascii="Arial" w:cs="Arial" w:eastAsia="Arial" w:hAnsi="Arial"/>
                <w:sz w:val="18"/>
                <w:szCs w:val="18"/>
                <w:color w:val="auto"/>
              </w:rPr>
              <w:t>Scioto Downs</w:t>
            </w:r>
          </w:p>
        </w:tc>
        <w:tc>
          <w:tcPr>
            <w:tcW w:w="29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(a)</w:t>
            </w:r>
          </w:p>
        </w:tc>
        <w:tc>
          <w:tcPr>
            <w:tcW w:w="2420" w:type="dxa"/>
            <w:vAlign w:val="bottom"/>
          </w:tcPr>
          <w:p>
            <w:pPr>
              <w:ind w:left="240"/>
              <w:spacing w:after="0"/>
              <w:rPr>
                <w:sz w:val="20"/>
                <w:szCs w:val="20"/>
                <w:color w:val="auto"/>
              </w:rPr>
            </w:pPr>
            <w:r>
              <w:rPr>
                <w:rFonts w:ascii="Arial" w:cs="Arial" w:eastAsia="Arial" w:hAnsi="Arial"/>
                <w:sz w:val="18"/>
                <w:szCs w:val="18"/>
                <w:color w:val="auto"/>
              </w:rPr>
              <w:t>Ohio</w:t>
            </w:r>
          </w:p>
        </w:tc>
      </w:tr>
      <w:tr>
        <w:trPr>
          <w:trHeight w:val="230"/>
        </w:trPr>
        <w:tc>
          <w:tcPr>
            <w:tcW w:w="2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Mountaineer</w:t>
            </w:r>
          </w:p>
        </w:tc>
        <w:tc>
          <w:tcPr>
            <w:tcW w:w="296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0"/>
              </w:rPr>
              <w:t>(a)</w:t>
            </w:r>
          </w:p>
        </w:tc>
        <w:tc>
          <w:tcPr>
            <w:tcW w:w="2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 Virginia</w:t>
            </w:r>
          </w:p>
        </w:tc>
      </w:tr>
      <w:tr>
        <w:trPr>
          <w:trHeight w:val="230"/>
        </w:trPr>
        <w:tc>
          <w:tcPr>
            <w:tcW w:w="2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40" w:type="dxa"/>
            <w:vAlign w:val="bottom"/>
            <w:gridSpan w:val="2"/>
          </w:tcPr>
          <w:p>
            <w:pPr>
              <w:ind w:left="240"/>
              <w:spacing w:after="0"/>
              <w:rPr>
                <w:sz w:val="20"/>
                <w:szCs w:val="20"/>
                <w:color w:val="auto"/>
              </w:rPr>
            </w:pPr>
            <w:r>
              <w:rPr>
                <w:rFonts w:ascii="Arial" w:cs="Arial" w:eastAsia="Arial" w:hAnsi="Arial"/>
                <w:sz w:val="18"/>
                <w:szCs w:val="18"/>
                <w:color w:val="auto"/>
              </w:rPr>
              <w:t>Trop AC</w:t>
            </w:r>
          </w:p>
        </w:tc>
        <w:tc>
          <w:tcPr>
            <w:tcW w:w="29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October 1, 2018</w:t>
            </w:r>
          </w:p>
        </w:tc>
        <w:tc>
          <w:tcPr>
            <w:tcW w:w="2420" w:type="dxa"/>
            <w:vAlign w:val="bottom"/>
          </w:tcPr>
          <w:p>
            <w:pPr>
              <w:ind w:left="240"/>
              <w:spacing w:after="0"/>
              <w:rPr>
                <w:sz w:val="20"/>
                <w:szCs w:val="20"/>
                <w:color w:val="auto"/>
              </w:rPr>
            </w:pPr>
            <w:r>
              <w:rPr>
                <w:rFonts w:ascii="Arial" w:cs="Arial" w:eastAsia="Arial" w:hAnsi="Arial"/>
                <w:sz w:val="18"/>
                <w:szCs w:val="18"/>
                <w:color w:val="auto"/>
              </w:rPr>
              <w:t>New Jersey</w:t>
            </w:r>
          </w:p>
        </w:tc>
      </w:tr>
      <w:tr>
        <w:trPr>
          <w:trHeight w:val="230"/>
        </w:trPr>
        <w:tc>
          <w:tcPr>
            <w:tcW w:w="2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20" w:type="dxa"/>
            <w:vAlign w:val="bottom"/>
            <w:shd w:val="clear" w:color="auto" w:fill="CFF0FC"/>
          </w:tcPr>
          <w:p>
            <w:pPr>
              <w:spacing w:after="0"/>
              <w:rPr>
                <w:sz w:val="19"/>
                <w:szCs w:val="19"/>
                <w:color w:val="auto"/>
              </w:rPr>
            </w:pPr>
          </w:p>
        </w:tc>
      </w:tr>
      <w:tr>
        <w:trPr>
          <w:trHeight w:val="230"/>
        </w:trPr>
        <w:tc>
          <w:tcPr>
            <w:tcW w:w="3000" w:type="dxa"/>
            <w:vAlign w:val="bottom"/>
            <w:gridSpan w:val="2"/>
          </w:tcPr>
          <w:p>
            <w:pPr>
              <w:ind w:left="260"/>
              <w:spacing w:after="0"/>
              <w:rPr>
                <w:sz w:val="20"/>
                <w:szCs w:val="20"/>
                <w:color w:val="auto"/>
              </w:rPr>
            </w:pPr>
            <w:r>
              <w:rPr>
                <w:rFonts w:ascii="Arial" w:cs="Arial" w:eastAsia="Arial" w:hAnsi="Arial"/>
                <w:sz w:val="18"/>
                <w:szCs w:val="18"/>
                <w:color w:val="auto"/>
              </w:rPr>
              <w:t>Central</w:t>
            </w:r>
          </w:p>
        </w:tc>
        <w:tc>
          <w:tcPr>
            <w:tcW w:w="3040" w:type="dxa"/>
            <w:vAlign w:val="bottom"/>
            <w:gridSpan w:val="2"/>
          </w:tcPr>
          <w:p>
            <w:pPr>
              <w:ind w:left="240"/>
              <w:spacing w:after="0"/>
              <w:rPr>
                <w:sz w:val="20"/>
                <w:szCs w:val="20"/>
                <w:color w:val="auto"/>
              </w:rPr>
            </w:pPr>
            <w:r>
              <w:rPr>
                <w:rFonts w:ascii="Arial" w:cs="Arial" w:eastAsia="Arial" w:hAnsi="Arial"/>
                <w:sz w:val="18"/>
                <w:szCs w:val="18"/>
                <w:color w:val="auto"/>
              </w:rPr>
              <w:t>Elgin</w:t>
            </w:r>
          </w:p>
        </w:tc>
        <w:tc>
          <w:tcPr>
            <w:tcW w:w="29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August 7, 2018</w:t>
            </w:r>
          </w:p>
        </w:tc>
        <w:tc>
          <w:tcPr>
            <w:tcW w:w="2420" w:type="dxa"/>
            <w:vAlign w:val="bottom"/>
          </w:tcPr>
          <w:p>
            <w:pPr>
              <w:ind w:left="240"/>
              <w:spacing w:after="0"/>
              <w:rPr>
                <w:sz w:val="20"/>
                <w:szCs w:val="20"/>
                <w:color w:val="auto"/>
              </w:rPr>
            </w:pPr>
            <w:r>
              <w:rPr>
                <w:rFonts w:ascii="Arial" w:cs="Arial" w:eastAsia="Arial" w:hAnsi="Arial"/>
                <w:sz w:val="18"/>
                <w:szCs w:val="18"/>
                <w:color w:val="auto"/>
              </w:rPr>
              <w:t>Illinois</w:t>
            </w:r>
          </w:p>
        </w:tc>
      </w:tr>
      <w:tr>
        <w:trPr>
          <w:trHeight w:val="230"/>
        </w:trPr>
        <w:tc>
          <w:tcPr>
            <w:tcW w:w="2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Lumière</w:t>
            </w:r>
          </w:p>
        </w:tc>
        <w:tc>
          <w:tcPr>
            <w:tcW w:w="296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89"/>
              </w:rPr>
              <w:t>October 1, 2018</w:t>
            </w:r>
          </w:p>
        </w:tc>
        <w:tc>
          <w:tcPr>
            <w:tcW w:w="2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Missouri</w:t>
            </w:r>
          </w:p>
        </w:tc>
      </w:tr>
      <w:tr>
        <w:trPr>
          <w:trHeight w:val="230"/>
        </w:trPr>
        <w:tc>
          <w:tcPr>
            <w:tcW w:w="2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40" w:type="dxa"/>
            <w:vAlign w:val="bottom"/>
            <w:gridSpan w:val="2"/>
          </w:tcPr>
          <w:p>
            <w:pPr>
              <w:ind w:left="240"/>
              <w:spacing w:after="0"/>
              <w:rPr>
                <w:sz w:val="20"/>
                <w:szCs w:val="20"/>
                <w:color w:val="auto"/>
              </w:rPr>
            </w:pPr>
            <w:r>
              <w:rPr>
                <w:rFonts w:ascii="Arial" w:cs="Arial" w:eastAsia="Arial" w:hAnsi="Arial"/>
                <w:sz w:val="18"/>
                <w:szCs w:val="18"/>
                <w:color w:val="auto"/>
              </w:rPr>
              <w:t>Evansville</w:t>
            </w:r>
          </w:p>
        </w:tc>
        <w:tc>
          <w:tcPr>
            <w:tcW w:w="29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October 1, 2018</w:t>
            </w:r>
          </w:p>
        </w:tc>
        <w:tc>
          <w:tcPr>
            <w:tcW w:w="2420" w:type="dxa"/>
            <w:vAlign w:val="bottom"/>
          </w:tcPr>
          <w:p>
            <w:pPr>
              <w:ind w:left="240"/>
              <w:spacing w:after="0"/>
              <w:rPr>
                <w:sz w:val="20"/>
                <w:szCs w:val="20"/>
                <w:color w:val="auto"/>
              </w:rPr>
            </w:pPr>
            <w:r>
              <w:rPr>
                <w:rFonts w:ascii="Arial" w:cs="Arial" w:eastAsia="Arial" w:hAnsi="Arial"/>
                <w:sz w:val="18"/>
                <w:szCs w:val="18"/>
                <w:color w:val="auto"/>
              </w:rPr>
              <w:t>Indiana</w:t>
            </w:r>
          </w:p>
        </w:tc>
      </w:tr>
    </w:tbl>
    <w:p>
      <w:pPr>
        <w:spacing w:after="0" w:line="93" w:lineRule="exact"/>
        <w:rPr>
          <w:sz w:val="20"/>
          <w:szCs w:val="20"/>
          <w:color w:val="auto"/>
        </w:rPr>
      </w:pPr>
    </w:p>
    <w:p>
      <w:pPr>
        <w:ind w:left="560" w:hanging="552"/>
        <w:spacing w:after="0"/>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Property was aggregated into segment prior to January 1, 2016.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Performance Metrics</w:t>
      </w:r>
    </w:p>
    <w:p>
      <w:pPr>
        <w:spacing w:after="0" w:line="117" w:lineRule="exact"/>
        <w:rPr>
          <w:sz w:val="20"/>
          <w:szCs w:val="20"/>
          <w:color w:val="auto"/>
        </w:rPr>
      </w:pPr>
    </w:p>
    <w:p>
      <w:pPr>
        <w:ind w:right="120" w:firstLine="555"/>
        <w:spacing w:after="0" w:line="270" w:lineRule="auto"/>
        <w:rPr>
          <w:sz w:val="20"/>
          <w:szCs w:val="20"/>
          <w:color w:val="auto"/>
        </w:rPr>
      </w:pPr>
      <w:r>
        <w:rPr>
          <w:rFonts w:ascii="Arial" w:cs="Arial" w:eastAsia="Arial" w:hAnsi="Arial"/>
          <w:sz w:val="17"/>
          <w:szCs w:val="17"/>
          <w:color w:val="auto"/>
        </w:rPr>
        <w:t>Our primary source of revenue is generated by our gaming operations, but we use our hotels, restaurants, bars, entertainment, retail shops, racing and other services to attract customers to our properties. Our operating results are highly dependent on the volume of customers visiting and staying at our properties. Key performance metrics include volume indicators such as table games drop and slot handle, which refer to amounts wagered by our customers. The amount of volume we retain, which is not fully controllable by us, is recognized as casino revenues and is referred to as our win or hold. In addition, hotel occupancy and price per room designated by average daily rate (“ADR”) are key indicators for our hotel business. Our calculation of ADR consists of the average price of occupied rooms per day including the impact of resort fees and complimentary rooms. Complimentary room rates are determined based on an analysis of retail or cash rates for each customer segment and each type of room product to estimate complimentary rates which are consistent with retail rates. Complimentary rates are reviewed at least annually and on an interim basis if there are significant changes in market conditions. Complimentary rooms are treated as occupied rooms in our calculation of hotel occupancy.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Significant Factors Impacting Financial Results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summary highlights the significant factors impacting our financial results during the years ended December 31, 2018, 2017 and 2016.</w:t>
      </w:r>
    </w:p>
    <w:p>
      <w:pPr>
        <w:spacing w:after="0" w:line="140" w:lineRule="exact"/>
        <w:rPr>
          <w:sz w:val="20"/>
          <w:szCs w:val="20"/>
          <w:color w:val="auto"/>
        </w:rPr>
      </w:pPr>
    </w:p>
    <w:p>
      <w:pPr>
        <w:ind w:left="1120" w:right="20" w:hanging="558"/>
        <w:spacing w:after="0" w:line="259" w:lineRule="auto"/>
        <w:tabs>
          <w:tab w:leader="none" w:pos="1120"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Isle Acquisition </w:t>
      </w:r>
      <w:r>
        <w:rPr>
          <w:rFonts w:ascii="Arial" w:cs="Arial" w:eastAsia="Arial" w:hAnsi="Arial"/>
          <w:sz w:val="18"/>
          <w:szCs w:val="18"/>
          <w:color w:val="auto"/>
        </w:rPr>
        <w:t>– Our results of operations for the years ended December 31, 2018 and 2017 include incremental revenues and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the 13 properties we acquired in our acquisition of Isle on May 1, 2017. Transaction (credits) expenses related to our acquisition of Isle for legal, accounting, financial advisory services, severance, stock awards and other costs totaled $(1.4) million for the year ended December 31, 2018 and $92.8 million for the year ended December 31, 2017.</w:t>
      </w:r>
    </w:p>
    <w:p>
      <w:pPr>
        <w:spacing w:after="0" w:line="78" w:lineRule="exact"/>
        <w:rPr>
          <w:rFonts w:ascii="Arial" w:cs="Arial" w:eastAsia="Arial" w:hAnsi="Arial"/>
          <w:sz w:val="18"/>
          <w:szCs w:val="18"/>
          <w:color w:val="auto"/>
        </w:rPr>
      </w:pPr>
    </w:p>
    <w:p>
      <w:pPr>
        <w:ind w:left="1100" w:right="120" w:hanging="552"/>
        <w:spacing w:after="0" w:line="264" w:lineRule="auto"/>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Elgin Acquisition </w:t>
      </w:r>
      <w:r>
        <w:rPr>
          <w:rFonts w:ascii="Arial" w:cs="Arial" w:eastAsia="Arial" w:hAnsi="Arial"/>
          <w:sz w:val="18"/>
          <w:szCs w:val="18"/>
          <w:color w:val="auto"/>
        </w:rPr>
        <w:t>– Our results of operations for the year ended December 31, 2018 include incremental revenues and expenses for the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of August 7, 2018 through December 31, 2018 attributable to Elgin. Transaction expenses related to our acquisition of Elgin totaled $3.9 million for the year ended December 31, 2018.</w:t>
      </w:r>
    </w:p>
    <w:p>
      <w:pPr>
        <w:spacing w:after="0" w:line="73" w:lineRule="exact"/>
        <w:rPr>
          <w:rFonts w:ascii="Arial" w:cs="Arial" w:eastAsia="Arial" w:hAnsi="Arial"/>
          <w:sz w:val="18"/>
          <w:szCs w:val="18"/>
          <w:color w:val="auto"/>
        </w:rPr>
      </w:pPr>
    </w:p>
    <w:p>
      <w:pPr>
        <w:ind w:left="1120" w:right="560" w:hanging="558"/>
        <w:spacing w:after="0" w:line="264" w:lineRule="auto"/>
        <w:tabs>
          <w:tab w:leader="none" w:pos="1120"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Tropicana Acquisition </w:t>
      </w:r>
      <w:r>
        <w:rPr>
          <w:rFonts w:ascii="Arial" w:cs="Arial" w:eastAsia="Arial" w:hAnsi="Arial"/>
          <w:sz w:val="18"/>
          <w:szCs w:val="18"/>
          <w:color w:val="auto"/>
        </w:rPr>
        <w:t>– Our results of operations for the year ended December 31, 2018 include incremental revenues and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the seven properties we acquired in our acquisition of Tropicana on October 1, 2018. Transaction expenses related to our acquisition of Tropicana totaled $18.3 million for the year ended December 31, 2018.</w:t>
      </w:r>
    </w:p>
    <w:p>
      <w:pPr>
        <w:spacing w:after="0" w:line="73" w:lineRule="exact"/>
        <w:rPr>
          <w:rFonts w:ascii="Arial" w:cs="Arial" w:eastAsia="Arial" w:hAnsi="Arial"/>
          <w:sz w:val="18"/>
          <w:szCs w:val="18"/>
          <w:color w:val="auto"/>
        </w:rPr>
      </w:pPr>
    </w:p>
    <w:p>
      <w:pPr>
        <w:ind w:left="1120" w:right="340" w:hanging="558"/>
        <w:spacing w:after="0" w:line="264" w:lineRule="auto"/>
        <w:tabs>
          <w:tab w:leader="none" w:pos="1120"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Master Lease </w:t>
      </w:r>
      <w:r>
        <w:rPr>
          <w:rFonts w:ascii="Arial" w:cs="Arial" w:eastAsia="Arial" w:hAnsi="Arial"/>
          <w:sz w:val="18"/>
          <w:szCs w:val="18"/>
          <w:color w:val="auto"/>
        </w:rPr>
        <w:t>– We accounted for the Master Lease with GLPI as a direct financing obligation effective October 1, 2018. As a result, we</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minimum lease payments and amortization of the direct financing obligation totaling $24.4 million as interest expense during the year ended December 31, 2018.</w:t>
      </w:r>
    </w:p>
    <w:p>
      <w:pPr>
        <w:spacing w:after="0" w:line="73" w:lineRule="exact"/>
        <w:rPr>
          <w:rFonts w:ascii="Arial" w:cs="Arial" w:eastAsia="Arial" w:hAnsi="Arial"/>
          <w:sz w:val="18"/>
          <w:szCs w:val="18"/>
          <w:color w:val="auto"/>
        </w:rPr>
      </w:pPr>
    </w:p>
    <w:p>
      <w:pPr>
        <w:ind w:left="1120" w:right="40" w:hanging="558"/>
        <w:spacing w:after="0" w:line="272" w:lineRule="auto"/>
        <w:tabs>
          <w:tab w:leader="none" w:pos="1120" w:val="left"/>
        </w:tabs>
        <w:numPr>
          <w:ilvl w:val="1"/>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Lake Charles Terminated Sale – </w:t>
      </w:r>
      <w:r>
        <w:rPr>
          <w:rFonts w:ascii="Arial" w:cs="Arial" w:eastAsia="Arial" w:hAnsi="Arial"/>
          <w:sz w:val="17"/>
          <w:szCs w:val="17"/>
          <w:color w:val="auto"/>
        </w:rPr>
        <w:t>On August 22, 2016, Isle entered into an agreement to sell its casino and hotel property in Lake Charles,</w:t>
      </w:r>
      <w:r>
        <w:rPr>
          <w:rFonts w:ascii="Arial" w:cs="Arial" w:eastAsia="Arial" w:hAnsi="Arial"/>
          <w:sz w:val="17"/>
          <w:szCs w:val="17"/>
          <w:i w:val="1"/>
          <w:iCs w:val="1"/>
          <w:color w:val="auto"/>
        </w:rPr>
        <w:t xml:space="preserve"> </w:t>
      </w:r>
      <w:r>
        <w:rPr>
          <w:rFonts w:ascii="Arial" w:cs="Arial" w:eastAsia="Arial" w:hAnsi="Arial"/>
          <w:sz w:val="17"/>
          <w:szCs w:val="17"/>
          <w:color w:val="auto"/>
        </w:rPr>
        <w:t>Louisiana, for $134.5 million, subject to a customary purchase price adjustment, to an affiliate of Laguna Development Corporation, a Pueblo of Laguna-owned business based in Albuquerque, New Mexico. On November 21, 2017, we terminated the agreement. The closing of the transaction was subject to certain closing conditions, including obtaining certain gaming approvals, and was to occur on or before the termination date, which had been extended by the parties to November 20, 2017. The buyer did not obtain the required gaming approvals prior to the termination date, and pursuant to the terms of the agreement, the $20.0 million deposit was forfeited upon termination of the agreement and recorded as operating income in the fourth quarter of 2017.</w:t>
      </w:r>
    </w:p>
    <w:p>
      <w:pPr>
        <w:spacing w:after="0" w:line="69" w:lineRule="exact"/>
        <w:rPr>
          <w:rFonts w:ascii="Arial" w:cs="Arial" w:eastAsia="Arial" w:hAnsi="Arial"/>
          <w:sz w:val="17"/>
          <w:szCs w:val="17"/>
          <w:color w:val="auto"/>
        </w:rPr>
      </w:pPr>
    </w:p>
    <w:p>
      <w:pPr>
        <w:jc w:val="both"/>
        <w:ind w:left="1120" w:right="100"/>
        <w:spacing w:after="0" w:line="264" w:lineRule="auto"/>
        <w:rPr>
          <w:rFonts w:ascii="Arial" w:cs="Arial" w:eastAsia="Arial" w:hAnsi="Arial"/>
          <w:sz w:val="17"/>
          <w:szCs w:val="17"/>
          <w:color w:val="auto"/>
        </w:rPr>
      </w:pPr>
      <w:r>
        <w:rPr>
          <w:rFonts w:ascii="Arial" w:cs="Arial" w:eastAsia="Arial" w:hAnsi="Arial"/>
          <w:sz w:val="18"/>
          <w:szCs w:val="18"/>
          <w:color w:val="auto"/>
        </w:rPr>
        <w:t>In periods prior to the termination of the agreement, the operations of Lake Charles were classified as discontinued operations and as an asset held for sale. As a result of the termination of the sale in the fourth quarter of 2017, Lake Charles was no longer classified as an asset held for sale and as discontinued operations.</w:t>
      </w:r>
    </w:p>
    <w:p>
      <w:pPr>
        <w:spacing w:after="0" w:line="73" w:lineRule="exact"/>
        <w:rPr>
          <w:rFonts w:ascii="Arial" w:cs="Arial" w:eastAsia="Arial" w:hAnsi="Arial"/>
          <w:sz w:val="17"/>
          <w:szCs w:val="17"/>
          <w:color w:val="auto"/>
        </w:rPr>
      </w:pPr>
    </w:p>
    <w:p>
      <w:pPr>
        <w:jc w:val="both"/>
        <w:ind w:left="1100" w:right="200" w:hanging="552"/>
        <w:spacing w:after="0" w:line="264" w:lineRule="auto"/>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Dispositions </w:t>
      </w:r>
      <w:r>
        <w:rPr>
          <w:rFonts w:ascii="Arial" w:cs="Arial" w:eastAsia="Arial" w:hAnsi="Arial"/>
          <w:sz w:val="18"/>
          <w:szCs w:val="18"/>
          <w:color w:val="auto"/>
        </w:rPr>
        <w:t>– The sales of Presque Isle Downs and Nemacolin met the requirements for presentation as assets held for sale under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accepted accounting principles. However, they did not meet the requirements for presentation as discontinued operations and are included in income from continuing operations for the year ended December 31, 2018.</w:t>
      </w:r>
    </w:p>
    <w:p>
      <w:pPr>
        <w:spacing w:after="0" w:line="73" w:lineRule="exact"/>
        <w:rPr>
          <w:sz w:val="20"/>
          <w:szCs w:val="20"/>
          <w:color w:val="auto"/>
        </w:rPr>
      </w:pPr>
    </w:p>
    <w:p>
      <w:pPr>
        <w:ind w:left="1120" w:right="80"/>
        <w:spacing w:after="0" w:line="257" w:lineRule="auto"/>
        <w:rPr>
          <w:sz w:val="20"/>
          <w:szCs w:val="20"/>
          <w:color w:val="auto"/>
        </w:rPr>
      </w:pPr>
      <w:r>
        <w:rPr>
          <w:rFonts w:ascii="Arial" w:cs="Arial" w:eastAsia="Arial" w:hAnsi="Arial"/>
          <w:sz w:val="18"/>
          <w:szCs w:val="18"/>
          <w:color w:val="auto"/>
        </w:rPr>
        <w:t>In conjunction with the classification of Vicksburg’s operations as assets held for sale at March 31, 2018 as a result of the announced sale to CDI, an impairment charge totaling $9.8 million was recorded due to the carrying value exceeding the estimated net sales proceeds. Effective July 6, 2018, the sale of Vicksburg was terminated, and Vicksburg was no longer presented as an asset held for sale as of September 30, 2018. In connection with this termination, CDI paid us a $5.0 million termination fee, which is included in operating income for the year ended December 31, 2018.</w:t>
      </w:r>
    </w:p>
    <w:p>
      <w:pPr>
        <w:spacing w:after="0" w:line="80" w:lineRule="exact"/>
        <w:rPr>
          <w:sz w:val="20"/>
          <w:szCs w:val="20"/>
          <w:color w:val="auto"/>
        </w:rPr>
      </w:pPr>
    </w:p>
    <w:p>
      <w:pPr>
        <w:ind w:left="1120" w:right="280"/>
        <w:spacing w:after="0" w:line="264" w:lineRule="auto"/>
        <w:rPr>
          <w:sz w:val="20"/>
          <w:szCs w:val="20"/>
          <w:color w:val="auto"/>
        </w:rPr>
      </w:pPr>
      <w:r>
        <w:rPr>
          <w:rFonts w:ascii="Arial" w:cs="Arial" w:eastAsia="Arial" w:hAnsi="Arial"/>
          <w:sz w:val="18"/>
          <w:szCs w:val="18"/>
          <w:color w:val="auto"/>
        </w:rPr>
        <w:t>On August 10, 2018, we entered into an agreement to sell our rights and obligations to operate Nemacolin. Due to the carrying value of the property and equipment being sold exceeding the estimated net sales proceeds, we recorded an impairment charge for the year ended December 31, 2018 totaling $3.8 million related to Nemacolin.</w:t>
      </w:r>
    </w:p>
    <w:p>
      <w:pPr>
        <w:spacing w:after="0" w:line="73"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The sale of Presque Isle Downs closed on January 11, 2019 and the sale of Nemacolin is expected to close in in the first quarter of 2019.</w:t>
      </w:r>
    </w:p>
    <w:p>
      <w:pPr>
        <w:spacing w:after="0" w:line="140" w:lineRule="exact"/>
        <w:rPr>
          <w:sz w:val="20"/>
          <w:szCs w:val="20"/>
          <w:color w:val="auto"/>
        </w:rPr>
      </w:pPr>
    </w:p>
    <w:p>
      <w:pPr>
        <w:ind w:left="1100" w:hanging="552"/>
        <w:spacing w:after="0" w:line="272" w:lineRule="auto"/>
        <w:tabs>
          <w:tab w:leader="none" w:pos="110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Isle Debt Refinancing </w:t>
      </w:r>
      <w:r>
        <w:rPr>
          <w:rFonts w:ascii="Arial" w:cs="Arial" w:eastAsia="Arial" w:hAnsi="Arial"/>
          <w:sz w:val="17"/>
          <w:szCs w:val="17"/>
          <w:color w:val="auto"/>
        </w:rPr>
        <w:t>– In connection with the Isle Acquisition, we completed a debt financing transaction comprised of: (i) a senior secured</w:t>
      </w:r>
      <w:r>
        <w:rPr>
          <w:rFonts w:ascii="Arial" w:cs="Arial" w:eastAsia="Arial" w:hAnsi="Arial"/>
          <w:sz w:val="17"/>
          <w:szCs w:val="17"/>
          <w:i w:val="1"/>
          <w:iCs w:val="1"/>
          <w:color w:val="auto"/>
        </w:rPr>
        <w:t xml:space="preserve"> </w:t>
      </w:r>
      <w:r>
        <w:rPr>
          <w:rFonts w:ascii="Arial" w:cs="Arial" w:eastAsia="Arial" w:hAnsi="Arial"/>
          <w:sz w:val="17"/>
          <w:szCs w:val="17"/>
          <w:color w:val="auto"/>
        </w:rPr>
        <w:t>credit facility in an aggregate principal amount of $1.75 billion with a term loan facility of $1.45 billion and revolving credit facility of $300.0 million and (ii) $375.0 million of 6.0% senior notes due 2025. The proceeds of such borrowings were used to pay the cash portion of the consideration payable in the Isle Merger, refinance all of Isle’s existing credit facilities, redeem or otherwise repurchase all of Isle’s senior and senior subordinated notes, refinance our existing credit facility and pay transaction fees and expenses related to the foregoing. We recognized a loss totaling $27.3 million for the year ended December 31, 2017 as a result of the Isle debt refinancing transaction (See “Liquidity and Capital Resources” for more information related to the debt refinancing).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1" w:name="page42"/>
    <w:bookmarkEnd w:id="41"/>
    <w:p>
      <w:pPr>
        <w:ind w:left="560" w:hanging="552"/>
        <w:spacing w:after="0" w:line="257" w:lineRule="auto"/>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Add-on Notes </w:t>
      </w:r>
      <w:r>
        <w:rPr>
          <w:rFonts w:ascii="Arial" w:cs="Arial" w:eastAsia="Arial" w:hAnsi="Arial"/>
          <w:sz w:val="18"/>
          <w:szCs w:val="18"/>
          <w:color w:val="auto"/>
        </w:rPr>
        <w:t>– On September 13, 2017, we issued an additional $500.0 million in aggregate principal amount of 6.0% senior notes due 2025</w:t>
      </w:r>
      <w:r>
        <w:rPr>
          <w:rFonts w:ascii="Arial" w:cs="Arial" w:eastAsia="Arial" w:hAnsi="Arial"/>
          <w:sz w:val="18"/>
          <w:szCs w:val="18"/>
          <w:i w:val="1"/>
          <w:iCs w:val="1"/>
          <w:color w:val="auto"/>
        </w:rPr>
        <w:t xml:space="preserve"> </w:t>
      </w:r>
      <w:r>
        <w:rPr>
          <w:rFonts w:ascii="Arial" w:cs="Arial" w:eastAsia="Arial" w:hAnsi="Arial"/>
          <w:sz w:val="18"/>
          <w:szCs w:val="18"/>
          <w:color w:val="auto"/>
        </w:rPr>
        <w:t>at an issue price equal to 105.5% of the principal amount. We used the proceeds of the offering to repay all of the outstanding borrowings under the revolving credit facility totaling $78.0 million and used the remainder to repay outstanding borrowings totaling $444.5 million under the term loan plus related accrued interest. We recognized a loss of $11.1 million as a result of the issuance of additional debt and retirement of existing debt for the year ended December 31, 2017.</w:t>
      </w:r>
    </w:p>
    <w:p>
      <w:pPr>
        <w:spacing w:after="0" w:line="80" w:lineRule="exact"/>
        <w:rPr>
          <w:rFonts w:ascii="Arial" w:cs="Arial" w:eastAsia="Arial" w:hAnsi="Arial"/>
          <w:sz w:val="18"/>
          <w:szCs w:val="18"/>
          <w:color w:val="auto"/>
        </w:rPr>
      </w:pPr>
    </w:p>
    <w:p>
      <w:pPr>
        <w:ind w:left="560" w:right="180" w:hanging="552"/>
        <w:spacing w:after="0" w:line="264" w:lineRule="auto"/>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Tropicana Financing </w:t>
      </w:r>
      <w:r>
        <w:rPr>
          <w:rFonts w:ascii="Arial" w:cs="Arial" w:eastAsia="Arial" w:hAnsi="Arial"/>
          <w:sz w:val="18"/>
          <w:szCs w:val="18"/>
          <w:color w:val="auto"/>
        </w:rPr>
        <w:t>– On September 20, 2018, we issued $600.0 million in aggregate principal amount of 6.0% senior notes due 2026.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from the notes were used to fund the Tropicana Acquisition which closed on October 1, 2018. We incurred $10.1 million of incremental interest expense on these notes for the year ended December 31, 2018.</w:t>
      </w:r>
    </w:p>
    <w:p>
      <w:pPr>
        <w:spacing w:after="0" w:line="73" w:lineRule="exact"/>
        <w:rPr>
          <w:rFonts w:ascii="Arial" w:cs="Arial" w:eastAsia="Arial" w:hAnsi="Arial"/>
          <w:sz w:val="18"/>
          <w:szCs w:val="18"/>
          <w:color w:val="auto"/>
        </w:rPr>
      </w:pPr>
    </w:p>
    <w:p>
      <w:pPr>
        <w:ind w:left="560" w:right="60" w:hanging="552"/>
        <w:spacing w:after="0" w:line="255" w:lineRule="auto"/>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Tax Cuts and Jobs Act </w:t>
      </w:r>
      <w:r>
        <w:rPr>
          <w:rFonts w:ascii="Arial" w:cs="Arial" w:eastAsia="Arial" w:hAnsi="Arial"/>
          <w:sz w:val="18"/>
          <w:szCs w:val="18"/>
          <w:color w:val="auto"/>
        </w:rPr>
        <w:t>– On December 22, 2017, the U.S. government enacted comprehensive tax legislation commonly referred to as the Tax</w:t>
      </w:r>
      <w:r>
        <w:rPr>
          <w:rFonts w:ascii="Arial" w:cs="Arial" w:eastAsia="Arial" w:hAnsi="Arial"/>
          <w:sz w:val="18"/>
          <w:szCs w:val="18"/>
          <w:i w:val="1"/>
          <w:iCs w:val="1"/>
          <w:color w:val="auto"/>
        </w:rPr>
        <w:t xml:space="preserve"> </w:t>
      </w:r>
      <w:r>
        <w:rPr>
          <w:rFonts w:ascii="Arial" w:cs="Arial" w:eastAsia="Arial" w:hAnsi="Arial"/>
          <w:sz w:val="18"/>
          <w:szCs w:val="18"/>
          <w:color w:val="auto"/>
        </w:rPr>
        <w:t>Cuts and Jobs Act (the “Tax Act”). The Tax Act made broad and complex changes to the U.S. tax code, including, but not limited to, reducing the U.S. federal corporate tax rate from 35% to 21%. In connection with our initial analysis of the impact of the Tax Act, for certain of our net deferred tax liabilities, we recorded a decrease of $111.9 million, net of the related change in valuation allowance, with a corresponding net adjustment to deferred income tax benefit for the year ending December 31, 2017 as a result of the corporate rate reduction resulting in a positive impact on net income.</w:t>
      </w:r>
    </w:p>
    <w:p>
      <w:pPr>
        <w:spacing w:after="0" w:line="85" w:lineRule="exact"/>
        <w:rPr>
          <w:rFonts w:ascii="Arial" w:cs="Arial" w:eastAsia="Arial" w:hAnsi="Arial"/>
          <w:sz w:val="18"/>
          <w:szCs w:val="18"/>
          <w:color w:val="auto"/>
        </w:rPr>
      </w:pPr>
    </w:p>
    <w:p>
      <w:pPr>
        <w:ind w:left="560" w:right="80" w:hanging="552"/>
        <w:spacing w:after="0" w:line="259" w:lineRule="auto"/>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Impairment Charges – </w:t>
      </w:r>
      <w:r>
        <w:rPr>
          <w:rFonts w:ascii="Arial" w:cs="Arial" w:eastAsia="Arial" w:hAnsi="Arial"/>
          <w:sz w:val="18"/>
          <w:szCs w:val="18"/>
          <w:color w:val="auto"/>
        </w:rPr>
        <w:t>On October 1, 2017 we conducted annual impairment tests of our intangible assets. Based on lower than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performance and projected future operating results, it was determined that the value of goodwill and/or trade names associated with our Lake Charles, Vicksburg and Lula reporting units were impaired resulting in impairment charges totaling $38.0 million for the year ended December 31, 2017.</w:t>
      </w:r>
    </w:p>
    <w:p>
      <w:pPr>
        <w:spacing w:after="0" w:line="78" w:lineRule="exact"/>
        <w:rPr>
          <w:rFonts w:ascii="Arial" w:cs="Arial" w:eastAsia="Arial" w:hAnsi="Arial"/>
          <w:sz w:val="18"/>
          <w:szCs w:val="18"/>
          <w:color w:val="auto"/>
        </w:rPr>
      </w:pPr>
    </w:p>
    <w:p>
      <w:pPr>
        <w:ind w:left="560" w:right="40" w:hanging="552"/>
        <w:spacing w:after="0" w:line="259" w:lineRule="auto"/>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Severe Weather </w:t>
      </w:r>
      <w:r>
        <w:rPr>
          <w:rFonts w:ascii="Arial" w:cs="Arial" w:eastAsia="Arial" w:hAnsi="Arial"/>
          <w:sz w:val="18"/>
          <w:szCs w:val="18"/>
          <w:color w:val="auto"/>
        </w:rPr>
        <w:t>– During the third quarter of 2017, Hurricanes Harvey and Irma negatively impacted our South region, specifically our</w:t>
      </w:r>
      <w:r>
        <w:rPr>
          <w:rFonts w:ascii="Arial" w:cs="Arial" w:eastAsia="Arial" w:hAnsi="Arial"/>
          <w:sz w:val="18"/>
          <w:szCs w:val="18"/>
          <w:i w:val="1"/>
          <w:iCs w:val="1"/>
          <w:color w:val="auto"/>
        </w:rPr>
        <w:t xml:space="preserve"> </w:t>
      </w:r>
      <w:r>
        <w:rPr>
          <w:rFonts w:ascii="Arial" w:cs="Arial" w:eastAsia="Arial" w:hAnsi="Arial"/>
          <w:sz w:val="18"/>
          <w:szCs w:val="18"/>
          <w:color w:val="auto"/>
        </w:rPr>
        <w:t>Pompano, Lake Charles and Eldorado Shreveport properties, and made travel to those properties impossible or difficult. While Pompano did not sustain any major physical damage, we incurred incremental expenses as a result of the storms and were forced to close the casino for four days and experienced disruption to our business for a longer period of time.</w:t>
      </w:r>
    </w:p>
    <w:p>
      <w:pPr>
        <w:spacing w:after="0" w:line="79" w:lineRule="exact"/>
        <w:rPr>
          <w:sz w:val="20"/>
          <w:szCs w:val="20"/>
          <w:color w:val="auto"/>
        </w:rPr>
      </w:pPr>
    </w:p>
    <w:p>
      <w:pPr>
        <w:ind w:left="580" w:right="100"/>
        <w:spacing w:after="0" w:line="297" w:lineRule="auto"/>
        <w:rPr>
          <w:sz w:val="20"/>
          <w:szCs w:val="20"/>
          <w:color w:val="auto"/>
        </w:rPr>
      </w:pPr>
      <w:r>
        <w:rPr>
          <w:rFonts w:ascii="Arial" w:cs="Arial" w:eastAsia="Arial" w:hAnsi="Arial"/>
          <w:sz w:val="16"/>
          <w:szCs w:val="16"/>
          <w:color w:val="auto"/>
        </w:rPr>
        <w:t>Our West segment’s operations are subject to seasonal variation, with our lowest business volume generally occurring during the winter months. The northern Nevada region experienced record snowfall and severe weather conditions, including major snow storms during eleven of the fourteen weekends in the 2017 first quarter, making travel to Reno from northern California, our main feeder market, difficult or impossible due to road closures. As a result, there was a significant adverse effect on business levels, especially hotel occupancy and gaming volume, during the first quarter of 2017, and our operating performance for the year ended December 31, 2017 compared to 2016.</w:t>
      </w:r>
    </w:p>
    <w:p>
      <w:pPr>
        <w:spacing w:after="0" w:line="50" w:lineRule="exact"/>
        <w:rPr>
          <w:sz w:val="20"/>
          <w:szCs w:val="20"/>
          <w:color w:val="auto"/>
        </w:rPr>
      </w:pPr>
    </w:p>
    <w:p>
      <w:pPr>
        <w:ind w:left="560" w:hanging="552"/>
        <w:spacing w:after="0" w:line="297" w:lineRule="auto"/>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Execution of Synergies and Cost Savings Programs </w:t>
      </w:r>
      <w:r>
        <w:rPr>
          <w:rFonts w:ascii="Arial" w:cs="Arial" w:eastAsia="Arial" w:hAnsi="Arial"/>
          <w:sz w:val="16"/>
          <w:szCs w:val="16"/>
          <w:color w:val="auto"/>
        </w:rPr>
        <w:t>– We continue to identify areas to improve property level and consolidated margins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and cost efficiencies and exercising financial discipline throughout the company without impacting the guest experience. In addition to cost savings relating to duplicative executive compensation, legal and accounting fees and other corporate expenses that have been eliminated as a result of our acquisitions, we have achieved savings in marketing, food and beverage costs, selling, general and administrative expenses, and other operating departments as a result of operating efficiencies and purchasing power of the combined Eldorado organization.</w:t>
      </w:r>
    </w:p>
    <w:p>
      <w:pPr>
        <w:spacing w:after="0" w:line="50" w:lineRule="exact"/>
        <w:rPr>
          <w:rFonts w:ascii="Arial" w:cs="Arial" w:eastAsia="Arial" w:hAnsi="Arial"/>
          <w:sz w:val="16"/>
          <w:szCs w:val="16"/>
          <w:color w:val="auto"/>
        </w:rPr>
      </w:pPr>
    </w:p>
    <w:p>
      <w:pPr>
        <w:ind w:left="560" w:hanging="552"/>
        <w:spacing w:after="0" w:line="308" w:lineRule="auto"/>
        <w:tabs>
          <w:tab w:leader="none" w:pos="56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Property Enhancement Capital Expenditures </w:t>
      </w:r>
      <w:r>
        <w:rPr>
          <w:rFonts w:ascii="Arial" w:cs="Arial" w:eastAsia="Arial" w:hAnsi="Arial"/>
          <w:sz w:val="17"/>
          <w:szCs w:val="17"/>
          <w:color w:val="auto"/>
        </w:rPr>
        <w:t>– Property enhancement initiatives and targeted investments that improve our guests’ experiences</w:t>
      </w:r>
      <w:r>
        <w:rPr>
          <w:rFonts w:ascii="Arial" w:cs="Arial" w:eastAsia="Arial" w:hAnsi="Arial"/>
          <w:sz w:val="17"/>
          <w:szCs w:val="17"/>
          <w:i w:val="1"/>
          <w:iCs w:val="1"/>
          <w:color w:val="auto"/>
        </w:rPr>
        <w:t xml:space="preserve"> </w:t>
      </w:r>
      <w:r>
        <w:rPr>
          <w:rFonts w:ascii="Arial" w:cs="Arial" w:eastAsia="Arial" w:hAnsi="Arial"/>
          <w:sz w:val="17"/>
          <w:szCs w:val="17"/>
          <w:color w:val="auto"/>
        </w:rPr>
        <w:t>and elevate our properties’ overall competitiveness in their markets continued throughout 2016, 2017 and 2018.</w:t>
      </w:r>
    </w:p>
    <w:p>
      <w:pPr>
        <w:spacing w:after="0" w:line="38" w:lineRule="exact"/>
        <w:rPr>
          <w:sz w:val="20"/>
          <w:szCs w:val="20"/>
          <w:color w:val="auto"/>
        </w:rPr>
      </w:pPr>
    </w:p>
    <w:p>
      <w:pPr>
        <w:ind w:left="580" w:right="100"/>
        <w:spacing w:after="0" w:line="276" w:lineRule="auto"/>
        <w:rPr>
          <w:sz w:val="20"/>
          <w:szCs w:val="20"/>
          <w:color w:val="auto"/>
        </w:rPr>
      </w:pPr>
      <w:r>
        <w:rPr>
          <w:rFonts w:ascii="Arial" w:cs="Arial" w:eastAsia="Arial" w:hAnsi="Arial"/>
          <w:sz w:val="17"/>
          <w:szCs w:val="17"/>
          <w:color w:val="auto"/>
        </w:rPr>
        <w:t>As part of the continuing evolution of the Reno tri-properties, we built a new 21,000 square foot spa at Silver Legacy which opened in early October 2018. We have substantially renovated every room at Circus Reno and will start the first phase of renovations of 400 rooms at Silver Legacy and 42 high-end suites at Eldorado in the second half of 2019. In Black Hawk we expect to renovate all 402 hotel rooms during the first half of 2019. In addition, our joint venture with Cordish continues making progress on development plans of a new world-class, mixed-use entertainment and hospitality destination anchored by our Isle Casino Racing Pompano Park.</w:t>
      </w:r>
    </w:p>
    <w:p>
      <w:pPr>
        <w:spacing w:after="0" w:line="64" w:lineRule="exact"/>
        <w:rPr>
          <w:sz w:val="20"/>
          <w:szCs w:val="20"/>
          <w:color w:val="auto"/>
        </w:rPr>
      </w:pPr>
    </w:p>
    <w:p>
      <w:pPr>
        <w:ind w:left="580" w:right="260"/>
        <w:spacing w:after="0" w:line="277" w:lineRule="auto"/>
        <w:rPr>
          <w:sz w:val="20"/>
          <w:szCs w:val="20"/>
          <w:color w:val="auto"/>
        </w:rPr>
      </w:pPr>
      <w:r>
        <w:rPr>
          <w:rFonts w:ascii="Arial" w:cs="Arial" w:eastAsia="Arial" w:hAnsi="Arial"/>
          <w:sz w:val="18"/>
          <w:szCs w:val="18"/>
          <w:color w:val="auto"/>
        </w:rPr>
        <w:t>A 118-room Hampton Inn Hotel at Scioto Downs developed by a third party opened in March 2017 and since opening has driven visitation and spend at the property.</w:t>
      </w:r>
    </w:p>
    <w:p>
      <w:pPr>
        <w:spacing w:after="0" w:line="62" w:lineRule="exact"/>
        <w:rPr>
          <w:sz w:val="20"/>
          <w:szCs w:val="20"/>
          <w:color w:val="auto"/>
        </w:rPr>
      </w:pPr>
    </w:p>
    <w:p>
      <w:pPr>
        <w:ind w:left="580" w:right="140" w:hanging="558"/>
        <w:spacing w:after="0" w:line="279" w:lineRule="auto"/>
        <w:tabs>
          <w:tab w:leader="none" w:pos="58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New Regulation – </w:t>
      </w:r>
      <w:r>
        <w:rPr>
          <w:rFonts w:ascii="Arial" w:cs="Arial" w:eastAsia="Arial" w:hAnsi="Arial"/>
          <w:sz w:val="17"/>
          <w:szCs w:val="17"/>
          <w:color w:val="auto"/>
        </w:rPr>
        <w:t>Effective January 1, 2016, the Ohio Lottery Commission enacted new regulation which resulted in the establishment of a $1.0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progressive slot liability and a corresponding decrease in net slot win for the year ended December 31, 2016. The changes are non-cash and related to jackpots established in prior years. The net non-cash impact to Scioto Down’s gaming revenues and operating income was $1.0 million and $0.6 million, respectively for the year ended December 31, 2016.</w:t>
      </w:r>
    </w:p>
    <w:p>
      <w:pPr>
        <w:spacing w:after="0" w:line="38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780" w:top="449"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highlights the results of our operations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1"/>
        </w:trPr>
        <w:tc>
          <w:tcPr>
            <w:tcW w:w="4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Borders>
              <w:bottom w:val="single" w:sz="8" w:color="auto"/>
            </w:tcBorders>
            <w:gridSpan w:val="3"/>
          </w:tcPr>
          <w:p>
            <w:pPr>
              <w:jc w:val="center"/>
              <w:ind w:left="817"/>
              <w:spacing w:after="0"/>
              <w:rPr>
                <w:sz w:val="20"/>
                <w:szCs w:val="20"/>
                <w:color w:val="auto"/>
              </w:rPr>
            </w:pPr>
            <w:r>
              <w:rPr>
                <w:rFonts w:ascii="Arial" w:cs="Arial" w:eastAsia="Arial" w:hAnsi="Arial"/>
                <w:sz w:val="14"/>
                <w:szCs w:val="14"/>
                <w:b w:val="1"/>
                <w:bCs w:val="1"/>
                <w:color w:val="auto"/>
                <w:w w:val="97"/>
              </w:rPr>
              <w:t>Change %</w:t>
            </w:r>
          </w:p>
        </w:tc>
        <w:tc>
          <w:tcPr>
            <w:tcW w:w="9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56"/>
        </w:trPr>
        <w:tc>
          <w:tcPr>
            <w:tcW w:w="45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59"/>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rPr>
              <w:t>2018 vs 2017</w:t>
            </w:r>
          </w:p>
        </w:tc>
        <w:tc>
          <w:tcPr>
            <w:tcW w:w="4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4"/>
              <w:spacing w:after="0" w:line="155" w:lineRule="exact"/>
              <w:rPr>
                <w:sz w:val="20"/>
                <w:szCs w:val="20"/>
                <w:color w:val="auto"/>
              </w:rPr>
            </w:pPr>
            <w:r>
              <w:rPr>
                <w:rFonts w:ascii="Arial" w:cs="Arial" w:eastAsia="Arial" w:hAnsi="Arial"/>
                <w:sz w:val="14"/>
                <w:szCs w:val="14"/>
                <w:b w:val="1"/>
                <w:bCs w:val="1"/>
                <w:color w:val="auto"/>
                <w:w w:val="88"/>
              </w:rPr>
              <w:t>2017 vs 2016</w:t>
            </w:r>
          </w:p>
        </w:tc>
        <w:tc>
          <w:tcPr>
            <w:tcW w:w="280" w:type="dxa"/>
            <w:vAlign w:val="bottom"/>
            <w:tcBorders>
              <w:bottom w:val="single" w:sz="8" w:color="CFF0FC"/>
            </w:tcBorders>
          </w:tcPr>
          <w:p>
            <w:pPr>
              <w:spacing w:after="0"/>
              <w:rPr>
                <w:sz w:val="13"/>
                <w:szCs w:val="13"/>
                <w:color w:val="auto"/>
              </w:rPr>
            </w:pP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2,056,007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1,480,798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900,465</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310,103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94,810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88,700</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227.1</w:t>
            </w:r>
          </w:p>
        </w:tc>
        <w:tc>
          <w:tcPr>
            <w:tcW w:w="40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95,235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73,380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24,527</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199.2</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260" w:firstLine="555"/>
        <w:spacing w:after="0" w:line="264" w:lineRule="auto"/>
        <w:rPr>
          <w:sz w:val="20"/>
          <w:szCs w:val="20"/>
          <w:color w:val="auto"/>
        </w:rPr>
      </w:pPr>
      <w:r>
        <w:rPr>
          <w:rFonts w:ascii="Arial" w:cs="Arial" w:eastAsia="Arial" w:hAnsi="Arial"/>
          <w:sz w:val="18"/>
          <w:szCs w:val="18"/>
          <w:i w:val="1"/>
          <w:iCs w:val="1"/>
          <w:color w:val="auto"/>
        </w:rPr>
        <w:t>Operating Results</w:t>
      </w:r>
      <w:r>
        <w:rPr>
          <w:rFonts w:ascii="Arial" w:cs="Arial" w:eastAsia="Arial" w:hAnsi="Arial"/>
          <w:sz w:val="18"/>
          <w:szCs w:val="18"/>
          <w:color w:val="auto"/>
        </w:rPr>
        <w:t>. Including incremental Isle, Elgin and Tropicana net revenues totaling $575.5 million generated following their respective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dates, net revenues increased 38.8% for the year ended December 31, 2018 compared to 2017. Excluding incremental Isle, Elgin and Tropicana net revenues, net revenues remained flat for the year ended December 31, 2018 compared to 2017.</w:t>
      </w:r>
    </w:p>
    <w:p>
      <w:pPr>
        <w:spacing w:after="0" w:line="208" w:lineRule="exact"/>
        <w:rPr>
          <w:sz w:val="20"/>
          <w:szCs w:val="20"/>
          <w:color w:val="auto"/>
        </w:rPr>
      </w:pPr>
    </w:p>
    <w:p>
      <w:pPr>
        <w:ind w:right="280" w:firstLine="555"/>
        <w:spacing w:after="0" w:line="279" w:lineRule="auto"/>
        <w:rPr>
          <w:sz w:val="20"/>
          <w:szCs w:val="20"/>
          <w:color w:val="auto"/>
        </w:rPr>
      </w:pPr>
      <w:r>
        <w:rPr>
          <w:rFonts w:ascii="Arial" w:cs="Arial" w:eastAsia="Arial" w:hAnsi="Arial"/>
          <w:sz w:val="17"/>
          <w:szCs w:val="17"/>
          <w:color w:val="auto"/>
        </w:rPr>
        <w:t>Isle contributed $600.1 million of incremental net revenues from the date we acquired Isle on May 1, 2017 through December 31, 2017 consisting primarily of gaming revenues. Including these incremental net revenues, net revenues increased 64.4% for the year ended December 31, 2017 compared to 2016. Excluding these incremental net revenues, net revenues declined 2.2% for the year ended December 31, 2017 compared to 2016, primarily due to decreased revenues associated with severe weather during the first and third quarters of 2017.</w:t>
      </w:r>
    </w:p>
    <w:p>
      <w:pPr>
        <w:spacing w:after="0" w:line="171"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For the year ended December 31, 2018 compared to 2017, operating income increased 227.1% mainly due to incremental operating income contributed by Isle, Elgin and Tropicana following their respective acquisition dates. Incremental operating income totaling $80.7 million represents operating income for four months of operations for Isle, five months of operations for Elgin and three months of operations for Tropicana. Excluding the incremental operating income, operating income rose 141.9% for the year ended December 31, 2018 compared to 2017 due to margin improvement resulting from synergies and departmental operating efficiencies, a $34.2 million decrease in impairment charges and a $71.9 million decline in transaction expenses. These increases in operating income for the year ended December 31, 2018 compared to 2017 were partially offset by higher depreciation associated with additional assets.</w:t>
      </w:r>
    </w:p>
    <w:p>
      <w:pPr>
        <w:spacing w:after="0" w:line="189" w:lineRule="exact"/>
        <w:rPr>
          <w:sz w:val="20"/>
          <w:szCs w:val="20"/>
          <w:color w:val="auto"/>
        </w:rPr>
      </w:pPr>
    </w:p>
    <w:p>
      <w:pPr>
        <w:ind w:right="320" w:firstLine="555"/>
        <w:spacing w:after="0" w:line="276" w:lineRule="auto"/>
        <w:rPr>
          <w:sz w:val="20"/>
          <w:szCs w:val="20"/>
          <w:color w:val="auto"/>
        </w:rPr>
      </w:pPr>
      <w:r>
        <w:rPr>
          <w:rFonts w:ascii="Arial" w:cs="Arial" w:eastAsia="Arial" w:hAnsi="Arial"/>
          <w:sz w:val="17"/>
          <w:szCs w:val="17"/>
          <w:color w:val="auto"/>
        </w:rPr>
        <w:t>Operating income increased 6.9% for the year ended December 31, 2017 compared to 2016. This increase was primarily due to $82.3 million of incremental operating income contributed by Isle for the year ended December 31, 2017 and a $20.0 million deposit recorded as operating income in conjunction with the termination of the sale our Lake Charles property. These increases were partially offset by the $83.6 million increase in transaction expenses associated with our acquisition of Isle and the $38.0 million impairment charge recorded in 2017 to reduce the carrying value of goodwill and/or trade names related to our Lake Charles, Lula and Vicksburg reporting units.</w:t>
      </w:r>
    </w:p>
    <w:p>
      <w:pPr>
        <w:spacing w:after="0" w:line="173" w:lineRule="exact"/>
        <w:rPr>
          <w:sz w:val="20"/>
          <w:szCs w:val="20"/>
          <w:color w:val="auto"/>
        </w:rPr>
      </w:pPr>
    </w:p>
    <w:p>
      <w:pPr>
        <w:ind w:right="80" w:firstLine="555"/>
        <w:spacing w:after="0" w:line="297" w:lineRule="auto"/>
        <w:rPr>
          <w:sz w:val="20"/>
          <w:szCs w:val="20"/>
          <w:color w:val="auto"/>
        </w:rPr>
      </w:pPr>
      <w:r>
        <w:rPr>
          <w:rFonts w:ascii="Arial" w:cs="Arial" w:eastAsia="Arial" w:hAnsi="Arial"/>
          <w:sz w:val="16"/>
          <w:szCs w:val="16"/>
          <w:color w:val="auto"/>
        </w:rPr>
        <w:t>For the year ended December 31, 2018 compared to 2017, net income increased 29.8% due to the same factors impacting operating income combined with the $38.4 million loss on the early retirement of debt for the year ended December 31, 2017 associated with our refinancing completed in May 2017. These increases were partially offset by higher interest expense for the year ended December 31, 2018 compared to 2017 resulting from increased debt and amortization of the direct financing obligation associated with the Master Lease following our acquisitions. Additionally, the increase in our tax provision for the year ended December 31, 2018 compared to 2017 due to the favorable impact of the Tax Act in 2017 also partially offset the increases in net income.</w:t>
      </w:r>
    </w:p>
    <w:p>
      <w:pPr>
        <w:spacing w:after="0" w:line="158"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color w:val="auto"/>
        </w:rPr>
        <w:t>Net income increased 199.2% in 2017 compared to 2016 primarily due to the $111.9 million net adjustment to our deferred income tax benefit for the year ending December 31, 2017 as a result of the corporate tax rate reduction due to the Tax Act, combined with the other factors impacting operating income. This increase was partially offset by higher interest expense resulting from the issuance of new debt and the loss on the early retirement of debt recorded in 2017.</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highlights our net revenues and operating income (loss) by reportable segment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Net Revenues</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6"/>
          </w:tcPr>
          <w:p>
            <w:pPr>
              <w:jc w:val="center"/>
              <w:ind w:left="395"/>
              <w:spacing w:after="0"/>
              <w:rPr>
                <w:sz w:val="20"/>
                <w:szCs w:val="20"/>
                <w:color w:val="auto"/>
              </w:rPr>
            </w:pPr>
            <w:r>
              <w:rPr>
                <w:rFonts w:ascii="Arial" w:cs="Arial" w:eastAsia="Arial" w:hAnsi="Arial"/>
                <w:sz w:val="14"/>
                <w:szCs w:val="14"/>
                <w:b w:val="1"/>
                <w:bCs w:val="1"/>
                <w:color w:val="auto"/>
                <w:w w:val="93"/>
              </w:rPr>
              <w:t>Operating Income (Loss)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center"/>
              <w:ind w:left="394"/>
              <w:spacing w:after="0"/>
              <w:rPr>
                <w:sz w:val="20"/>
                <w:szCs w:val="20"/>
                <w:color w:val="auto"/>
              </w:rPr>
            </w:pPr>
            <w:r>
              <w:rPr>
                <w:rFonts w:ascii="Arial" w:cs="Arial" w:eastAsia="Arial" w:hAnsi="Arial"/>
                <w:sz w:val="14"/>
                <w:szCs w:val="14"/>
                <w:b w:val="1"/>
                <w:bCs w:val="1"/>
                <w:color w:val="auto"/>
                <w:w w:val="92"/>
              </w:rPr>
              <w:t>for the Year Ended December 31,</w:t>
            </w:r>
          </w:p>
        </w:tc>
        <w:tc>
          <w:tcPr>
            <w:tcW w:w="6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center"/>
              <w:ind w:left="375"/>
              <w:spacing w:after="0"/>
              <w:rPr>
                <w:sz w:val="20"/>
                <w:szCs w:val="20"/>
                <w:color w:val="auto"/>
              </w:rPr>
            </w:pPr>
            <w:r>
              <w:rPr>
                <w:rFonts w:ascii="Arial" w:cs="Arial" w:eastAsia="Arial" w:hAnsi="Arial"/>
                <w:sz w:val="14"/>
                <w:szCs w:val="14"/>
                <w:b w:val="1"/>
                <w:bCs w:val="1"/>
                <w:color w:val="auto"/>
                <w:w w:val="92"/>
              </w:rPr>
              <w:t>for the Year Ended December 31,</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40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92"/>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w w:val="89"/>
              </w:rPr>
              <w:t>2016</w:t>
            </w:r>
          </w:p>
        </w:tc>
        <w:tc>
          <w:tcPr>
            <w:tcW w:w="3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52"/>
              <w:spacing w:after="0" w:line="155" w:lineRule="exact"/>
              <w:rPr>
                <w:sz w:val="20"/>
                <w:szCs w:val="20"/>
                <w:color w:val="auto"/>
              </w:rPr>
            </w:pPr>
            <w:r>
              <w:rPr>
                <w:rFonts w:ascii="Arial" w:cs="Arial" w:eastAsia="Arial" w:hAnsi="Arial"/>
                <w:sz w:val="14"/>
                <w:szCs w:val="14"/>
                <w:b w:val="1"/>
                <w:bCs w:val="1"/>
                <w:color w:val="auto"/>
                <w:w w:val="96"/>
              </w:rPr>
              <w:t>2017</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West</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483,532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410,319</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327,541</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84,548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66,108</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41,451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Midwest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397,008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268,879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105,809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62,071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South</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461,181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338,259</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133,557</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64,851</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3,680</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23,378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East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571,272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462,835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439,367</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97,963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68,101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53,361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Central</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142,485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24,240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(67,308)</w:t>
            </w: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(105,150)</w:t>
            </w:r>
          </w:p>
        </w:tc>
        <w:tc>
          <w:tcPr>
            <w:tcW w:w="3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(29,490)</w:t>
            </w:r>
          </w:p>
        </w:tc>
        <w:tc>
          <w:tcPr>
            <w:tcW w:w="20" w:type="dxa"/>
            <w:vAlign w:val="bottom"/>
          </w:tcPr>
          <w:p>
            <w:pPr>
              <w:spacing w:after="0"/>
              <w:rPr>
                <w:sz w:val="19"/>
                <w:szCs w:val="19"/>
                <w:color w:val="auto"/>
              </w:rPr>
            </w:pPr>
          </w:p>
        </w:tc>
      </w:tr>
      <w:tr>
        <w:trPr>
          <w:trHeight w:val="223"/>
        </w:trPr>
        <w:tc>
          <w:tcPr>
            <w:tcW w:w="40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2,056,007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1,480,798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900,465</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310,103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4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352"/>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86" w:right="21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Year Ended December 31, 2018 Compared to the Year Ended December 31, 2017</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revenues and operating expenses were as follows (dollars in thousands):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Variance</w:t>
            </w:r>
          </w:p>
        </w:tc>
        <w:tc>
          <w:tcPr>
            <w:tcW w:w="1080" w:type="dxa"/>
            <w:vAlign w:val="bottom"/>
          </w:tcPr>
          <w:p>
            <w:pPr>
              <w:jc w:val="right"/>
              <w:ind w:right="211"/>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4"/>
                <w:szCs w:val="14"/>
                <w:color w:val="auto"/>
              </w:rPr>
            </w:pP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0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Gaming and Pari-Mutuel Commissions:</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1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230,571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186,779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43,792</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Midwest</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345,499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231,366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114,133</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South</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375,748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268,680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107,068</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East</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485,047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412,202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72,845</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Central</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116,526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116,526</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Gaming and Pari-Mutuel Commissions</w:t>
            </w:r>
          </w:p>
        </w:tc>
        <w:tc>
          <w:tcPr>
            <w:tcW w:w="10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1,553,391</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1,099,027</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454,364</w:t>
            </w:r>
          </w:p>
        </w:tc>
        <w:tc>
          <w:tcPr>
            <w:tcW w:w="24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41.3</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Non-gaming:</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West</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252,961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223,540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29,421</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51,509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37,513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13,996</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South</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85,433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69,579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15,854</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East</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86,225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50,633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35,592</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Central</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25,959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25,959</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w:t>
            </w:r>
          </w:p>
        </w:tc>
        <w:tc>
          <w:tcPr>
            <w:tcW w:w="10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Non-gaming</w:t>
            </w:r>
          </w:p>
        </w:tc>
        <w:tc>
          <w:tcPr>
            <w:tcW w:w="10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502,616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381,771</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120,845</w:t>
            </w:r>
          </w:p>
        </w:tc>
        <w:tc>
          <w:tcPr>
            <w:tcW w:w="24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31.7</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8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Total Net Revenues</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2,056,007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1,480,798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575,209</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Gaming and Pari-Mutuel Commissions:</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West</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86,622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73,304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13,318</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141,641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96,989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44,652</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South</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180,325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134,661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45,664</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East</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286,202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256,135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30,067</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Central</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54,499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54,499</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8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Gaming and Pari-Mutuel Commissions</w:t>
            </w:r>
          </w:p>
        </w:tc>
        <w:tc>
          <w:tcPr>
            <w:tcW w:w="10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749,289</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561,089</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188,200</w:t>
            </w:r>
          </w:p>
        </w:tc>
        <w:tc>
          <w:tcPr>
            <w:tcW w:w="2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Non-gaming</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151,211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141,510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9,701</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Midwest</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30,951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26,271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4,680</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South</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56,607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49,280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7,327</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East</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51,536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35,518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16,018</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Central</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15,998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15,998</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Non-gaming</w:t>
            </w:r>
          </w:p>
        </w:tc>
        <w:tc>
          <w:tcPr>
            <w:tcW w:w="10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306,303</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252,579</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53,724</w:t>
            </w:r>
          </w:p>
        </w:tc>
        <w:tc>
          <w:tcPr>
            <w:tcW w:w="24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21.3</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Marketing and promotions</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106,161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83,174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22,987</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349,598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241,037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108,561</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46,632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30,739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15,893</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charges</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38,016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(24,414)</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(64.2) %</w:t>
            </w:r>
          </w:p>
        </w:tc>
      </w:tr>
      <w:tr>
        <w:trPr>
          <w:trHeight w:val="230"/>
        </w:trPr>
        <w:tc>
          <w:tcPr>
            <w:tcW w:w="4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157,429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105,891</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51,538</w:t>
            </w:r>
          </w:p>
        </w:tc>
        <w:tc>
          <w:tcPr>
            <w:tcW w:w="24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48.7</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10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1,729,014</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1,312,525</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416,489</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right="240" w:firstLine="555"/>
        <w:spacing w:after="0" w:line="264" w:lineRule="auto"/>
        <w:rPr>
          <w:sz w:val="20"/>
          <w:szCs w:val="20"/>
          <w:color w:val="auto"/>
        </w:rPr>
      </w:pPr>
      <w:r>
        <w:rPr>
          <w:rFonts w:ascii="Arial" w:cs="Arial" w:eastAsia="Arial" w:hAnsi="Arial"/>
          <w:sz w:val="18"/>
          <w:szCs w:val="18"/>
          <w:i w:val="1"/>
          <w:iCs w:val="1"/>
          <w:color w:val="auto"/>
        </w:rPr>
        <w:t xml:space="preserve">Gaming Revenues and Pari-Mutuel Commissions. </w:t>
      </w:r>
      <w:r>
        <w:rPr>
          <w:rFonts w:ascii="Arial" w:cs="Arial" w:eastAsia="Arial" w:hAnsi="Arial"/>
          <w:sz w:val="18"/>
          <w:szCs w:val="18"/>
          <w:color w:val="auto"/>
        </w:rPr>
        <w:t>For the year ended December 31, 2018 compared to 2017, Isle, Elgin and Tropicana contributed</w:t>
      </w:r>
      <w:r>
        <w:rPr>
          <w:rFonts w:ascii="Arial" w:cs="Arial" w:eastAsia="Arial" w:hAnsi="Arial"/>
          <w:sz w:val="18"/>
          <w:szCs w:val="18"/>
          <w:i w:val="1"/>
          <w:iCs w:val="1"/>
          <w:color w:val="auto"/>
        </w:rPr>
        <w:t xml:space="preserve"> </w:t>
      </w:r>
      <w:r>
        <w:rPr>
          <w:rFonts w:ascii="Arial" w:cs="Arial" w:eastAsia="Arial" w:hAnsi="Arial"/>
          <w:sz w:val="18"/>
          <w:szCs w:val="18"/>
          <w:color w:val="auto"/>
        </w:rPr>
        <w:t>$454.7 million of gaming and pari-mutuel commissions driving a 41.3% year over year increase. Excluding these incremental revenues, gaming and pari-mutuel commissions were flat for the year ended December 31, 2018 compared to 2017.</w:t>
      </w:r>
    </w:p>
    <w:p>
      <w:pPr>
        <w:spacing w:after="0" w:line="222" w:lineRule="exact"/>
        <w:rPr>
          <w:sz w:val="20"/>
          <w:szCs w:val="20"/>
          <w:color w:val="auto"/>
        </w:rPr>
      </w:pPr>
    </w:p>
    <w:p>
      <w:pPr>
        <w:ind w:right="140" w:firstLine="555"/>
        <w:spacing w:after="0" w:line="264" w:lineRule="auto"/>
        <w:rPr>
          <w:sz w:val="20"/>
          <w:szCs w:val="20"/>
          <w:color w:val="auto"/>
        </w:rPr>
      </w:pPr>
      <w:r>
        <w:rPr>
          <w:rFonts w:ascii="Arial" w:cs="Arial" w:eastAsia="Arial" w:hAnsi="Arial"/>
          <w:sz w:val="18"/>
          <w:szCs w:val="18"/>
          <w:i w:val="1"/>
          <w:iCs w:val="1"/>
          <w:color w:val="auto"/>
        </w:rPr>
        <w:t>Non-gaming Revenues</w:t>
      </w:r>
      <w:r>
        <w:rPr>
          <w:rFonts w:ascii="Arial" w:cs="Arial" w:eastAsia="Arial" w:hAnsi="Arial"/>
          <w:sz w:val="18"/>
          <w:szCs w:val="18"/>
          <w:color w:val="auto"/>
        </w:rPr>
        <w:t>. For the year ended December 31, 2018 compared to 2017, Isle, Elgin and Tropicana contributed $121.0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incremental non-gaming revenues resulting in an increase of 31.7% year over year. Excluding these incremental revenues, non-gaming revenues for the year ended December 31, 2018 compared to 2017 remained flat.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4" w:name="page45"/>
    <w:bookmarkEnd w:id="44"/>
    <w:p>
      <w:pPr>
        <w:ind w:right="40" w:firstLine="555"/>
        <w:spacing w:after="0" w:line="257" w:lineRule="auto"/>
        <w:rPr>
          <w:sz w:val="20"/>
          <w:szCs w:val="20"/>
          <w:color w:val="auto"/>
        </w:rPr>
      </w:pPr>
      <w:r>
        <w:rPr>
          <w:rFonts w:ascii="Arial" w:cs="Arial" w:eastAsia="Arial" w:hAnsi="Arial"/>
          <w:sz w:val="18"/>
          <w:szCs w:val="18"/>
          <w:i w:val="1"/>
          <w:iCs w:val="1"/>
          <w:color w:val="auto"/>
        </w:rPr>
        <w:t>Gaming Expenses and Pari-Mutuel Commissions</w:t>
      </w:r>
      <w:r>
        <w:rPr>
          <w:rFonts w:ascii="Arial" w:cs="Arial" w:eastAsia="Arial" w:hAnsi="Arial"/>
          <w:sz w:val="18"/>
          <w:szCs w:val="18"/>
          <w:color w:val="auto"/>
        </w:rPr>
        <w:t>. For the year ended December 31, 2018 compared to 2017, Isle, Elgin and Tropicana contributed</w:t>
      </w:r>
      <w:r>
        <w:rPr>
          <w:rFonts w:ascii="Arial" w:cs="Arial" w:eastAsia="Arial" w:hAnsi="Arial"/>
          <w:sz w:val="18"/>
          <w:szCs w:val="18"/>
          <w:i w:val="1"/>
          <w:iCs w:val="1"/>
          <w:color w:val="auto"/>
        </w:rPr>
        <w:t xml:space="preserve"> </w:t>
      </w:r>
      <w:r>
        <w:rPr>
          <w:rFonts w:ascii="Arial" w:cs="Arial" w:eastAsia="Arial" w:hAnsi="Arial"/>
          <w:sz w:val="18"/>
          <w:szCs w:val="18"/>
          <w:color w:val="auto"/>
        </w:rPr>
        <w:t>$197.5 million of incremental gaming and pari-mutuel commissions resulting in an increase of 33.5% year over year. Excluding these incremental expenses, gaming and pari-mutuel commissions declined 1.7% for the year ended December 31, 2018 compared to 2017 mainly due to savings initiatives targeted at reducing variable expenses. Successful efforts to control costs and maximize departmental profit across all segments also drove the margin improvements for the year ended December 31, 2018 compared to 2017.</w:t>
      </w:r>
    </w:p>
    <w:p>
      <w:pPr>
        <w:spacing w:after="0" w:line="188" w:lineRule="exact"/>
        <w:rPr>
          <w:sz w:val="20"/>
          <w:szCs w:val="20"/>
          <w:color w:val="auto"/>
        </w:rPr>
      </w:pPr>
    </w:p>
    <w:p>
      <w:pPr>
        <w:ind w:right="100" w:firstLine="555"/>
        <w:spacing w:after="0" w:line="279" w:lineRule="auto"/>
        <w:rPr>
          <w:sz w:val="20"/>
          <w:szCs w:val="20"/>
          <w:color w:val="auto"/>
        </w:rPr>
      </w:pPr>
      <w:r>
        <w:rPr>
          <w:rFonts w:ascii="Arial" w:cs="Arial" w:eastAsia="Arial" w:hAnsi="Arial"/>
          <w:sz w:val="17"/>
          <w:szCs w:val="17"/>
          <w:i w:val="1"/>
          <w:iCs w:val="1"/>
          <w:color w:val="auto"/>
        </w:rPr>
        <w:t xml:space="preserve">Non-gaming Expenses. </w:t>
      </w:r>
      <w:r>
        <w:rPr>
          <w:rFonts w:ascii="Arial" w:cs="Arial" w:eastAsia="Arial" w:hAnsi="Arial"/>
          <w:sz w:val="17"/>
          <w:szCs w:val="17"/>
          <w:color w:val="auto"/>
        </w:rPr>
        <w:t>For the year ended December 31, 2018 compared to 2017, Isle, Elgin and Tropicana contributed $74.2 million of incremental</w:t>
      </w:r>
      <w:r>
        <w:rPr>
          <w:rFonts w:ascii="Arial" w:cs="Arial" w:eastAsia="Arial" w:hAnsi="Arial"/>
          <w:sz w:val="17"/>
          <w:szCs w:val="17"/>
          <w:i w:val="1"/>
          <w:iCs w:val="1"/>
          <w:color w:val="auto"/>
        </w:rPr>
        <w:t xml:space="preserve"> </w:t>
      </w:r>
      <w:r>
        <w:rPr>
          <w:rFonts w:ascii="Arial" w:cs="Arial" w:eastAsia="Arial" w:hAnsi="Arial"/>
          <w:sz w:val="17"/>
          <w:szCs w:val="17"/>
          <w:color w:val="auto"/>
        </w:rPr>
        <w:t>non-gaming expenses resulting in an increase of 21.3% year over year. Excluding incremental expenses, non-gaming expenses declined 8.1% for the year ended December 31, 2018 compared to 2017. This decrease was attributable to continued efforts to reduce variable costs with a focus on labor, food and beverage cost of sales, marketing spend and synergies achieved via company-wide purchasing consolidation programs.</w:t>
      </w:r>
    </w:p>
    <w:p>
      <w:pPr>
        <w:spacing w:after="0" w:line="171"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i w:val="1"/>
          <w:iCs w:val="1"/>
          <w:color w:val="auto"/>
        </w:rPr>
        <w:t>Marketing and Promotions Expenses</w:t>
      </w:r>
      <w:r>
        <w:rPr>
          <w:rFonts w:ascii="Arial" w:cs="Arial" w:eastAsia="Arial" w:hAnsi="Arial"/>
          <w:sz w:val="17"/>
          <w:szCs w:val="17"/>
          <w:color w:val="auto"/>
        </w:rPr>
        <w:t>. For the year ended December 31, 2018 compared to 2017, Isle, Elgin and Tropicana contributed $35.6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of incremental marketing and promotions expenses resulting in an increase of 27.6% year over year. Excluding these incremental expenses, marketing and promotions declined 15.1% for the year ended December 31, 2018 compared to 2017 mainly due to synergies achieved via the elimination or consolidation of certain marketing contracts and company-wide reductions in marketing, direct mail and promotional spend.</w:t>
      </w:r>
    </w:p>
    <w:p>
      <w:pPr>
        <w:spacing w:after="0" w:line="171" w:lineRule="exact"/>
        <w:rPr>
          <w:sz w:val="20"/>
          <w:szCs w:val="20"/>
          <w:color w:val="auto"/>
        </w:rPr>
      </w:pPr>
    </w:p>
    <w:p>
      <w:pPr>
        <w:ind w:right="180" w:firstLine="555"/>
        <w:spacing w:after="0" w:line="259"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Isle, Elgin and Tropicana contributed $114.8 million of incremental general and administrative expenses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2018 compared to 2017 resulting in an increase of 45.0% year over year. Excluding these incremental expenses, general and administrative expenses declined 2.6% for the year ended December 31, 2018 compared to 2017 primarily due to the centralization of certain corporate services provided to our properties and realized savings.</w:t>
      </w:r>
    </w:p>
    <w:p>
      <w:pPr>
        <w:spacing w:after="0" w:line="227"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i w:val="1"/>
          <w:iCs w:val="1"/>
          <w:color w:val="auto"/>
        </w:rPr>
        <w:t>Corporate Expenses</w:t>
      </w:r>
      <w:r>
        <w:rPr>
          <w:rFonts w:ascii="Arial" w:cs="Arial" w:eastAsia="Arial" w:hAnsi="Arial"/>
          <w:sz w:val="18"/>
          <w:szCs w:val="18"/>
          <w:color w:val="auto"/>
        </w:rPr>
        <w:t>. For the year ended December 31, 2018 compared to 2017, corporate expenses increased $15.9 million, a 51.7% increase year</w:t>
      </w:r>
      <w:r>
        <w:rPr>
          <w:rFonts w:ascii="Arial" w:cs="Arial" w:eastAsia="Arial" w:hAnsi="Arial"/>
          <w:sz w:val="18"/>
          <w:szCs w:val="18"/>
          <w:i w:val="1"/>
          <w:iCs w:val="1"/>
          <w:color w:val="auto"/>
        </w:rPr>
        <w:t xml:space="preserve"> </w:t>
      </w:r>
      <w:r>
        <w:rPr>
          <w:rFonts w:ascii="Arial" w:cs="Arial" w:eastAsia="Arial" w:hAnsi="Arial"/>
          <w:sz w:val="18"/>
          <w:szCs w:val="18"/>
          <w:color w:val="auto"/>
        </w:rPr>
        <w:t>over year, due to higher payroll and other expenses associated with additional corporate costs, including stock compensation expense, associated with growth related to our acquisitions.</w:t>
      </w:r>
    </w:p>
    <w:p>
      <w:pPr>
        <w:spacing w:after="0" w:line="181" w:lineRule="exact"/>
        <w:rPr>
          <w:sz w:val="20"/>
          <w:szCs w:val="20"/>
          <w:color w:val="auto"/>
        </w:rPr>
      </w:pPr>
    </w:p>
    <w:p>
      <w:pPr>
        <w:ind w:right="180" w:firstLine="555"/>
        <w:spacing w:after="0" w:line="264" w:lineRule="auto"/>
        <w:rPr>
          <w:sz w:val="20"/>
          <w:szCs w:val="20"/>
          <w:color w:val="auto"/>
        </w:rPr>
      </w:pPr>
      <w:r>
        <w:rPr>
          <w:rFonts w:ascii="Arial" w:cs="Arial" w:eastAsia="Arial" w:hAnsi="Arial"/>
          <w:sz w:val="18"/>
          <w:szCs w:val="18"/>
          <w:i w:val="1"/>
          <w:iCs w:val="1"/>
          <w:color w:val="auto"/>
        </w:rPr>
        <w:t xml:space="preserve">Impairment Charges. </w:t>
      </w:r>
      <w:r>
        <w:rPr>
          <w:rFonts w:ascii="Arial" w:cs="Arial" w:eastAsia="Arial" w:hAnsi="Arial"/>
          <w:sz w:val="18"/>
          <w:szCs w:val="18"/>
          <w:color w:val="auto"/>
        </w:rPr>
        <w:t>Based on the pending disposition, we recorded an impairment charge for the year ended December 31, 2018 totaling $3.8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related to our Nemacolin property. Additionally, in conjunction with the classification of Vicksburg’s operations as assets held for sale, we recorded an impairment charge totaling $9.8 million.</w:t>
      </w:r>
    </w:p>
    <w:p>
      <w:pPr>
        <w:spacing w:after="0" w:line="181" w:lineRule="exact"/>
        <w:rPr>
          <w:sz w:val="20"/>
          <w:szCs w:val="20"/>
          <w:color w:val="auto"/>
        </w:rPr>
      </w:pPr>
    </w:p>
    <w:p>
      <w:pPr>
        <w:ind w:right="100" w:firstLine="555"/>
        <w:spacing w:after="0" w:line="286" w:lineRule="auto"/>
        <w:rPr>
          <w:sz w:val="20"/>
          <w:szCs w:val="20"/>
          <w:color w:val="auto"/>
        </w:rPr>
      </w:pPr>
      <w:r>
        <w:rPr>
          <w:rFonts w:ascii="Arial" w:cs="Arial" w:eastAsia="Arial" w:hAnsi="Arial"/>
          <w:sz w:val="17"/>
          <w:szCs w:val="17"/>
          <w:i w:val="1"/>
          <w:iCs w:val="1"/>
          <w:color w:val="auto"/>
        </w:rPr>
        <w:t>Depreciation and Amortization Expense</w:t>
      </w:r>
      <w:r>
        <w:rPr>
          <w:rFonts w:ascii="Arial" w:cs="Arial" w:eastAsia="Arial" w:hAnsi="Arial"/>
          <w:sz w:val="17"/>
          <w:szCs w:val="17"/>
          <w:color w:val="auto"/>
        </w:rPr>
        <w:t>. Isle, Elgin and Tropicana contributed $50.1 million of incremental depreciation and amortization expense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year ended December 31, 2018 resulting in an increase of 48.7% over 2017. Excluding the incremental expense, depreciation and amortization expense rose 1.3% for the year ended December 31, 2018 compared to 2017 mainly due to asset additions at our three Reno properties.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Year Ended December 31, 2017 Compared to the Year Ended December 31, 2016</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revenues and operating expenses were as follows (dollars in thousands):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Variance</w:t>
            </w:r>
          </w:p>
        </w:tc>
        <w:tc>
          <w:tcPr>
            <w:tcW w:w="1200" w:type="dxa"/>
            <w:vAlign w:val="bottom"/>
          </w:tcPr>
          <w:p>
            <w:pPr>
              <w:jc w:val="right"/>
              <w:ind w:right="331"/>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0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Gaming and Pari-Mutuel Commissions:</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1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186,779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121,623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65,156</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53.6</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Midwest</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231,366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231,366</w:t>
            </w:r>
          </w:p>
        </w:tc>
        <w:tc>
          <w:tcPr>
            <w:tcW w:w="24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100.0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South</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268,680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92,108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176,572</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191.7</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East</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412,202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386,284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25,918</w:t>
            </w:r>
          </w:p>
        </w:tc>
        <w:tc>
          <w:tcPr>
            <w:tcW w:w="24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6.7</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Central</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46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Gaming and Pari-Mutuel Commissions</w:t>
            </w:r>
          </w:p>
        </w:tc>
        <w:tc>
          <w:tcPr>
            <w:tcW w:w="10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1,099,027</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600,015</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499,012</w:t>
            </w:r>
          </w:p>
        </w:tc>
        <w:tc>
          <w:tcPr>
            <w:tcW w:w="24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jc w:val="right"/>
              <w:ind w:right="31"/>
              <w:spacing w:after="0"/>
              <w:rPr>
                <w:sz w:val="20"/>
                <w:szCs w:val="20"/>
                <w:color w:val="auto"/>
              </w:rPr>
            </w:pPr>
            <w:r>
              <w:rPr>
                <w:rFonts w:ascii="Arial" w:cs="Arial" w:eastAsia="Arial" w:hAnsi="Arial"/>
                <w:sz w:val="18"/>
                <w:szCs w:val="18"/>
                <w:color w:val="auto"/>
              </w:rPr>
              <w:t>83.2</w:t>
            </w:r>
          </w:p>
        </w:tc>
        <w:tc>
          <w:tcPr>
            <w:tcW w:w="2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74"/>
              </w:rPr>
              <w:t>%</w:t>
            </w:r>
          </w:p>
        </w:tc>
      </w:tr>
      <w:tr>
        <w:trPr>
          <w:trHeight w:val="223"/>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Non-gaming:</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West</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223,540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205,918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17,622</w:t>
            </w:r>
          </w:p>
        </w:tc>
        <w:tc>
          <w:tcPr>
            <w:tcW w:w="24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8.6</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37,513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37,513</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South</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69,579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41,449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28,130</w:t>
            </w:r>
          </w:p>
        </w:tc>
        <w:tc>
          <w:tcPr>
            <w:tcW w:w="24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67.9</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East</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50,633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53,083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(2,450)</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 %</w:t>
            </w: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Central</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r>
      <w:tr>
        <w:trPr>
          <w:trHeight w:val="223"/>
        </w:trPr>
        <w:tc>
          <w:tcPr>
            <w:tcW w:w="46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Non-gaming</w:t>
            </w:r>
          </w:p>
        </w:tc>
        <w:tc>
          <w:tcPr>
            <w:tcW w:w="10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381,771</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300,450</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81,321</w:t>
            </w:r>
          </w:p>
        </w:tc>
        <w:tc>
          <w:tcPr>
            <w:tcW w:w="24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jc w:val="right"/>
              <w:ind w:right="31"/>
              <w:spacing w:after="0"/>
              <w:rPr>
                <w:sz w:val="20"/>
                <w:szCs w:val="20"/>
                <w:color w:val="auto"/>
              </w:rPr>
            </w:pPr>
            <w:r>
              <w:rPr>
                <w:rFonts w:ascii="Arial" w:cs="Arial" w:eastAsia="Arial" w:hAnsi="Arial"/>
                <w:sz w:val="18"/>
                <w:szCs w:val="18"/>
                <w:color w:val="auto"/>
              </w:rPr>
              <w:t>27.1</w:t>
            </w:r>
          </w:p>
        </w:tc>
        <w:tc>
          <w:tcPr>
            <w:tcW w:w="2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74"/>
              </w:rPr>
              <w:t>%</w:t>
            </w:r>
          </w:p>
        </w:tc>
      </w:tr>
      <w:tr>
        <w:trPr>
          <w:trHeight w:val="223"/>
        </w:trPr>
        <w:tc>
          <w:tcPr>
            <w:tcW w:w="468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Total Net Revenues</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1,480,798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900,465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580,333</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64.4</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46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Gaming and Pari-Mutuel Commissions:</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West</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73,304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55,092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18,212</w:t>
            </w:r>
          </w:p>
        </w:tc>
        <w:tc>
          <w:tcPr>
            <w:tcW w:w="24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33.1</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96,989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96,989</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South</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134,661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51,712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82,949</w:t>
            </w:r>
          </w:p>
        </w:tc>
        <w:tc>
          <w:tcPr>
            <w:tcW w:w="24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160.4</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East</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256,135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245,416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10,719</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Central</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468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Gaming and Pari-Mutuel Commissions</w:t>
            </w:r>
          </w:p>
        </w:tc>
        <w:tc>
          <w:tcPr>
            <w:tcW w:w="10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561,089</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352,220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208,869</w:t>
            </w: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rPr>
              <w:t>59.3</w:t>
            </w:r>
          </w:p>
        </w:tc>
        <w:tc>
          <w:tcPr>
            <w:tcW w:w="2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Non-gaming</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141,510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130,981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10,529</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Midwest</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26,271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26,271</w:t>
            </w:r>
          </w:p>
        </w:tc>
        <w:tc>
          <w:tcPr>
            <w:tcW w:w="24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100.0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South</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49,280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24,141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25,139</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104.1</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East</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35,518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39,464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(3,946)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Central</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46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Non-gaming</w:t>
            </w:r>
          </w:p>
        </w:tc>
        <w:tc>
          <w:tcPr>
            <w:tcW w:w="10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252,579</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194,586</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57,993</w:t>
            </w:r>
          </w:p>
        </w:tc>
        <w:tc>
          <w:tcPr>
            <w:tcW w:w="24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jc w:val="right"/>
              <w:ind w:right="31"/>
              <w:spacing w:after="0"/>
              <w:rPr>
                <w:sz w:val="20"/>
                <w:szCs w:val="20"/>
                <w:color w:val="auto"/>
              </w:rPr>
            </w:pPr>
            <w:r>
              <w:rPr>
                <w:rFonts w:ascii="Arial" w:cs="Arial" w:eastAsia="Arial" w:hAnsi="Arial"/>
                <w:sz w:val="18"/>
                <w:szCs w:val="18"/>
                <w:color w:val="auto"/>
              </w:rPr>
              <w:t>29.8</w:t>
            </w:r>
          </w:p>
        </w:tc>
        <w:tc>
          <w:tcPr>
            <w:tcW w:w="2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74"/>
              </w:rPr>
              <w:t>%</w:t>
            </w:r>
          </w:p>
        </w:tc>
      </w:tr>
      <w:tr>
        <w:trPr>
          <w:trHeight w:val="223"/>
        </w:trPr>
        <w:tc>
          <w:tcPr>
            <w:tcW w:w="46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Marketing and promotions</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83,174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40,890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42,284</w:t>
            </w:r>
          </w:p>
        </w:tc>
        <w:tc>
          <w:tcPr>
            <w:tcW w:w="24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103.4</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241,037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130,720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110,317</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84.4</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30,739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19,880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10,859</w:t>
            </w:r>
          </w:p>
        </w:tc>
        <w:tc>
          <w:tcPr>
            <w:tcW w:w="24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54.6</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charges</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38,016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38,016</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4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105,891</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63,449</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42,442</w:t>
            </w:r>
          </w:p>
        </w:tc>
        <w:tc>
          <w:tcPr>
            <w:tcW w:w="24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jc w:val="right"/>
              <w:ind w:right="31"/>
              <w:spacing w:after="0"/>
              <w:rPr>
                <w:sz w:val="20"/>
                <w:szCs w:val="20"/>
                <w:color w:val="auto"/>
              </w:rPr>
            </w:pPr>
            <w:r>
              <w:rPr>
                <w:rFonts w:ascii="Arial" w:cs="Arial" w:eastAsia="Arial" w:hAnsi="Arial"/>
                <w:sz w:val="18"/>
                <w:szCs w:val="18"/>
                <w:color w:val="auto"/>
              </w:rPr>
              <w:t>66.9</w:t>
            </w:r>
          </w:p>
        </w:tc>
        <w:tc>
          <w:tcPr>
            <w:tcW w:w="2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74"/>
              </w:rPr>
              <w:t>%</w:t>
            </w:r>
          </w:p>
        </w:tc>
      </w:tr>
      <w:tr>
        <w:trPr>
          <w:trHeight w:val="223"/>
        </w:trPr>
        <w:tc>
          <w:tcPr>
            <w:tcW w:w="4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10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1,312,525</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801,745</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510,780</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63.7</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r>
    </w:tbl>
    <w:p>
      <w:pPr>
        <w:spacing w:after="0" w:line="161" w:lineRule="exact"/>
        <w:rPr>
          <w:sz w:val="20"/>
          <w:szCs w:val="20"/>
          <w:color w:val="auto"/>
        </w:rPr>
      </w:pPr>
    </w:p>
    <w:p>
      <w:pPr>
        <w:ind w:right="260" w:firstLine="555"/>
        <w:spacing w:after="0" w:line="342" w:lineRule="auto"/>
        <w:rPr>
          <w:sz w:val="20"/>
          <w:szCs w:val="20"/>
          <w:color w:val="auto"/>
        </w:rPr>
      </w:pPr>
      <w:r>
        <w:rPr>
          <w:rFonts w:ascii="Arial" w:cs="Arial" w:eastAsia="Arial" w:hAnsi="Arial"/>
          <w:sz w:val="16"/>
          <w:szCs w:val="16"/>
          <w:i w:val="1"/>
          <w:iCs w:val="1"/>
          <w:color w:val="auto"/>
        </w:rPr>
        <w:t xml:space="preserve">Gaming Revenues and Pari-Mutuel Commissions. </w:t>
      </w:r>
      <w:r>
        <w:rPr>
          <w:rFonts w:ascii="Arial" w:cs="Arial" w:eastAsia="Arial" w:hAnsi="Arial"/>
          <w:sz w:val="16"/>
          <w:szCs w:val="16"/>
          <w:color w:val="auto"/>
        </w:rPr>
        <w:t>Isle contributed $504.2 million of gaming revenues and pari-mutuel commissions for the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date we acquired Isle through December 31, 2017 resulting in an increase of 83.2% for the year ended December 31, 2017 compared to 2016.</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6" w:name="page47"/>
    <w:bookmarkEnd w:id="46"/>
    <w:p>
      <w:pPr>
        <w:ind w:right="60" w:firstLine="555"/>
        <w:spacing w:after="0" w:line="271" w:lineRule="auto"/>
        <w:rPr>
          <w:sz w:val="20"/>
          <w:szCs w:val="20"/>
          <w:color w:val="auto"/>
        </w:rPr>
      </w:pPr>
      <w:r>
        <w:rPr>
          <w:rFonts w:ascii="Arial" w:cs="Arial" w:eastAsia="Arial" w:hAnsi="Arial"/>
          <w:sz w:val="17"/>
          <w:szCs w:val="17"/>
          <w:color w:val="auto"/>
        </w:rPr>
        <w:t>Excluding incremental Isle gaming revenues and pari-mutuel commissions of $504.2 million, gaming revenues declined 0.9% for the year ended December 31, 2017 compared to 2016 primarily due to a decrease in gaming revenues across all segments. The decline in the West segment was mainly attributable to decreases in visitor traffic due to severe weather the northern Nevada region experienced throughout the first quarter of 2017 that resulted in limited access from our main feeder markets combined with the absence of a major bowling tournament in the Reno market. Additionally, reductions in gaming volume driven by decreased high-end play, the continued weakness in the energy sector and historically lower table games hold percentage impacted the Shreveport market and severe weather in the third quarter of 2017 negatively impacted the South segment in 2017. Efforts to eliminate unprofitable gaming play via reductions in marketing promotions and incentives across the properties also contributed to the declines in casino volume and positively impacted margins across all segments.</w:t>
      </w:r>
    </w:p>
    <w:p>
      <w:pPr>
        <w:spacing w:after="0" w:line="179"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i w:val="1"/>
          <w:iCs w:val="1"/>
          <w:color w:val="auto"/>
        </w:rPr>
        <w:t>Non-gaming Revenues</w:t>
      </w:r>
      <w:r>
        <w:rPr>
          <w:rFonts w:ascii="Arial" w:cs="Arial" w:eastAsia="Arial" w:hAnsi="Arial"/>
          <w:sz w:val="18"/>
          <w:szCs w:val="18"/>
          <w:color w:val="auto"/>
        </w:rPr>
        <w:t>. Isle contributed $96.0 million of non-gaming revenues for the period from the date we acquired Isle through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2017 resulting in an increase of 27.1% over 2016.</w:t>
      </w:r>
    </w:p>
    <w:p>
      <w:pPr>
        <w:spacing w:after="0" w:line="170" w:lineRule="exact"/>
        <w:rPr>
          <w:sz w:val="20"/>
          <w:szCs w:val="20"/>
          <w:color w:val="auto"/>
        </w:rPr>
      </w:pPr>
    </w:p>
    <w:p>
      <w:pPr>
        <w:ind w:right="40" w:firstLine="555"/>
        <w:spacing w:after="0" w:line="271" w:lineRule="auto"/>
        <w:rPr>
          <w:sz w:val="20"/>
          <w:szCs w:val="20"/>
          <w:color w:val="auto"/>
        </w:rPr>
      </w:pPr>
      <w:r>
        <w:rPr>
          <w:rFonts w:ascii="Arial" w:cs="Arial" w:eastAsia="Arial" w:hAnsi="Arial"/>
          <w:sz w:val="17"/>
          <w:szCs w:val="17"/>
          <w:color w:val="auto"/>
        </w:rPr>
        <w:t>Excluding incremental Isle non-gaming revenues of $96.0 million, non-gaming revenues decreased 4.9% for the year ended December 31, 2017 compared to 2016. The West segment declined for the year ended December 31, 2017 compared to 2016 principally due to lower hotel, food and beverage revenues resulting from reduced customer traffic due to fewer convention room nights, severe weather in the northern Nevada region throughout the first quarter of 2017 and the absence of a major bowling tournament during 2017. The South segment decrease in non-gaming revenues for the year ended December 31, 2017 compared to 2016 was primarily due to decreased food and beverage revenues associated with revisions to marketing strategies resulting in fewer complimentary food offers and severe weather negatively impacting visitation in 2017. Non-gaming revenues in the East segment decreased for the year ended December 31, 2017 compared to 2016 primarily due to decreased food and beverage revenues resulting from reductions in complimentary food offers and the consolidation of restaurants in an effort to maximize capacity utilization.</w:t>
      </w:r>
    </w:p>
    <w:p>
      <w:pPr>
        <w:spacing w:after="0" w:line="179"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i w:val="1"/>
          <w:iCs w:val="1"/>
          <w:color w:val="auto"/>
        </w:rPr>
        <w:t>Gaming Expenses and Pari-Mutuel Commissions</w:t>
      </w:r>
      <w:r>
        <w:rPr>
          <w:rFonts w:ascii="Arial" w:cs="Arial" w:eastAsia="Arial" w:hAnsi="Arial"/>
          <w:sz w:val="18"/>
          <w:szCs w:val="18"/>
          <w:color w:val="auto"/>
        </w:rPr>
        <w:t>. Isle contributed $228.2 million of gaming expenses and pari-mutuel commissions for the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date we acquired Isle through December 31, 2017 resulting in an increase of 59.3% over 2016.</w:t>
      </w:r>
    </w:p>
    <w:p>
      <w:pPr>
        <w:spacing w:after="0" w:line="170" w:lineRule="exact"/>
        <w:rPr>
          <w:sz w:val="20"/>
          <w:szCs w:val="20"/>
          <w:color w:val="auto"/>
        </w:rPr>
      </w:pPr>
    </w:p>
    <w:p>
      <w:pPr>
        <w:ind w:right="220" w:firstLine="555"/>
        <w:spacing w:after="0" w:line="302" w:lineRule="auto"/>
        <w:rPr>
          <w:sz w:val="20"/>
          <w:szCs w:val="20"/>
          <w:color w:val="auto"/>
        </w:rPr>
      </w:pPr>
      <w:r>
        <w:rPr>
          <w:rFonts w:ascii="Arial" w:cs="Arial" w:eastAsia="Arial" w:hAnsi="Arial"/>
          <w:sz w:val="16"/>
          <w:szCs w:val="16"/>
          <w:color w:val="auto"/>
        </w:rPr>
        <w:t>Excluding incremental Isle gaming expenses and pari-mutuel commissions, gaming expenses and pari-mutuel commissions decreased 5.5% for the year ended December 31, 2017 compared to 2016 primarily due to decreases in gaming volume combined with savings initiatives targeted at reducing variable expenses along with continued synergies related to the integration of the Reno properties in the West segment. Additionally, successful efforts to control costs and maximize departmental profit across all segments also drove the decline in expenses during the current period.</w:t>
      </w:r>
    </w:p>
    <w:p>
      <w:pPr>
        <w:spacing w:after="0" w:line="154" w:lineRule="exact"/>
        <w:rPr>
          <w:sz w:val="20"/>
          <w:szCs w:val="20"/>
          <w:color w:val="auto"/>
        </w:rPr>
      </w:pPr>
    </w:p>
    <w:p>
      <w:pPr>
        <w:ind w:right="240" w:firstLine="555"/>
        <w:spacing w:after="0" w:line="277" w:lineRule="auto"/>
        <w:rPr>
          <w:sz w:val="20"/>
          <w:szCs w:val="20"/>
          <w:color w:val="auto"/>
        </w:rPr>
      </w:pPr>
      <w:r>
        <w:rPr>
          <w:rFonts w:ascii="Arial" w:cs="Arial" w:eastAsia="Arial" w:hAnsi="Arial"/>
          <w:sz w:val="18"/>
          <w:szCs w:val="18"/>
          <w:i w:val="1"/>
          <w:iCs w:val="1"/>
          <w:color w:val="auto"/>
        </w:rPr>
        <w:t xml:space="preserve">Non-gaming Expenses. </w:t>
      </w:r>
      <w:r>
        <w:rPr>
          <w:rFonts w:ascii="Arial" w:cs="Arial" w:eastAsia="Arial" w:hAnsi="Arial"/>
          <w:sz w:val="18"/>
          <w:szCs w:val="18"/>
          <w:color w:val="auto"/>
        </w:rPr>
        <w:t>Isle contributed $71.4 million of non-gaming expenses for the period from the date we acquired Isle through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2017 resulting in an increase of 29.8% over 2016.</w:t>
      </w:r>
    </w:p>
    <w:p>
      <w:pPr>
        <w:spacing w:after="0" w:line="170" w:lineRule="exact"/>
        <w:rPr>
          <w:sz w:val="20"/>
          <w:szCs w:val="20"/>
          <w:color w:val="auto"/>
        </w:rPr>
      </w:pPr>
    </w:p>
    <w:p>
      <w:pPr>
        <w:ind w:right="80" w:firstLine="555"/>
        <w:spacing w:after="0" w:line="308" w:lineRule="auto"/>
        <w:rPr>
          <w:sz w:val="20"/>
          <w:szCs w:val="20"/>
          <w:color w:val="auto"/>
        </w:rPr>
      </w:pPr>
      <w:r>
        <w:rPr>
          <w:rFonts w:ascii="Arial" w:cs="Arial" w:eastAsia="Arial" w:hAnsi="Arial"/>
          <w:sz w:val="17"/>
          <w:szCs w:val="17"/>
          <w:color w:val="auto"/>
        </w:rPr>
        <w:t>Excluding incremental Isle non-gaming expenses, non-gaming expenses decreased 6.9% for the year ended December 31, 2017 compared to 2016 in conjunction with non-gaming revenue declines and successful efforts to control costs and maximize profit across all segments.</w:t>
      </w:r>
    </w:p>
    <w:p>
      <w:pPr>
        <w:spacing w:after="0" w:line="147"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i w:val="1"/>
          <w:iCs w:val="1"/>
          <w:color w:val="auto"/>
        </w:rPr>
        <w:t>Marketing and Promotions Expenses</w:t>
      </w:r>
      <w:r>
        <w:rPr>
          <w:rFonts w:ascii="Arial" w:cs="Arial" w:eastAsia="Arial" w:hAnsi="Arial"/>
          <w:sz w:val="18"/>
          <w:szCs w:val="18"/>
          <w:color w:val="auto"/>
        </w:rPr>
        <w:t>. Isle contributed $36.4 million of marketing and promotions expense for the period from the date we acquired</w:t>
      </w:r>
      <w:r>
        <w:rPr>
          <w:rFonts w:ascii="Arial" w:cs="Arial" w:eastAsia="Arial" w:hAnsi="Arial"/>
          <w:sz w:val="18"/>
          <w:szCs w:val="18"/>
          <w:i w:val="1"/>
          <w:iCs w:val="1"/>
          <w:color w:val="auto"/>
        </w:rPr>
        <w:t xml:space="preserve"> </w:t>
      </w:r>
      <w:r>
        <w:rPr>
          <w:rFonts w:ascii="Arial" w:cs="Arial" w:eastAsia="Arial" w:hAnsi="Arial"/>
          <w:sz w:val="18"/>
          <w:szCs w:val="18"/>
          <w:color w:val="auto"/>
        </w:rPr>
        <w:t>Isle through December 31, 2017 resulting in an increase of 103.4% over 2016.</w:t>
      </w:r>
    </w:p>
    <w:p>
      <w:pPr>
        <w:spacing w:after="0" w:line="170"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color w:val="auto"/>
        </w:rPr>
        <w:t>Excluding incremental Isle marketing and promotions expenses, consolidated marketing and promotions expense increased 14.4% for the year ended December 31, 2017 compared to 2016. This increase was primarily attributable to marketing promotional costs associated with casino initiatives that are charged to this category to provide consistency among properties following our acquisition of Isle.</w:t>
      </w:r>
    </w:p>
    <w:p>
      <w:pPr>
        <w:spacing w:after="0" w:line="181"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Isle contributed $113.6 million of general and administrative expense for the period from the date we acquired</w:t>
      </w:r>
      <w:r>
        <w:rPr>
          <w:rFonts w:ascii="Arial" w:cs="Arial" w:eastAsia="Arial" w:hAnsi="Arial"/>
          <w:sz w:val="18"/>
          <w:szCs w:val="18"/>
          <w:i w:val="1"/>
          <w:iCs w:val="1"/>
          <w:color w:val="auto"/>
        </w:rPr>
        <w:t xml:space="preserve"> </w:t>
      </w:r>
      <w:r>
        <w:rPr>
          <w:rFonts w:ascii="Arial" w:cs="Arial" w:eastAsia="Arial" w:hAnsi="Arial"/>
          <w:sz w:val="18"/>
          <w:szCs w:val="18"/>
          <w:color w:val="auto"/>
        </w:rPr>
        <w:t>Isle through December 31, 2017 resulting in an increase of 84.4% over 2016.</w:t>
      </w:r>
    </w:p>
    <w:p>
      <w:pPr>
        <w:spacing w:after="0" w:line="170"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Excluding incremental Isle general and administrative expenses, consolidated general and administrative expenses decreased 2.5% for the year ended December 31, 2017 compared to 2016. Savings associated with lower property and general liability insurance costs were partially offset by higher expenses associated with information systems maintenance contracts and professional services. These incremental costs resulted from information technology infrastructure projects targeted at consolidating systems for future savings and efficiencies.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47" w:name="page48"/>
    <w:bookmarkEnd w:id="47"/>
    <w:p>
      <w:pPr>
        <w:ind w:right="140" w:firstLine="555"/>
        <w:spacing w:after="0" w:line="302" w:lineRule="auto"/>
        <w:rPr>
          <w:sz w:val="20"/>
          <w:szCs w:val="20"/>
          <w:color w:val="auto"/>
        </w:rPr>
      </w:pPr>
      <w:r>
        <w:rPr>
          <w:rFonts w:ascii="Arial" w:cs="Arial" w:eastAsia="Arial" w:hAnsi="Arial"/>
          <w:sz w:val="16"/>
          <w:szCs w:val="16"/>
          <w:i w:val="1"/>
          <w:iCs w:val="1"/>
          <w:color w:val="auto"/>
        </w:rPr>
        <w:t>Corporate Expenses</w:t>
      </w:r>
      <w:r>
        <w:rPr>
          <w:rFonts w:ascii="Arial" w:cs="Arial" w:eastAsia="Arial" w:hAnsi="Arial"/>
          <w:sz w:val="16"/>
          <w:szCs w:val="16"/>
          <w:color w:val="auto"/>
        </w:rPr>
        <w:t>. For the year ended December 31, 2017 compared to 2016, corporate expenses increased due to payroll and other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associated with additional corporate expenses driven by growth related to the Isle acquisition. Also, the increase was the result of higher stock compensation expense for the year ended December 31, 2017 compared to 2016 due to the three-year vesting schedule associated with our long-term incentive plan established in 2015 resulting in three years of grants and related expense in 2017 versus two years of grants and related expense in 2016.</w:t>
      </w:r>
    </w:p>
    <w:p>
      <w:pPr>
        <w:spacing w:after="0" w:line="154" w:lineRule="exact"/>
        <w:rPr>
          <w:sz w:val="20"/>
          <w:szCs w:val="20"/>
          <w:color w:val="auto"/>
        </w:rPr>
      </w:pPr>
    </w:p>
    <w:p>
      <w:pPr>
        <w:ind w:right="180" w:firstLine="555"/>
        <w:spacing w:after="0" w:line="259" w:lineRule="auto"/>
        <w:rPr>
          <w:sz w:val="20"/>
          <w:szCs w:val="20"/>
          <w:color w:val="auto"/>
        </w:rPr>
      </w:pPr>
      <w:r>
        <w:rPr>
          <w:rFonts w:ascii="Arial" w:cs="Arial" w:eastAsia="Arial" w:hAnsi="Arial"/>
          <w:sz w:val="18"/>
          <w:szCs w:val="18"/>
          <w:i w:val="1"/>
          <w:iCs w:val="1"/>
          <w:color w:val="auto"/>
        </w:rPr>
        <w:t xml:space="preserve">Impairment Charges. </w:t>
      </w:r>
      <w:r>
        <w:rPr>
          <w:rFonts w:ascii="Arial" w:cs="Arial" w:eastAsia="Arial" w:hAnsi="Arial"/>
          <w:sz w:val="18"/>
          <w:szCs w:val="18"/>
          <w:color w:val="auto"/>
        </w:rPr>
        <w:t>On October 1, 2017 we conducted annual impairment tests of our intangible assets. Based on less than expected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and projected future operating results, it was determined that the value of goodwill and/or trade names associated with our Lake Charles, Vicksburg and Lula reporting units were impaired resulting in impairment charges totaling $38.0 million ($34.9 million related to goodwill and $3.1 million related to trade names) recorded in the current year.</w:t>
      </w:r>
    </w:p>
    <w:p>
      <w:pPr>
        <w:spacing w:after="0" w:line="187" w:lineRule="exact"/>
        <w:rPr>
          <w:sz w:val="20"/>
          <w:szCs w:val="20"/>
          <w:color w:val="auto"/>
        </w:rPr>
      </w:pPr>
    </w:p>
    <w:p>
      <w:pPr>
        <w:ind w:right="340" w:firstLine="555"/>
        <w:spacing w:after="0" w:line="277" w:lineRule="auto"/>
        <w:rPr>
          <w:sz w:val="20"/>
          <w:szCs w:val="20"/>
          <w:color w:val="auto"/>
        </w:rPr>
      </w:pPr>
      <w:r>
        <w:rPr>
          <w:rFonts w:ascii="Arial" w:cs="Arial" w:eastAsia="Arial" w:hAnsi="Arial"/>
          <w:sz w:val="18"/>
          <w:szCs w:val="18"/>
          <w:i w:val="1"/>
          <w:iCs w:val="1"/>
          <w:color w:val="auto"/>
        </w:rPr>
        <w:t>Depreciation and Amortization Expense</w:t>
      </w:r>
      <w:r>
        <w:rPr>
          <w:rFonts w:ascii="Arial" w:cs="Arial" w:eastAsia="Arial" w:hAnsi="Arial"/>
          <w:sz w:val="18"/>
          <w:szCs w:val="18"/>
          <w:color w:val="auto"/>
        </w:rPr>
        <w:t>. Isle contributed $47.1 million of depreciation expense for the period from the date we acquired Isle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2017 resulting in an increase of 66.9% over 2016.</w:t>
      </w:r>
    </w:p>
    <w:p>
      <w:pPr>
        <w:spacing w:after="0" w:line="170" w:lineRule="exact"/>
        <w:rPr>
          <w:sz w:val="20"/>
          <w:szCs w:val="20"/>
          <w:color w:val="auto"/>
        </w:rPr>
      </w:pPr>
    </w:p>
    <w:p>
      <w:pPr>
        <w:ind w:right="720" w:firstLine="555"/>
        <w:spacing w:after="0" w:line="308" w:lineRule="auto"/>
        <w:rPr>
          <w:sz w:val="20"/>
          <w:szCs w:val="20"/>
          <w:color w:val="auto"/>
        </w:rPr>
      </w:pPr>
      <w:r>
        <w:rPr>
          <w:rFonts w:ascii="Arial" w:cs="Arial" w:eastAsia="Arial" w:hAnsi="Arial"/>
          <w:sz w:val="17"/>
          <w:szCs w:val="17"/>
          <w:color w:val="auto"/>
        </w:rPr>
        <w:t>Excluding incremental Isle depreciation and amortization expense, depreciation and amortization expense decreased 7.3% for the year ended December 31, 2017 compared to 2016 mainly due to lower depreciation in all segments due to assets becoming fully depreciated.</w:t>
      </w:r>
    </w:p>
    <w:p>
      <w:pPr>
        <w:spacing w:after="0" w:line="251"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Supplemental Unaudited Presentation of Consolidated Adjusted Earnings before Interest, Taxes, Depreciation and Amortization (“EBITDA”) for the Years Ended December 31, 2018 and 2017</w:t>
      </w:r>
    </w:p>
    <w:p>
      <w:pPr>
        <w:spacing w:after="0" w:line="58" w:lineRule="exact"/>
        <w:rPr>
          <w:sz w:val="20"/>
          <w:szCs w:val="20"/>
          <w:color w:val="auto"/>
        </w:rPr>
      </w:pPr>
    </w:p>
    <w:p>
      <w:pPr>
        <w:ind w:firstLine="555"/>
        <w:spacing w:after="0" w:line="286" w:lineRule="auto"/>
        <w:rPr>
          <w:sz w:val="20"/>
          <w:szCs w:val="20"/>
          <w:color w:val="auto"/>
        </w:rPr>
      </w:pPr>
      <w:r>
        <w:rPr>
          <w:rFonts w:ascii="Arial" w:cs="Arial" w:eastAsia="Arial" w:hAnsi="Arial"/>
          <w:sz w:val="16"/>
          <w:szCs w:val="16"/>
          <w:color w:val="auto"/>
        </w:rPr>
        <w:t>Adjusted EBITDA (defined below), a non-GAAP financial measure, has been presented as a supplemental disclosure because it is a widely used measure of performance and basis for valuation of companies in our industry and we believe that this non-GAAP supplemental information will be helpful in understanding the Company’s ongoing operating results. Management has historically used Adjusted EBITDA when evaluating operating performance because we believe that the inclusion or exclusion of certain recurring and non-recurring items is necessary to provide a full understanding of our core operating results and as a means to evaluate period-to-period results. Adjusted EBITDA represents operating income (loss) before depreciation and amortization, stock-based compensation, transaction expenses, severance expense, selling costs associated with the disposition of properties, proceeds from the terminated sales of Vicksburg and Lake Charles, preopening expenses, business interruption insurance proceeds, real estate tax settlements, other than temporary impairments on investments, impairment charges, equity in income (loss) of unconsolidated affiliates, (gain) loss on the sale or disposal of property and equipment, and other non-cash regulatory gaming assessments. Adjusted EBITDA also excludes expense associated with our Master Lease with GLPI as the transaction was accounted for as a financing obligation. Adjusted EBITDA is not a measure of performance or liquidity calculated in accordance with accounting principles generally accepted in the United States (“US GAAP”),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and certain regulatory gaming assessments, which can be significant. As a result, Adjusted EBITDA should not be considered as a measure of our liquidity. Other companies that provide EBITDA information may calculate EBITDA differently than we do. The definition of Adjusted EBITDA may not be the same as the definitions used in any of our debt agreements.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w w:val="95"/>
              </w:rPr>
              <w:t>Year Ended December 31, 2018</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Operating</w:t>
            </w:r>
          </w:p>
        </w:tc>
        <w:tc>
          <w:tcPr>
            <w:tcW w:w="128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Depreciation and</w:t>
            </w:r>
          </w:p>
        </w:tc>
        <w:tc>
          <w:tcPr>
            <w:tcW w:w="80" w:type="dxa"/>
            <w:vAlign w:val="bottom"/>
          </w:tcPr>
          <w:p>
            <w:pPr>
              <w:spacing w:after="0"/>
              <w:rPr>
                <w:sz w:val="11"/>
                <w:szCs w:val="11"/>
                <w:color w:val="auto"/>
              </w:rPr>
            </w:pPr>
          </w:p>
        </w:tc>
        <w:tc>
          <w:tcPr>
            <w:tcW w:w="11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9"/>
              </w:rPr>
              <w:t>Stock-Based</w:t>
            </w:r>
          </w:p>
        </w:tc>
        <w:tc>
          <w:tcPr>
            <w:tcW w:w="80" w:type="dxa"/>
            <w:vAlign w:val="bottom"/>
          </w:tcPr>
          <w:p>
            <w:pPr>
              <w:spacing w:after="0"/>
              <w:rPr>
                <w:sz w:val="11"/>
                <w:szCs w:val="11"/>
                <w:color w:val="auto"/>
              </w:rPr>
            </w:pPr>
          </w:p>
        </w:tc>
        <w:tc>
          <w:tcPr>
            <w:tcW w:w="1000" w:type="dxa"/>
            <w:vAlign w:val="bottom"/>
            <w:gridSpan w:val="2"/>
          </w:tcPr>
          <w:p>
            <w:pPr>
              <w:jc w:val="right"/>
              <w:ind w:right="240"/>
              <w:spacing w:after="0" w:line="133" w:lineRule="exact"/>
              <w:rPr>
                <w:sz w:val="20"/>
                <w:szCs w:val="20"/>
                <w:color w:val="auto"/>
              </w:rPr>
            </w:pPr>
            <w:r>
              <w:rPr>
                <w:rFonts w:ascii="Arial" w:cs="Arial" w:eastAsia="Arial" w:hAnsi="Arial"/>
                <w:sz w:val="14"/>
                <w:szCs w:val="14"/>
                <w:b w:val="1"/>
                <w:bCs w:val="1"/>
                <w:color w:val="auto"/>
                <w:w w:val="93"/>
              </w:rPr>
              <w:t>Transaction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2"/>
                <w:szCs w:val="12"/>
                <w:b w:val="1"/>
                <w:bCs w:val="1"/>
                <w:color w:val="auto"/>
              </w:rPr>
              <w:t>(6)</w:t>
            </w:r>
          </w:p>
        </w:tc>
        <w:tc>
          <w:tcPr>
            <w:tcW w:w="20" w:type="dxa"/>
            <w:vAlign w:val="bottom"/>
          </w:tcPr>
          <w:p>
            <w:pPr>
              <w:spacing w:after="0"/>
              <w:rPr>
                <w:sz w:val="11"/>
                <w:szCs w:val="11"/>
                <w:color w:val="auto"/>
              </w:rPr>
            </w:pPr>
          </w:p>
        </w:tc>
        <w:tc>
          <w:tcPr>
            <w:tcW w:w="680" w:type="dxa"/>
            <w:vAlign w:val="bottom"/>
            <w:gridSpan w:val="3"/>
          </w:tcPr>
          <w:p>
            <w:pPr>
              <w:jc w:val="right"/>
              <w:ind w:right="8"/>
              <w:spacing w:after="0" w:line="133" w:lineRule="exact"/>
              <w:rPr>
                <w:sz w:val="20"/>
                <w:szCs w:val="20"/>
                <w:color w:val="auto"/>
              </w:rPr>
            </w:pPr>
            <w:r>
              <w:rPr>
                <w:rFonts w:ascii="Arial" w:cs="Arial" w:eastAsia="Arial" w:hAnsi="Arial"/>
                <w:sz w:val="14"/>
                <w:szCs w:val="14"/>
                <w:b w:val="1"/>
                <w:bCs w:val="1"/>
                <w:color w:val="auto"/>
                <w:w w:val="96"/>
              </w:rPr>
              <w:t>Adjusted</w:t>
            </w:r>
          </w:p>
        </w:tc>
        <w:tc>
          <w:tcPr>
            <w:tcW w:w="4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Compensation</w:t>
            </w:r>
          </w:p>
        </w:tc>
        <w:tc>
          <w:tcPr>
            <w:tcW w:w="8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 xml:space="preserve">Expenses </w:t>
            </w:r>
            <w:r>
              <w:rPr>
                <w:rFonts w:ascii="Arial" w:cs="Arial" w:eastAsia="Arial" w:hAnsi="Arial"/>
                <w:sz w:val="12"/>
                <w:szCs w:val="12"/>
                <w:b w:val="1"/>
                <w:bCs w:val="1"/>
                <w:color w:val="auto"/>
                <w:w w:val="88"/>
              </w:rPr>
              <w:t>(5)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Excluding Pre-Acquisition:</w:t>
            </w:r>
          </w:p>
        </w:tc>
        <w:tc>
          <w:tcPr>
            <w:tcW w:w="8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4"/>
                <w:szCs w:val="14"/>
                <w:color w:val="auto"/>
              </w:rPr>
              <w:t>West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84,548</w:t>
            </w:r>
          </w:p>
        </w:tc>
        <w:tc>
          <w:tcPr>
            <w:tcW w:w="2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40,131</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(32)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1,542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126,189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Midwest</w:t>
            </w: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105,809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33,083</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244</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139,242</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4"/>
                <w:szCs w:val="14"/>
                <w:color w:val="auto"/>
              </w:rPr>
              <w:t>South</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64,851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37,357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10,265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112,532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East</w:t>
            </w: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97,963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27,913</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5,447</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131,337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4"/>
                <w:szCs w:val="14"/>
                <w:color w:val="auto"/>
              </w:rPr>
              <w:t>Central</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24,240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13,583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1,676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39,499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Corporate and Other</w:t>
            </w: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(67,308)</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5,362</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12,937</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20,842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(3,702)</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(31,869)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20" w:type="dxa"/>
            <w:vAlign w:val="bottom"/>
            <w:tcBorders>
              <w:bottom w:val="single" w:sz="8" w:color="CFF0FC"/>
            </w:tcBorders>
          </w:tcPr>
          <w:p>
            <w:pPr>
              <w:ind w:left="120"/>
              <w:spacing w:after="0" w:line="155" w:lineRule="exact"/>
              <w:rPr>
                <w:sz w:val="20"/>
                <w:szCs w:val="20"/>
                <w:color w:val="auto"/>
              </w:rPr>
            </w:pPr>
            <w:r>
              <w:rPr>
                <w:rFonts w:ascii="Arial" w:cs="Arial" w:eastAsia="Arial" w:hAnsi="Arial"/>
                <w:sz w:val="14"/>
                <w:szCs w:val="14"/>
                <w:b w:val="1"/>
                <w:bCs w:val="1"/>
                <w:color w:val="auto"/>
              </w:rPr>
              <w:t>Total Excluding Pre-Acquisition</w:t>
            </w:r>
          </w:p>
        </w:tc>
        <w:tc>
          <w:tcPr>
            <w:tcW w:w="86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310,103</w:t>
            </w:r>
          </w:p>
        </w:tc>
        <w:tc>
          <w:tcPr>
            <w:tcW w:w="22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157,429</w:t>
            </w:r>
          </w:p>
        </w:tc>
        <w:tc>
          <w:tcPr>
            <w:tcW w:w="22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13,084</w:t>
            </w:r>
          </w:p>
        </w:tc>
        <w:tc>
          <w:tcPr>
            <w:tcW w:w="22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20,842</w:t>
            </w:r>
          </w:p>
        </w:tc>
        <w:tc>
          <w:tcPr>
            <w:tcW w:w="200" w:type="dxa"/>
            <w:vAlign w:val="bottom"/>
            <w:tcBorders>
              <w:bottom w:val="single" w:sz="8" w:color="CFF0FC"/>
            </w:tcBorders>
            <w:gridSpan w:val="2"/>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15,472</w:t>
            </w:r>
          </w:p>
        </w:tc>
        <w:tc>
          <w:tcPr>
            <w:tcW w:w="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gridSpan w:val="2"/>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516,930</w:t>
            </w:r>
          </w:p>
        </w:tc>
        <w:tc>
          <w:tcPr>
            <w:tcW w:w="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3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4"/>
                <w:szCs w:val="14"/>
                <w:b w:val="1"/>
                <w:bCs w:val="1"/>
                <w:color w:val="auto"/>
              </w:rPr>
              <w:t>Pre-Acquisition (1):</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West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13,635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9,271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22,914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4"/>
                <w:szCs w:val="14"/>
                <w:color w:val="auto"/>
              </w:rPr>
              <w:t>Midwest</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South</w:t>
            </w: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6,076</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6,451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4"/>
                <w:szCs w:val="14"/>
                <w:color w:val="auto"/>
              </w:rPr>
              <w:t>East</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46,261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24,444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159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70,864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Central</w:t>
            </w: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70,105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22,939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647</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93,691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4"/>
                <w:szCs w:val="14"/>
                <w:color w:val="auto"/>
              </w:rPr>
              <w:t>Corporate and Other</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(52,127)</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1,537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4,259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31,101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4"/>
                <w:szCs w:val="14"/>
                <w:color w:val="auto"/>
              </w:rPr>
              <w:t>(15,230)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20" w:type="dxa"/>
            <w:vAlign w:val="bottom"/>
            <w:tcBorders>
              <w:top w:val="single" w:sz="8" w:color="CFF0FC"/>
              <w:bottom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b w:val="1"/>
                <w:bCs w:val="1"/>
                <w:color w:val="auto"/>
              </w:rPr>
              <w:t>Total Pre-Acquisition</w:t>
            </w:r>
          </w:p>
        </w:tc>
        <w:tc>
          <w:tcPr>
            <w:tcW w:w="8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78,229</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64,267</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bottom w:val="single" w:sz="8" w:color="auto"/>
            </w:tcBorders>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b w:val="1"/>
                <w:bCs w:val="1"/>
                <w:color w:val="auto"/>
              </w:rPr>
              <w:t>4,259</w:t>
            </w:r>
          </w:p>
        </w:tc>
        <w:tc>
          <w:tcPr>
            <w:tcW w:w="200" w:type="dxa"/>
            <w:vAlign w:val="bottom"/>
            <w:tcBorders>
              <w:top w:val="single" w:sz="8" w:color="CFF0FC"/>
              <w:bottom w:val="single" w:sz="8" w:color="CFF0FC"/>
            </w:tcBorders>
            <w:gridSpan w:val="2"/>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31,935</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gridSpan w:val="2"/>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178,690</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Including Pre-Acquisition:</w:t>
            </w: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4"/>
                <w:szCs w:val="14"/>
                <w:color w:val="auto"/>
              </w:rPr>
              <w:t>West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98,183</w:t>
            </w:r>
          </w:p>
        </w:tc>
        <w:tc>
          <w:tcPr>
            <w:tcW w:w="2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49,402</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(32)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1,550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149,103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Midwest</w:t>
            </w: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105,809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33,083</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244</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139,242</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4"/>
                <w:szCs w:val="14"/>
                <w:color w:val="auto"/>
              </w:rPr>
              <w:t>South</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65,206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43,433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10,285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118,983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East</w:t>
            </w: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144,224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52,357</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5,606</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202,201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4"/>
                <w:szCs w:val="14"/>
                <w:color w:val="auto"/>
              </w:rPr>
              <w:t>Central</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94,345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36,522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2,323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133,190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Corporate and Other</w:t>
            </w: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(119,435)</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6,899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12,937</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25,101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27,399</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(47,099)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2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Total Including Pre-Acquisition (2)</w:t>
            </w:r>
          </w:p>
        </w:tc>
        <w:tc>
          <w:tcPr>
            <w:tcW w:w="8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388,332</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221,696</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13,084</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25,101</w:t>
            </w:r>
          </w:p>
        </w:tc>
        <w:tc>
          <w:tcPr>
            <w:tcW w:w="200" w:type="dxa"/>
            <w:vAlign w:val="bottom"/>
            <w:gridSpan w:val="2"/>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47,407</w:t>
            </w:r>
          </w:p>
        </w:tc>
        <w:tc>
          <w:tcPr>
            <w:tcW w:w="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695,620</w:t>
            </w: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w w:val="95"/>
              </w:rPr>
              <w:t>Year Ended December 31, 2017</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Operating</w:t>
            </w:r>
          </w:p>
        </w:tc>
        <w:tc>
          <w:tcPr>
            <w:tcW w:w="128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Depreciation and</w:t>
            </w:r>
          </w:p>
        </w:tc>
        <w:tc>
          <w:tcPr>
            <w:tcW w:w="80" w:type="dxa"/>
            <w:vAlign w:val="bottom"/>
          </w:tcPr>
          <w:p>
            <w:pPr>
              <w:spacing w:after="0"/>
              <w:rPr>
                <w:sz w:val="11"/>
                <w:szCs w:val="11"/>
                <w:color w:val="auto"/>
              </w:rPr>
            </w:pPr>
          </w:p>
        </w:tc>
        <w:tc>
          <w:tcPr>
            <w:tcW w:w="11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9"/>
              </w:rPr>
              <w:t>Stock-Based</w:t>
            </w:r>
          </w:p>
        </w:tc>
        <w:tc>
          <w:tcPr>
            <w:tcW w:w="80" w:type="dxa"/>
            <w:vAlign w:val="bottom"/>
          </w:tcPr>
          <w:p>
            <w:pPr>
              <w:spacing w:after="0"/>
              <w:rPr>
                <w:sz w:val="11"/>
                <w:szCs w:val="11"/>
                <w:color w:val="auto"/>
              </w:rPr>
            </w:pPr>
          </w:p>
        </w:tc>
        <w:tc>
          <w:tcPr>
            <w:tcW w:w="1000" w:type="dxa"/>
            <w:vAlign w:val="bottom"/>
            <w:gridSpan w:val="2"/>
          </w:tcPr>
          <w:p>
            <w:pPr>
              <w:jc w:val="right"/>
              <w:ind w:right="240"/>
              <w:spacing w:after="0" w:line="133" w:lineRule="exact"/>
              <w:rPr>
                <w:sz w:val="20"/>
                <w:szCs w:val="20"/>
                <w:color w:val="auto"/>
              </w:rPr>
            </w:pPr>
            <w:r>
              <w:rPr>
                <w:rFonts w:ascii="Arial" w:cs="Arial" w:eastAsia="Arial" w:hAnsi="Arial"/>
                <w:sz w:val="14"/>
                <w:szCs w:val="14"/>
                <w:b w:val="1"/>
                <w:bCs w:val="1"/>
                <w:color w:val="auto"/>
                <w:w w:val="93"/>
              </w:rPr>
              <w:t>Transaction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2"/>
                <w:szCs w:val="12"/>
                <w:b w:val="1"/>
                <w:bCs w:val="1"/>
                <w:color w:val="auto"/>
              </w:rPr>
              <w:t>(7)</w:t>
            </w:r>
          </w:p>
        </w:tc>
        <w:tc>
          <w:tcPr>
            <w:tcW w:w="20" w:type="dxa"/>
            <w:vAlign w:val="bottom"/>
          </w:tcPr>
          <w:p>
            <w:pPr>
              <w:spacing w:after="0"/>
              <w:rPr>
                <w:sz w:val="11"/>
                <w:szCs w:val="11"/>
                <w:color w:val="auto"/>
              </w:rPr>
            </w:pPr>
          </w:p>
        </w:tc>
        <w:tc>
          <w:tcPr>
            <w:tcW w:w="680" w:type="dxa"/>
            <w:vAlign w:val="bottom"/>
            <w:gridSpan w:val="3"/>
          </w:tcPr>
          <w:p>
            <w:pPr>
              <w:jc w:val="right"/>
              <w:ind w:right="8"/>
              <w:spacing w:after="0" w:line="133" w:lineRule="exact"/>
              <w:rPr>
                <w:sz w:val="20"/>
                <w:szCs w:val="20"/>
                <w:color w:val="auto"/>
              </w:rPr>
            </w:pPr>
            <w:r>
              <w:rPr>
                <w:rFonts w:ascii="Arial" w:cs="Arial" w:eastAsia="Arial" w:hAnsi="Arial"/>
                <w:sz w:val="14"/>
                <w:szCs w:val="14"/>
                <w:b w:val="1"/>
                <w:bCs w:val="1"/>
                <w:color w:val="auto"/>
                <w:w w:val="96"/>
              </w:rPr>
              <w:t>Adjusted</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Compensation</w:t>
            </w:r>
          </w:p>
        </w:tc>
        <w:tc>
          <w:tcPr>
            <w:tcW w:w="8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 xml:space="preserve">Expenses </w:t>
            </w:r>
            <w:r>
              <w:rPr>
                <w:rFonts w:ascii="Arial" w:cs="Arial" w:eastAsia="Arial" w:hAnsi="Arial"/>
                <w:sz w:val="12"/>
                <w:szCs w:val="12"/>
                <w:b w:val="1"/>
                <w:bCs w:val="1"/>
                <w:color w:val="auto"/>
                <w:w w:val="88"/>
              </w:rPr>
              <w:t>(5)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Excluding Pre-Acquisition:</w:t>
            </w:r>
          </w:p>
        </w:tc>
        <w:tc>
          <w:tcPr>
            <w:tcW w:w="8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4"/>
                <w:szCs w:val="14"/>
                <w:color w:val="auto"/>
              </w:rPr>
              <w:t>West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66,108</w:t>
            </w:r>
          </w:p>
        </w:tc>
        <w:tc>
          <w:tcPr>
            <w:tcW w:w="2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26,950</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182</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364</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93,604</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Midwest</w:t>
            </w: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62,071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20,997</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193</w:t>
            </w:r>
          </w:p>
        </w:tc>
        <w:tc>
          <w:tcPr>
            <w:tcW w:w="2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83,471</w:t>
            </w:r>
          </w:p>
        </w:tc>
        <w:tc>
          <w:tcPr>
            <w:tcW w:w="3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4"/>
                <w:szCs w:val="14"/>
                <w:color w:val="auto"/>
              </w:rPr>
              <w:t>South</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3,680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25,307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41,144</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70,278</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East</w:t>
            </w: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68,101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30,517</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369</w:t>
            </w:r>
          </w:p>
        </w:tc>
        <w:tc>
          <w:tcPr>
            <w:tcW w:w="2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99,001</w:t>
            </w:r>
          </w:p>
        </w:tc>
        <w:tc>
          <w:tcPr>
            <w:tcW w:w="3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4"/>
                <w:szCs w:val="14"/>
                <w:color w:val="auto"/>
              </w:rPr>
              <w:t>Central</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4"/>
          </w:tcPr>
          <w:p>
            <w:pPr>
              <w:jc w:val="right"/>
              <w:ind w:right="4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Corporate and Other</w:t>
            </w: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(105,150)</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5,769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92,777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83"/>
              <w:spacing w:after="0"/>
              <w:rPr>
                <w:sz w:val="20"/>
                <w:szCs w:val="20"/>
                <w:color w:val="auto"/>
              </w:rPr>
            </w:pPr>
            <w:r>
              <w:rPr>
                <w:rFonts w:ascii="Arial" w:cs="Arial" w:eastAsia="Arial" w:hAnsi="Arial"/>
                <w:sz w:val="14"/>
                <w:szCs w:val="14"/>
                <w:color w:val="auto"/>
              </w:rPr>
              <w:t>(19,689)</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8"/>
              <w:spacing w:after="0"/>
              <w:rPr>
                <w:sz w:val="20"/>
                <w:szCs w:val="20"/>
                <w:color w:val="auto"/>
              </w:rPr>
            </w:pPr>
            <w:r>
              <w:rPr>
                <w:rFonts w:ascii="Arial" w:cs="Arial" w:eastAsia="Arial" w:hAnsi="Arial"/>
                <w:sz w:val="14"/>
                <w:szCs w:val="14"/>
                <w:color w:val="auto"/>
                <w:w w:val="99"/>
              </w:rPr>
              <w:t>(24,173)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20" w:type="dxa"/>
            <w:vAlign w:val="bottom"/>
            <w:tcBorders>
              <w:bottom w:val="single" w:sz="8" w:color="CFF0FC"/>
            </w:tcBorders>
          </w:tcPr>
          <w:p>
            <w:pPr>
              <w:ind w:left="120"/>
              <w:spacing w:after="0" w:line="155" w:lineRule="exact"/>
              <w:rPr>
                <w:sz w:val="20"/>
                <w:szCs w:val="20"/>
                <w:color w:val="auto"/>
              </w:rPr>
            </w:pPr>
            <w:r>
              <w:rPr>
                <w:rFonts w:ascii="Arial" w:cs="Arial" w:eastAsia="Arial" w:hAnsi="Arial"/>
                <w:sz w:val="14"/>
                <w:szCs w:val="14"/>
                <w:b w:val="1"/>
                <w:bCs w:val="1"/>
                <w:color w:val="auto"/>
              </w:rPr>
              <w:t>Total Excluding Pre-Acquisition</w:t>
            </w:r>
          </w:p>
        </w:tc>
        <w:tc>
          <w:tcPr>
            <w:tcW w:w="86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94,810</w:t>
            </w:r>
          </w:p>
        </w:tc>
        <w:tc>
          <w:tcPr>
            <w:tcW w:w="22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105,891</w:t>
            </w:r>
          </w:p>
        </w:tc>
        <w:tc>
          <w:tcPr>
            <w:tcW w:w="22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6,322</w:t>
            </w:r>
          </w:p>
        </w:tc>
        <w:tc>
          <w:tcPr>
            <w:tcW w:w="22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92,777</w:t>
            </w: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22,381</w:t>
            </w:r>
          </w:p>
        </w:tc>
        <w:tc>
          <w:tcPr>
            <w:tcW w:w="28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0"/>
              </w:rPr>
              <w:t>322,181</w:t>
            </w:r>
          </w:p>
        </w:tc>
        <w:tc>
          <w:tcPr>
            <w:tcW w:w="36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3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4"/>
                <w:szCs w:val="14"/>
                <w:b w:val="1"/>
                <w:bCs w:val="1"/>
                <w:color w:val="auto"/>
              </w:rPr>
              <w:t>Pre-Acquisition (3):</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West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22,983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16,261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2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39,260</w:t>
            </w:r>
          </w:p>
        </w:tc>
        <w:tc>
          <w:tcPr>
            <w:tcW w:w="3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4"/>
                <w:szCs w:val="14"/>
                <w:color w:val="auto"/>
              </w:rPr>
              <w:t>Midwest</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34,819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11,952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46,856</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South</w:t>
            </w: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32,809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14,343</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w:t>
            </w:r>
          </w:p>
        </w:tc>
        <w:tc>
          <w:tcPr>
            <w:tcW w:w="2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47,335</w:t>
            </w:r>
          </w:p>
        </w:tc>
        <w:tc>
          <w:tcPr>
            <w:tcW w:w="3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4"/>
                <w:szCs w:val="14"/>
                <w:color w:val="auto"/>
              </w:rPr>
              <w:t>East</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79,135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28,818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83"/>
              <w:spacing w:after="0"/>
              <w:rPr>
                <w:sz w:val="20"/>
                <w:szCs w:val="20"/>
                <w:color w:val="auto"/>
              </w:rPr>
            </w:pPr>
            <w:r>
              <w:rPr>
                <w:rFonts w:ascii="Arial" w:cs="Arial" w:eastAsia="Arial" w:hAnsi="Arial"/>
                <w:sz w:val="14"/>
                <w:szCs w:val="14"/>
                <w:color w:val="auto"/>
              </w:rPr>
              <w:t>(19,396)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88,557</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Central</w:t>
            </w: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85,717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30,299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83"/>
              <w:spacing w:after="0"/>
              <w:rPr>
                <w:sz w:val="20"/>
                <w:szCs w:val="20"/>
                <w:color w:val="auto"/>
              </w:rPr>
            </w:pPr>
            <w:r>
              <w:rPr>
                <w:rFonts w:ascii="Arial" w:cs="Arial" w:eastAsia="Arial" w:hAnsi="Arial"/>
                <w:sz w:val="14"/>
                <w:szCs w:val="14"/>
                <w:color w:val="auto"/>
              </w:rPr>
              <w:t>(3,228)</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0"/>
              </w:rPr>
              <w:t>112,788</w:t>
            </w:r>
          </w:p>
        </w:tc>
        <w:tc>
          <w:tcPr>
            <w:tcW w:w="3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4"/>
                <w:szCs w:val="14"/>
                <w:color w:val="auto"/>
              </w:rPr>
              <w:t>Corporate and Other</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(28,503)</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2,576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1,631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557</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48"/>
              <w:spacing w:after="0"/>
              <w:rPr>
                <w:sz w:val="20"/>
                <w:szCs w:val="20"/>
                <w:color w:val="auto"/>
              </w:rPr>
            </w:pPr>
            <w:r>
              <w:rPr>
                <w:rFonts w:ascii="Arial" w:cs="Arial" w:eastAsia="Arial" w:hAnsi="Arial"/>
                <w:sz w:val="14"/>
                <w:szCs w:val="14"/>
                <w:color w:val="auto"/>
                <w:w w:val="99"/>
              </w:rPr>
              <w:t>(23,453)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20" w:type="dxa"/>
            <w:vAlign w:val="bottom"/>
            <w:tcBorders>
              <w:top w:val="single" w:sz="8" w:color="CFF0FC"/>
              <w:bottom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b w:val="1"/>
                <w:bCs w:val="1"/>
                <w:color w:val="auto"/>
              </w:rPr>
              <w:t>Total Pre-Acquisition</w:t>
            </w:r>
          </w:p>
        </w:tc>
        <w:tc>
          <w:tcPr>
            <w:tcW w:w="8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226,960</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104,249</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1,725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286</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(21,877</w:t>
            </w:r>
          </w:p>
        </w:tc>
        <w:tc>
          <w:tcPr>
            <w:tcW w:w="280" w:type="dxa"/>
            <w:vAlign w:val="bottom"/>
            <w:tcBorders>
              <w:top w:val="single" w:sz="8" w:color="CFF0FC"/>
              <w:bottom w:val="single" w:sz="8" w:color="CFF0FC"/>
            </w:tcBorders>
            <w:shd w:val="clear" w:color="auto" w:fill="CFF0FC"/>
          </w:tcPr>
          <w:p>
            <w:pPr>
              <w:jc w:val="right"/>
              <w:ind w:right="183"/>
              <w:spacing w:after="0"/>
              <w:rPr>
                <w:sz w:val="20"/>
                <w:szCs w:val="20"/>
                <w:color w:val="auto"/>
              </w:rPr>
            </w:pPr>
            <w:r>
              <w:rPr>
                <w:rFonts w:ascii="Arial" w:cs="Arial" w:eastAsia="Arial" w:hAnsi="Arial"/>
                <w:sz w:val="8"/>
                <w:szCs w:val="8"/>
                <w:b w:val="1"/>
                <w:bCs w:val="1"/>
                <w:color w:val="auto"/>
                <w:w w:val="73"/>
              </w:rPr>
              <w:t>)</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5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0"/>
              </w:rPr>
              <w:t>311,343</w:t>
            </w:r>
          </w:p>
        </w:tc>
        <w:tc>
          <w:tcPr>
            <w:tcW w:w="36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Including Pre-Acquisition:</w:t>
            </w: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4"/>
                <w:szCs w:val="14"/>
                <w:color w:val="auto"/>
              </w:rPr>
              <w:t>West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89,091</w:t>
            </w:r>
          </w:p>
        </w:tc>
        <w:tc>
          <w:tcPr>
            <w:tcW w:w="2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43,211</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190</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372</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0"/>
              </w:rPr>
              <w:t>132,864</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Midwest</w:t>
            </w: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96,890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32,949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w:t>
            </w:r>
          </w:p>
        </w:tc>
        <w:tc>
          <w:tcPr>
            <w:tcW w:w="2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0"/>
              </w:rPr>
              <w:t>130,327</w:t>
            </w:r>
          </w:p>
        </w:tc>
        <w:tc>
          <w:tcPr>
            <w:tcW w:w="3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4"/>
                <w:szCs w:val="14"/>
                <w:color w:val="auto"/>
              </w:rPr>
              <w:t>South</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36,489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39,650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41,292</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0"/>
              </w:rPr>
              <w:t>117,613</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East</w:t>
            </w: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147,236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59,335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83"/>
              <w:spacing w:after="0"/>
              <w:rPr>
                <w:sz w:val="20"/>
                <w:szCs w:val="20"/>
                <w:color w:val="auto"/>
              </w:rPr>
            </w:pPr>
            <w:r>
              <w:rPr>
                <w:rFonts w:ascii="Arial" w:cs="Arial" w:eastAsia="Arial" w:hAnsi="Arial"/>
                <w:sz w:val="14"/>
                <w:szCs w:val="14"/>
                <w:color w:val="auto"/>
              </w:rPr>
              <w:t>(19,027)</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0"/>
              </w:rPr>
              <w:t>187,558</w:t>
            </w:r>
          </w:p>
        </w:tc>
        <w:tc>
          <w:tcPr>
            <w:tcW w:w="3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4"/>
                <w:szCs w:val="14"/>
                <w:color w:val="auto"/>
              </w:rPr>
              <w:t>Central</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85,717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30,299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83"/>
              <w:spacing w:after="0"/>
              <w:rPr>
                <w:sz w:val="20"/>
                <w:szCs w:val="20"/>
                <w:color w:val="auto"/>
              </w:rPr>
            </w:pPr>
            <w:r>
              <w:rPr>
                <w:rFonts w:ascii="Arial" w:cs="Arial" w:eastAsia="Arial" w:hAnsi="Arial"/>
                <w:sz w:val="14"/>
                <w:szCs w:val="14"/>
                <w:color w:val="auto"/>
              </w:rPr>
              <w:t>(3,228)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0"/>
              </w:rPr>
              <w:t>112,788</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Corporate and Other</w:t>
            </w: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(133,653)</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4,696</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7,400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93,063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83"/>
              <w:spacing w:after="0"/>
              <w:rPr>
                <w:sz w:val="20"/>
                <w:szCs w:val="20"/>
                <w:color w:val="auto"/>
              </w:rPr>
            </w:pPr>
            <w:r>
              <w:rPr>
                <w:rFonts w:ascii="Arial" w:cs="Arial" w:eastAsia="Arial" w:hAnsi="Arial"/>
                <w:sz w:val="14"/>
                <w:szCs w:val="14"/>
                <w:color w:val="auto"/>
              </w:rPr>
              <w:t>(19,132)</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8"/>
              <w:spacing w:after="0"/>
              <w:rPr>
                <w:sz w:val="20"/>
                <w:szCs w:val="20"/>
                <w:color w:val="auto"/>
              </w:rPr>
            </w:pPr>
            <w:r>
              <w:rPr>
                <w:rFonts w:ascii="Arial" w:cs="Arial" w:eastAsia="Arial" w:hAnsi="Arial"/>
                <w:sz w:val="14"/>
                <w:szCs w:val="14"/>
                <w:color w:val="auto"/>
                <w:w w:val="99"/>
              </w:rPr>
              <w:t>(47,626)</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2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Total Including Pre-Acquisition (4)</w:t>
            </w:r>
          </w:p>
        </w:tc>
        <w:tc>
          <w:tcPr>
            <w:tcW w:w="8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321,770</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210,140</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8,047</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93,063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504</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0"/>
              </w:rPr>
              <w:t>633,524</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right="60" w:hanging="552"/>
        <w:spacing w:after="0" w:line="308" w:lineRule="auto"/>
        <w:tabs>
          <w:tab w:leader="none" w:pos="560" w:val="left"/>
        </w:tabs>
        <w:numPr>
          <w:ilvl w:val="0"/>
          <w:numId w:val="31"/>
        </w:numPr>
        <w:rPr>
          <w:rFonts w:ascii="Arial" w:cs="Arial" w:eastAsia="Arial" w:hAnsi="Arial"/>
          <w:sz w:val="15"/>
          <w:szCs w:val="15"/>
          <w:color w:val="auto"/>
        </w:rPr>
      </w:pPr>
      <w:r>
        <w:rPr>
          <w:rFonts w:ascii="Arial" w:cs="Arial" w:eastAsia="Arial" w:hAnsi="Arial"/>
          <w:sz w:val="17"/>
          <w:szCs w:val="17"/>
          <w:color w:val="auto"/>
        </w:rPr>
        <w:t>Figures are for Tropicana for the nine months ended September 30, 2018 and for Elgin for the period beginning January 1, 2018 and ending August 6, 2018. Such figures are based on internal financial statements and have not been reviewed by the Company’s auditors.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49" w:name="page50"/>
    <w:bookmarkEnd w:id="49"/>
    <w:p>
      <w:pPr>
        <w:ind w:left="560" w:hanging="552"/>
        <w:spacing w:after="0" w:line="276" w:lineRule="auto"/>
        <w:tabs>
          <w:tab w:leader="none" w:pos="560" w:val="left"/>
        </w:tabs>
        <w:numPr>
          <w:ilvl w:val="0"/>
          <w:numId w:val="32"/>
        </w:numPr>
        <w:rPr>
          <w:rFonts w:ascii="Arial" w:cs="Arial" w:eastAsia="Arial" w:hAnsi="Arial"/>
          <w:sz w:val="15"/>
          <w:szCs w:val="15"/>
          <w:color w:val="auto"/>
        </w:rPr>
      </w:pPr>
      <w:r>
        <w:rPr>
          <w:rFonts w:ascii="Arial" w:cs="Arial" w:eastAsia="Arial" w:hAnsi="Arial"/>
          <w:sz w:val="17"/>
          <w:szCs w:val="17"/>
          <w:color w:val="auto"/>
        </w:rPr>
        <w:t>Total figures for the year ended December 31, 2018 include combined results of operations for Tropicana, Elgin and the Company for periods preceding the date that the Company acquired Tropicana and Elgin. Such presentation is unaudited and does not conform with GAAP or the Securities and Exchange Commission rules for pro forma presentation; however, we believe that the additional financial information will be helpful to investors in comparing current results with results of prior periods. This is non-GAAP data and should not be considered a substitute for data prepared in accordance with GAAP, but should be viewed in addition to the results of operations reported by the Company.</w:t>
      </w:r>
    </w:p>
    <w:p>
      <w:pPr>
        <w:spacing w:after="0" w:line="64" w:lineRule="exact"/>
        <w:rPr>
          <w:rFonts w:ascii="Arial" w:cs="Arial" w:eastAsia="Arial" w:hAnsi="Arial"/>
          <w:sz w:val="15"/>
          <w:szCs w:val="15"/>
          <w:color w:val="auto"/>
        </w:rPr>
      </w:pPr>
    </w:p>
    <w:p>
      <w:pPr>
        <w:ind w:left="560" w:right="320" w:hanging="552"/>
        <w:spacing w:after="0" w:line="259" w:lineRule="auto"/>
        <w:tabs>
          <w:tab w:leader="none" w:pos="560" w:val="left"/>
        </w:tabs>
        <w:numPr>
          <w:ilvl w:val="0"/>
          <w:numId w:val="32"/>
        </w:numPr>
        <w:rPr>
          <w:rFonts w:ascii="Arial" w:cs="Arial" w:eastAsia="Arial" w:hAnsi="Arial"/>
          <w:sz w:val="16"/>
          <w:szCs w:val="16"/>
          <w:color w:val="auto"/>
        </w:rPr>
      </w:pPr>
      <w:r>
        <w:rPr>
          <w:rFonts w:ascii="Arial" w:cs="Arial" w:eastAsia="Arial" w:hAnsi="Arial"/>
          <w:sz w:val="18"/>
          <w:szCs w:val="18"/>
          <w:color w:val="auto"/>
        </w:rPr>
        <w:t>Figures are for Tropicana and Elgin for the year ended December 31, 2017 and for Isle for the four months ended April 30, 2017. The Isle figures were prepared by the Company to reflect Isle’s unaudited consolidated historical operating revenues, operating income and Adjusted EBITDA for periods corresponding to the Company’s fiscal calendar. Such figures are based on the unaudited internal financial statements and have not been reviewed by the Company’s auditors and do not conform to GAAP.</w:t>
      </w:r>
    </w:p>
    <w:p>
      <w:pPr>
        <w:spacing w:after="0" w:line="78" w:lineRule="exact"/>
        <w:rPr>
          <w:rFonts w:ascii="Arial" w:cs="Arial" w:eastAsia="Arial" w:hAnsi="Arial"/>
          <w:sz w:val="16"/>
          <w:szCs w:val="16"/>
          <w:color w:val="auto"/>
        </w:rPr>
      </w:pPr>
    </w:p>
    <w:p>
      <w:pPr>
        <w:ind w:left="560" w:right="200" w:hanging="552"/>
        <w:spacing w:after="0" w:line="276" w:lineRule="auto"/>
        <w:tabs>
          <w:tab w:leader="none" w:pos="560" w:val="left"/>
        </w:tabs>
        <w:numPr>
          <w:ilvl w:val="0"/>
          <w:numId w:val="32"/>
        </w:numPr>
        <w:rPr>
          <w:rFonts w:ascii="Arial" w:cs="Arial" w:eastAsia="Arial" w:hAnsi="Arial"/>
          <w:sz w:val="15"/>
          <w:szCs w:val="15"/>
          <w:color w:val="auto"/>
        </w:rPr>
      </w:pPr>
      <w:r>
        <w:rPr>
          <w:rFonts w:ascii="Arial" w:cs="Arial" w:eastAsia="Arial" w:hAnsi="Arial"/>
          <w:sz w:val="17"/>
          <w:szCs w:val="17"/>
          <w:color w:val="auto"/>
        </w:rPr>
        <w:t>Total figures for the year ended December 31, 2017 include combined results of operations for Tropicana, Elgin, Isle and the Company for periods preceding the dates that the Company acquired Tropicana, Elgin and Isle. Such presentation does not conform with GAAP or the Securities and Exchange Commission rules for pro forma presentation; however, we believe that the additional financial information will be helpful to investors in comparing current results with results of prior periods. This is non-GAAP data and should not be considered a substitute for data prepared in accordance with GAAP, but should be viewed in addition to the results of operations reported by the Company.</w:t>
      </w:r>
    </w:p>
    <w:p>
      <w:pPr>
        <w:spacing w:after="0" w:line="64" w:lineRule="exact"/>
        <w:rPr>
          <w:rFonts w:ascii="Arial" w:cs="Arial" w:eastAsia="Arial" w:hAnsi="Arial"/>
          <w:sz w:val="15"/>
          <w:szCs w:val="15"/>
          <w:color w:val="auto"/>
        </w:rPr>
      </w:pPr>
    </w:p>
    <w:p>
      <w:pPr>
        <w:ind w:left="560" w:right="340" w:hanging="552"/>
        <w:spacing w:after="0" w:line="277" w:lineRule="auto"/>
        <w:tabs>
          <w:tab w:leader="none" w:pos="560" w:val="left"/>
        </w:tabs>
        <w:numPr>
          <w:ilvl w:val="0"/>
          <w:numId w:val="32"/>
        </w:numPr>
        <w:rPr>
          <w:rFonts w:ascii="Arial" w:cs="Arial" w:eastAsia="Arial" w:hAnsi="Arial"/>
          <w:sz w:val="16"/>
          <w:szCs w:val="16"/>
          <w:color w:val="auto"/>
        </w:rPr>
      </w:pPr>
      <w:r>
        <w:rPr>
          <w:rFonts w:ascii="Arial" w:cs="Arial" w:eastAsia="Arial" w:hAnsi="Arial"/>
          <w:sz w:val="18"/>
          <w:szCs w:val="18"/>
          <w:color w:val="auto"/>
        </w:rPr>
        <w:t>Transaction expenses represent costs related to the acquisition of Isle for the year ended December 31, 2017 and costs related to the acquisition of Tropicana, Elgin and Isle for the year ended December 31, 2018.</w:t>
      </w:r>
    </w:p>
    <w:p>
      <w:pPr>
        <w:spacing w:after="0" w:line="62" w:lineRule="exact"/>
        <w:rPr>
          <w:rFonts w:ascii="Arial" w:cs="Arial" w:eastAsia="Arial" w:hAnsi="Arial"/>
          <w:sz w:val="16"/>
          <w:szCs w:val="16"/>
          <w:color w:val="auto"/>
        </w:rPr>
      </w:pPr>
    </w:p>
    <w:p>
      <w:pPr>
        <w:ind w:left="560" w:right="20" w:hanging="552"/>
        <w:spacing w:after="0" w:line="279" w:lineRule="auto"/>
        <w:tabs>
          <w:tab w:leader="none" w:pos="560" w:val="left"/>
        </w:tabs>
        <w:numPr>
          <w:ilvl w:val="0"/>
          <w:numId w:val="32"/>
        </w:numPr>
        <w:rPr>
          <w:rFonts w:ascii="Arial" w:cs="Arial" w:eastAsia="Arial" w:hAnsi="Arial"/>
          <w:sz w:val="15"/>
          <w:szCs w:val="15"/>
          <w:color w:val="auto"/>
        </w:rPr>
      </w:pPr>
      <w:r>
        <w:rPr>
          <w:rFonts w:ascii="Arial" w:cs="Arial" w:eastAsia="Arial" w:hAnsi="Arial"/>
          <w:sz w:val="17"/>
          <w:szCs w:val="17"/>
          <w:color w:val="auto"/>
        </w:rPr>
        <w:t>Other, for the year ended December 31, 2018, is comprised of severance expense, gain (loss) on the sale or disposal of property and equipment, equity in income (loss) of an unconsolidated affiliate, preopening expenses at Trop AC, impairment charges at Vicksburg and Nemacolin, proceeds from the terminated sale of Vicksburg, other non-cash regulatory gaming assessments and selling costs associated with the dispositions of Presque Isle Downs, Nemacolin, the terminated sale of Vicksburg and the purchase of Tropicana and Elgin.</w:t>
      </w:r>
    </w:p>
    <w:p>
      <w:pPr>
        <w:spacing w:after="0" w:line="63" w:lineRule="exact"/>
        <w:rPr>
          <w:rFonts w:ascii="Arial" w:cs="Arial" w:eastAsia="Arial" w:hAnsi="Arial"/>
          <w:sz w:val="15"/>
          <w:szCs w:val="15"/>
          <w:color w:val="auto"/>
        </w:rPr>
      </w:pPr>
    </w:p>
    <w:p>
      <w:pPr>
        <w:ind w:left="560" w:right="20" w:hanging="552"/>
        <w:spacing w:after="0" w:line="276" w:lineRule="auto"/>
        <w:tabs>
          <w:tab w:leader="none" w:pos="560" w:val="left"/>
        </w:tabs>
        <w:numPr>
          <w:ilvl w:val="0"/>
          <w:numId w:val="32"/>
        </w:numPr>
        <w:rPr>
          <w:rFonts w:ascii="Arial" w:cs="Arial" w:eastAsia="Arial" w:hAnsi="Arial"/>
          <w:sz w:val="15"/>
          <w:szCs w:val="15"/>
          <w:color w:val="auto"/>
        </w:rPr>
      </w:pPr>
      <w:r>
        <w:rPr>
          <w:rFonts w:ascii="Arial" w:cs="Arial" w:eastAsia="Arial" w:hAnsi="Arial"/>
          <w:sz w:val="17"/>
          <w:szCs w:val="17"/>
          <w:color w:val="auto"/>
        </w:rPr>
        <w:t>Other, for the year ended December 31, 2017, is comprised of severance expense, gain (loss) on the sale or disposal of property and equipment, equity in income (loss) of an unconsolidated affiliate, preopening expenses at Evansville, business interruption insurance proceeds received at Lumière, proceeds from a real estate tax settlement at Trop AC, impairment charges recorded at Lake Charles, Lula and Vicksburg, proceeds from the terminated sale of Vicksburg, non-cash regulatory gaming assessments, selling costs associated with the terminated sale of Lake Charles, proceeds from the terminated sale of Lake Charles and a permanent impairment of investments held by Trop AC.</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0" w:firstLine="555"/>
        <w:spacing w:after="0" w:line="308" w:lineRule="auto"/>
        <w:rPr>
          <w:sz w:val="20"/>
          <w:szCs w:val="20"/>
          <w:color w:val="auto"/>
        </w:rPr>
      </w:pPr>
      <w:r>
        <w:rPr>
          <w:rFonts w:ascii="Arial" w:cs="Arial" w:eastAsia="Arial" w:hAnsi="Arial"/>
          <w:sz w:val="17"/>
          <w:szCs w:val="17"/>
          <w:color w:val="auto"/>
        </w:rPr>
        <w:t>We are a holding company and our only significant assets are ownership interests in our subsidiaries. Our ability to fund our obligations depends on the cash flow of our subsidiaries and the ability of our subsidiaries to distribute or otherwise make funds available to us.</w:t>
      </w:r>
    </w:p>
    <w:p>
      <w:pPr>
        <w:spacing w:after="0" w:line="147" w:lineRule="exact"/>
        <w:rPr>
          <w:sz w:val="20"/>
          <w:szCs w:val="20"/>
          <w:color w:val="auto"/>
        </w:rPr>
      </w:pPr>
    </w:p>
    <w:p>
      <w:pPr>
        <w:ind w:right="400" w:firstLine="555"/>
        <w:spacing w:after="0" w:line="277" w:lineRule="auto"/>
        <w:rPr>
          <w:sz w:val="20"/>
          <w:szCs w:val="20"/>
          <w:color w:val="auto"/>
        </w:rPr>
      </w:pPr>
      <w:r>
        <w:rPr>
          <w:rFonts w:ascii="Arial" w:cs="Arial" w:eastAsia="Arial" w:hAnsi="Arial"/>
          <w:sz w:val="18"/>
          <w:szCs w:val="18"/>
          <w:color w:val="auto"/>
        </w:rPr>
        <w:t>Our primary sources of liquidity and capital resources have been existing cash, cash flow from operations, borrowings under our revolving credit facility, proceeds from the issuance of debt securities and proceeds from our recent disposition of Presque Isle.</w:t>
      </w:r>
    </w:p>
    <w:p>
      <w:pPr>
        <w:spacing w:after="0" w:line="170" w:lineRule="exact"/>
        <w:rPr>
          <w:sz w:val="20"/>
          <w:szCs w:val="20"/>
          <w:color w:val="auto"/>
        </w:rPr>
      </w:pPr>
    </w:p>
    <w:p>
      <w:pPr>
        <w:ind w:firstLine="555"/>
        <w:spacing w:after="0" w:line="291" w:lineRule="auto"/>
        <w:rPr>
          <w:sz w:val="20"/>
          <w:szCs w:val="20"/>
          <w:color w:val="auto"/>
        </w:rPr>
      </w:pPr>
      <w:r>
        <w:rPr>
          <w:rFonts w:ascii="Arial" w:cs="Arial" w:eastAsia="Arial" w:hAnsi="Arial"/>
          <w:sz w:val="16"/>
          <w:szCs w:val="16"/>
          <w:color w:val="auto"/>
        </w:rPr>
        <w:t>Our cash requirements can fluctuate significantly depending on our decisions with respect to business acquisitions or dispositions and strategic capital investments to maintain the quality of our properties. We expect that our primary capital requirements going forward will relate to the operation and maintenance of our properties, taxes, servicing our outstanding indebtedness, rent payments under our Master Lease and continued costs associated with the recent Elgin and Tropicana acquisitions. During 2019, we plan to spend approximately $200.0 million on capital expenditures including capital expenditures for the properties purchased in the Elgin and Tropicana acquisitions. Our capital requirements have increased significantly following the consummation of the acquisitions of Tropicana and Elgin, the related obligation to pay annual rent in an initial amount of approximately $87.6 million under the Master Lease with respect to certain of the Tropicana properties and the required payments under the Lumière Note.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0" w:name="page51"/>
    <w:bookmarkEnd w:id="50"/>
    <w:p>
      <w:pPr>
        <w:ind w:firstLine="555"/>
        <w:spacing w:after="0" w:line="254" w:lineRule="auto"/>
        <w:rPr>
          <w:sz w:val="20"/>
          <w:szCs w:val="20"/>
          <w:color w:val="auto"/>
        </w:rPr>
      </w:pPr>
      <w:r>
        <w:rPr>
          <w:rFonts w:ascii="Arial" w:cs="Arial" w:eastAsia="Arial" w:hAnsi="Arial"/>
          <w:sz w:val="18"/>
          <w:szCs w:val="18"/>
          <w:color w:val="auto"/>
        </w:rPr>
        <w:t>We funded the $328.8 million of cash consideration for the Elgin Acquisition using cash from ongoing operations and borrowings under our revolving credit facility. We funded the $246 million purchase of the real estate underlying Lumière with the proceeds of the Lumière Note. We funded the $640 million consideration in the Tropicana Acquisition and the repayment of amounts outstanding under the Tropicana credit facility with our cash on hand and cash on hand at Tropicana, borrowings under our revolving credit facility and proceeds from our offering of $600 million of 6.0% senior notes due 2026. In addition, our borrowing capacity on our revolving credit facility increased from $300 million to $500 million effective substantially concurrently with the consummation of the Tropicana Acquisition on October 1, 2018 and we extended the maturity of the revolving credit facility to October 1, 2023. We expect that cash generated from operations will be sufficient to fund our operations and capital requirements, and service our outstanding indebtedness for the next twelve months.</w:t>
      </w:r>
    </w:p>
    <w:p>
      <w:pPr>
        <w:spacing w:after="0" w:line="192"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color w:val="auto"/>
        </w:rPr>
        <w:t>At December 31, 2018, we had consolidated cash and cash equivalents of $230.8 million, excluding restricted cash. At December 31, 2017, we had consolidated cash and cash equivalents of $134.6 million, excluding restricted cash. This increase in cash was primarily due to cash acquired in the Elgin and Tropicana acquisitions.</w:t>
      </w:r>
    </w:p>
    <w:p>
      <w:pPr>
        <w:spacing w:after="0" w:line="181" w:lineRule="exact"/>
        <w:rPr>
          <w:sz w:val="20"/>
          <w:szCs w:val="20"/>
          <w:color w:val="auto"/>
        </w:rPr>
      </w:pPr>
    </w:p>
    <w:p>
      <w:pPr>
        <w:jc w:val="both"/>
        <w:ind w:right="120" w:firstLine="555"/>
        <w:spacing w:after="0" w:line="264" w:lineRule="auto"/>
        <w:rPr>
          <w:sz w:val="20"/>
          <w:szCs w:val="20"/>
          <w:color w:val="auto"/>
        </w:rPr>
      </w:pPr>
      <w:r>
        <w:rPr>
          <w:rFonts w:ascii="Arial" w:cs="Arial" w:eastAsia="Arial" w:hAnsi="Arial"/>
          <w:sz w:val="18"/>
          <w:szCs w:val="18"/>
          <w:i w:val="1"/>
          <w:iCs w:val="1"/>
          <w:color w:val="auto"/>
        </w:rPr>
        <w:t xml:space="preserve">Operating Cash Flow. </w:t>
      </w:r>
      <w:r>
        <w:rPr>
          <w:rFonts w:ascii="Arial" w:cs="Arial" w:eastAsia="Arial" w:hAnsi="Arial"/>
          <w:sz w:val="18"/>
          <w:szCs w:val="18"/>
          <w:color w:val="auto"/>
        </w:rPr>
        <w:t>In 2018, cash flows provided by operating activities totaled $323.3 million compared to $129.9 million in 2017. The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operating cash was primarily due to incremental operating cash generated by the acquired Elgin and Tropicana properties and decreased transaction costs combined with changes in the balance sheet accounts in the normal course of business.</w:t>
      </w:r>
    </w:p>
    <w:p>
      <w:pPr>
        <w:spacing w:after="0" w:line="181" w:lineRule="exact"/>
        <w:rPr>
          <w:sz w:val="20"/>
          <w:szCs w:val="20"/>
          <w:color w:val="auto"/>
        </w:rPr>
      </w:pPr>
    </w:p>
    <w:p>
      <w:pPr>
        <w:jc w:val="both"/>
        <w:ind w:right="300" w:firstLine="555"/>
        <w:spacing w:after="0" w:line="264" w:lineRule="auto"/>
        <w:rPr>
          <w:sz w:val="20"/>
          <w:szCs w:val="20"/>
          <w:color w:val="auto"/>
        </w:rPr>
      </w:pPr>
      <w:r>
        <w:rPr>
          <w:rFonts w:ascii="Arial" w:cs="Arial" w:eastAsia="Arial" w:hAnsi="Arial"/>
          <w:sz w:val="18"/>
          <w:szCs w:val="18"/>
          <w:color w:val="auto"/>
        </w:rPr>
        <w:t>In 2017, cash flows provided by operating activities totaled $129.9 million compared to $95.4 million in 2016. The increase in operating cash was primarily due to incremental operating cash generated by the acquired Isle properties offset by transaction expenses associated with our acquisition of Isle combined with changes in the balance sheet accounts in the normal course of business.</w:t>
      </w:r>
    </w:p>
    <w:p>
      <w:pPr>
        <w:spacing w:after="0" w:line="181"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i w:val="1"/>
          <w:iCs w:val="1"/>
          <w:color w:val="auto"/>
        </w:rPr>
        <w:t>Investing Cash Flow and Capital Expenditures</w:t>
      </w:r>
      <w:r>
        <w:rPr>
          <w:rFonts w:ascii="Arial" w:cs="Arial" w:eastAsia="Arial" w:hAnsi="Arial"/>
          <w:sz w:val="18"/>
          <w:szCs w:val="18"/>
          <w:color w:val="auto"/>
        </w:rPr>
        <w:t>. Net cash flows used in investing activities totaled $1.3 billion in 2018 compared to $1.4 billion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2017. Net cash flows used in investing activities in 2018 were primarily due to $307.3 million cash paid in the Elgin Acquisition and $806.0 million cash paid in the Tropicana Acquisition. Additionally, capital expenditures totaled $147.4 million for the year ended December 31, 2018 related to growth and maintenance capital projects.</w:t>
      </w:r>
    </w:p>
    <w:p>
      <w:pPr>
        <w:spacing w:after="0" w:line="187"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Net cash flows used in investing activities totaled $1.4 billion in 2017 compared to $41.8 million in 2016. Net cash flows used in investing activities in 2017 were primarily due to cash paid to acquire Isle in addition to $83.1 million in capital expenditures for various property enhancement and maintenance projects and equipment purchases.</w:t>
      </w:r>
    </w:p>
    <w:p>
      <w:pPr>
        <w:spacing w:after="0" w:line="181" w:lineRule="exact"/>
        <w:rPr>
          <w:sz w:val="20"/>
          <w:szCs w:val="20"/>
          <w:color w:val="auto"/>
        </w:rPr>
      </w:pPr>
    </w:p>
    <w:p>
      <w:pPr>
        <w:ind w:right="240" w:firstLine="555"/>
        <w:spacing w:after="0" w:line="286" w:lineRule="auto"/>
        <w:rPr>
          <w:sz w:val="20"/>
          <w:szCs w:val="20"/>
          <w:color w:val="auto"/>
        </w:rPr>
      </w:pPr>
      <w:r>
        <w:rPr>
          <w:rFonts w:ascii="Arial" w:cs="Arial" w:eastAsia="Arial" w:hAnsi="Arial"/>
          <w:sz w:val="17"/>
          <w:szCs w:val="17"/>
          <w:i w:val="1"/>
          <w:iCs w:val="1"/>
          <w:color w:val="auto"/>
        </w:rPr>
        <w:t>Financing Cash Flow</w:t>
      </w:r>
      <w:r>
        <w:rPr>
          <w:rFonts w:ascii="Arial" w:cs="Arial" w:eastAsia="Arial" w:hAnsi="Arial"/>
          <w:sz w:val="17"/>
          <w:szCs w:val="17"/>
          <w:color w:val="auto"/>
        </w:rPr>
        <w:t>. Net cash provided by financing activities in 2018 totaled $1.1 billion and was principally due to $600.0 million of proceeds</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issuance of the 6.0% senior notes due 2026 in conjunction with the Tropicana Acquisition, $246.0 million of proceeds from the Lumière Loan (defined below) and $245.0 million of net borrowings under our revolving credit facility related to the Elgin Acquisition.</w:t>
      </w:r>
    </w:p>
    <w:p>
      <w:pPr>
        <w:spacing w:after="0" w:line="166"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Net cash used for financing activities in 2017 totaled $1.4 billion and consisted mainly of the issuance of debt associated with our acquisition of Isle, the refinancing of our term loan and revolving credit facility in May 2017 and the issuance of additional 6.0% senior notes due 2025 in September 2017. This increase was partially offset by net payments made on our credit facilities throughout 2017 and taxes paid related to net share settlements of equity awards associated with the Isle transaction.</w:t>
      </w:r>
    </w:p>
    <w:p>
      <w:pPr>
        <w:spacing w:after="0" w:line="187" w:lineRule="exact"/>
        <w:rPr>
          <w:sz w:val="20"/>
          <w:szCs w:val="20"/>
          <w:color w:val="auto"/>
        </w:rPr>
      </w:pPr>
    </w:p>
    <w:p>
      <w:pPr>
        <w:jc w:val="both"/>
        <w:ind w:right="380" w:firstLine="555"/>
        <w:spacing w:after="0" w:line="264"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The Company will pay approximately $45 million in cash taxes in 2019 as a result of the Tropicana Acquisition. In addition,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expects to be a cash taxpayer in 2019 due to the complete utilization of its net operating losses and tax credit carryovers for federal income tax purposes.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 Senior Notes due 2023</w:t>
      </w:r>
    </w:p>
    <w:p>
      <w:pPr>
        <w:spacing w:after="0" w:line="117" w:lineRule="exact"/>
        <w:rPr>
          <w:sz w:val="20"/>
          <w:szCs w:val="20"/>
          <w:color w:val="auto"/>
        </w:rPr>
      </w:pPr>
    </w:p>
    <w:p>
      <w:pPr>
        <w:ind w:right="440" w:firstLine="555"/>
        <w:spacing w:after="0" w:line="312" w:lineRule="auto"/>
        <w:rPr>
          <w:sz w:val="20"/>
          <w:szCs w:val="20"/>
          <w:color w:val="auto"/>
        </w:rPr>
      </w:pPr>
      <w:r>
        <w:rPr>
          <w:rFonts w:ascii="Arial" w:cs="Arial" w:eastAsia="Arial" w:hAnsi="Arial"/>
          <w:sz w:val="16"/>
          <w:szCs w:val="16"/>
          <w:color w:val="auto"/>
        </w:rPr>
        <w:t>On July 23, 2015, we issued at par $375.0 million in aggregate principal amount of 7.0% senior notes due 2023 (“7% Senior Notes due 2023”) pursuant to the indenture, dated as of July 23, 2015 (the “2023 Indenture”), between us and U.S. Bank, National Association, as Trustee. The 7% Senior Notes due 2023 will mature on August 1, 2023, with interest payable semi-annually in arrears on February 1 and August 1 of each year.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1" w:name="page52"/>
    <w:bookmarkEnd w:id="51"/>
    <w:p>
      <w:pPr>
        <w:ind w:right="80" w:firstLine="555"/>
        <w:spacing w:after="0" w:line="259" w:lineRule="auto"/>
        <w:rPr>
          <w:sz w:val="20"/>
          <w:szCs w:val="20"/>
          <w:color w:val="auto"/>
        </w:rPr>
      </w:pPr>
      <w:r>
        <w:rPr>
          <w:rFonts w:ascii="Arial" w:cs="Arial" w:eastAsia="Arial" w:hAnsi="Arial"/>
          <w:sz w:val="18"/>
          <w:szCs w:val="18"/>
          <w:color w:val="auto"/>
        </w:rPr>
        <w:t>On or after August 1, 2018, we may redeem all or a portion of the 7% Senior Notes due 2023 upon not less than 30 nor more than 60 days’ notice, at the redemption prices (expressed as percentages of the principal amount) set forth below plus accrued and unpaid interest and additional interest, if any, on the 7% Senior Notes due 2023 redeemed, to the applicable redemption date, if redeemed during the twelve month period beginning on August 1 of the years indicated below:</w:t>
      </w:r>
    </w:p>
    <w:p>
      <w:pPr>
        <w:spacing w:after="0" w:line="192"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4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1060" w:type="dxa"/>
            <w:vAlign w:val="bottom"/>
          </w:tcPr>
          <w:p>
            <w:pPr>
              <w:jc w:val="right"/>
              <w:ind w:right="114"/>
              <w:spacing w:after="0"/>
              <w:rPr>
                <w:sz w:val="20"/>
                <w:szCs w:val="20"/>
                <w:color w:val="auto"/>
              </w:rPr>
            </w:pPr>
            <w:r>
              <w:rPr>
                <w:rFonts w:ascii="Arial" w:cs="Arial" w:eastAsia="Arial" w:hAnsi="Arial"/>
                <w:sz w:val="14"/>
                <w:szCs w:val="14"/>
                <w:b w:val="1"/>
                <w:bCs w:val="1"/>
                <w:color w:val="auto"/>
              </w:rPr>
              <w:t>Percentage</w:t>
            </w:r>
          </w:p>
        </w:tc>
        <w:tc>
          <w:tcPr>
            <w:tcW w:w="240" w:type="dxa"/>
            <w:vAlign w:val="bottom"/>
          </w:tcPr>
          <w:p>
            <w:pPr>
              <w:spacing w:after="0"/>
              <w:rPr>
                <w:sz w:val="14"/>
                <w:szCs w:val="14"/>
                <w:color w:val="auto"/>
              </w:rPr>
            </w:pPr>
          </w:p>
        </w:tc>
      </w:tr>
      <w:tr>
        <w:trPr>
          <w:trHeight w:val="223"/>
        </w:trPr>
        <w:tc>
          <w:tcPr>
            <w:tcW w:w="5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105.250</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103.500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101.750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2021 and thereafter</w:t>
            </w:r>
          </w:p>
        </w:tc>
        <w:tc>
          <w:tcPr>
            <w:tcW w:w="106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right="120" w:firstLine="555"/>
        <w:spacing w:after="0" w:line="257" w:lineRule="auto"/>
        <w:rPr>
          <w:sz w:val="20"/>
          <w:szCs w:val="20"/>
          <w:color w:val="auto"/>
        </w:rPr>
      </w:pPr>
      <w:r>
        <w:rPr>
          <w:rFonts w:ascii="Arial" w:cs="Arial" w:eastAsia="Arial" w:hAnsi="Arial"/>
          <w:sz w:val="18"/>
          <w:szCs w:val="18"/>
          <w:color w:val="auto"/>
        </w:rPr>
        <w:t>If we experience certain change of control events (as defined in the 2023 Indenture), we must offer to repurchase the 7% Senior Notes due 2023 at 101% of their principal amount, plus accrued and unpaid interest to the applicable repurchase date. If we sell asset under certain circumstances and does not use the proceeds for specified purposes, we must offer to repurchase the 7% Senior Notes due 2023 at 100% of their principal amount, plus accrued and unpaid interest to the applicable repurchase date. The 7% Senior Notes due 2023 are subject to redemption imposed by gaming laws and regulations of applicable gaming regulatory authorities.</w:t>
      </w:r>
    </w:p>
    <w:p>
      <w:pPr>
        <w:spacing w:after="0" w:line="188" w:lineRule="exact"/>
        <w:rPr>
          <w:sz w:val="20"/>
          <w:szCs w:val="20"/>
          <w:color w:val="auto"/>
        </w:rPr>
      </w:pPr>
    </w:p>
    <w:p>
      <w:pPr>
        <w:ind w:right="120" w:firstLine="555"/>
        <w:spacing w:after="0" w:line="277" w:lineRule="auto"/>
        <w:rPr>
          <w:sz w:val="20"/>
          <w:szCs w:val="20"/>
          <w:color w:val="auto"/>
        </w:rPr>
      </w:pPr>
      <w:r>
        <w:rPr>
          <w:rFonts w:ascii="Arial" w:cs="Arial" w:eastAsia="Arial" w:hAnsi="Arial"/>
          <w:sz w:val="18"/>
          <w:szCs w:val="18"/>
          <w:color w:val="auto"/>
        </w:rPr>
        <w:t>The 2023 Indenture contains certain covenants limiting, among other things, our ability and the ability of our subsidiaries (other than its unrestricted subsidiaries) to:</w:t>
      </w:r>
    </w:p>
    <w:p>
      <w:pPr>
        <w:spacing w:after="0" w:line="62" w:lineRule="exact"/>
        <w:rPr>
          <w:sz w:val="20"/>
          <w:szCs w:val="20"/>
          <w:color w:val="auto"/>
        </w:rPr>
      </w:pPr>
    </w:p>
    <w:p>
      <w:pPr>
        <w:ind w:left="1120" w:hanging="558"/>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 dividends or distributions or make certain other restricted payments or investments;</w:t>
      </w:r>
    </w:p>
    <w:p>
      <w:pPr>
        <w:spacing w:after="0" w:line="117" w:lineRule="exact"/>
        <w:rPr>
          <w:rFonts w:ascii="Arial" w:cs="Arial" w:eastAsia="Arial" w:hAnsi="Arial"/>
          <w:sz w:val="18"/>
          <w:szCs w:val="18"/>
          <w:color w:val="auto"/>
        </w:rPr>
      </w:pPr>
    </w:p>
    <w:p>
      <w:pPr>
        <w:ind w:left="1120" w:right="200" w:hanging="558"/>
        <w:spacing w:after="0" w:line="277" w:lineRule="auto"/>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disqualified stock or create subordinated indebtedness that is not subordinated to the 7% Senior Notes due 2023 or the guarantees of the 7% Senior Notes due 2023;</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merge, consolidate, or sell, transfer or otherwise dispose of all or substantially all of our assets;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engage in lines of business other than our core business and related businesses;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create restrictions on dividends or other payments by restricted subsidiaries.</w:t>
      </w:r>
    </w:p>
    <w:p>
      <w:pPr>
        <w:spacing w:after="0" w:line="225"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color w:val="auto"/>
        </w:rPr>
        <w:t>These covenants are subject to a number of exceptions and qualifications as set forth in the 2023 Indenture. The 2023 Indenture also provides for customary events of default which, if any of them occurs, would permit or require the principal of and accrued interest on such 7% Senior Notes due 2023 to be declared due and payable.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 Senior Notes due 2025</w:t>
      </w:r>
    </w:p>
    <w:p>
      <w:pPr>
        <w:spacing w:after="0" w:line="117" w:lineRule="exact"/>
        <w:rPr>
          <w:sz w:val="20"/>
          <w:szCs w:val="20"/>
          <w:color w:val="auto"/>
        </w:rPr>
      </w:pPr>
    </w:p>
    <w:p>
      <w:pPr>
        <w:ind w:right="40" w:firstLine="555"/>
        <w:spacing w:after="0" w:line="271" w:lineRule="auto"/>
        <w:rPr>
          <w:sz w:val="20"/>
          <w:szCs w:val="20"/>
          <w:color w:val="auto"/>
        </w:rPr>
      </w:pPr>
      <w:r>
        <w:rPr>
          <w:rFonts w:ascii="Arial" w:cs="Arial" w:eastAsia="Arial" w:hAnsi="Arial"/>
          <w:sz w:val="17"/>
          <w:szCs w:val="17"/>
          <w:color w:val="auto"/>
        </w:rPr>
        <w:t>On March 29, 2017, Eagle II Acquisition Company LLC (“Eagle II”), our wholly-owned subsidiary, issued $375.0 million in aggregate principal amount of 6.0% Senior Notes due 2025 (the “6% Senior Notes due 2025”) pursuant to an indenture, dated as of March 29, 2017 (the “2025 Indenture”), between Eagle II and U.S. Bank, National Association, as Trustee. The 6% Senior Notes due 2025 will mature on April 1, 2025, with interest payable semi-annually in arrears on April 1 and October 1, commencing October 1, 2017. The proceeds of the offering, and additional funds in the amount of $1.9 million in respect of interest expected to be accrued on the 6% Senior Notes due 2025, were placed in escrow pending satisfaction of certain conditions, including consummation of our acquisition of Isle. In connection with the consummation of our acquisition of Isle on May 1, 2017, the escrowed funds were released, and we assumed Eagle II’s obligations under the 6% Senior Notes due 2025 and the 2025 Indenture and certain of our subsidiaries (including Isle and certain of its subsidiaries) executed guarantees of our obligations under the 6% Senior Notes due 2025.</w:t>
      </w:r>
    </w:p>
    <w:p>
      <w:pPr>
        <w:spacing w:after="0" w:line="179"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color w:val="auto"/>
        </w:rPr>
        <w:t>On September 13, 2017, we issued an additional $500.0 million principal amount of the 6% Senior Notes due 2025 at an issue price equal to 105.5% of the principal amount of the 6% Senior Notes due 2025. The additional notes were issued pursuant to the 2025 Indenture that governs the 6% Senior Notes due 2025. We used the proceeds of the offering to repay $78.0 million of outstanding borrowings under the revolving credit facility and used the remainder to repay $444.5 million outstanding borrowings under the term loan facility and related accrued interest. As a result of the offering and retirement of existing debt, we recognized a loss of $11.1 million during the year ended December 31, 2017.</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52" w:name="page53"/>
    <w:bookmarkEnd w:id="52"/>
    <w:p>
      <w:pPr>
        <w:ind w:firstLine="555"/>
        <w:spacing w:after="0" w:line="259" w:lineRule="auto"/>
        <w:rPr>
          <w:sz w:val="20"/>
          <w:szCs w:val="20"/>
          <w:color w:val="auto"/>
        </w:rPr>
      </w:pPr>
      <w:r>
        <w:rPr>
          <w:rFonts w:ascii="Arial" w:cs="Arial" w:eastAsia="Arial" w:hAnsi="Arial"/>
          <w:sz w:val="18"/>
          <w:szCs w:val="18"/>
          <w:color w:val="auto"/>
        </w:rPr>
        <w:t>On or after April 1, 2020, we may redeem all or a portion of the 6% Senior Notes due 2025 upon not less than 30 nor more than 60 days’ notice, at the redemption prices (expressed as percentages of the principal amount) set forth below plus accrued and unpaid interest and additional interest, if any, on the 6% Senior Notes due 2025 redeemed, to the applicable redemption date, if redeemed during the 12-month period beginning on April 1 of the years indicated below:</w:t>
      </w:r>
    </w:p>
    <w:p>
      <w:pPr>
        <w:spacing w:after="0" w:line="192"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1120" w:type="dxa"/>
            <w:vAlign w:val="bottom"/>
          </w:tcPr>
          <w:p>
            <w:pPr>
              <w:jc w:val="right"/>
              <w:ind w:right="154"/>
              <w:spacing w:after="0"/>
              <w:rPr>
                <w:sz w:val="20"/>
                <w:szCs w:val="20"/>
                <w:color w:val="auto"/>
              </w:rPr>
            </w:pPr>
            <w:r>
              <w:rPr>
                <w:rFonts w:ascii="Arial" w:cs="Arial" w:eastAsia="Arial" w:hAnsi="Arial"/>
                <w:sz w:val="14"/>
                <w:szCs w:val="14"/>
                <w:b w:val="1"/>
                <w:bCs w:val="1"/>
                <w:color w:val="auto"/>
              </w:rPr>
              <w:t>Percentage</w:t>
            </w:r>
          </w:p>
        </w:tc>
        <w:tc>
          <w:tcPr>
            <w:tcW w:w="240" w:type="dxa"/>
            <w:vAlign w:val="bottom"/>
          </w:tcPr>
          <w:p>
            <w:pPr>
              <w:spacing w:after="0"/>
              <w:rPr>
                <w:sz w:val="14"/>
                <w:szCs w:val="14"/>
                <w:color w:val="auto"/>
              </w:rPr>
            </w:pPr>
          </w:p>
        </w:tc>
      </w:tr>
      <w:tr>
        <w:trPr>
          <w:trHeight w:val="223"/>
        </w:trPr>
        <w:tc>
          <w:tcPr>
            <w:tcW w:w="5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104.500</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101.500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2023 and thereafter</w:t>
            </w:r>
          </w:p>
        </w:tc>
        <w:tc>
          <w:tcPr>
            <w:tcW w:w="112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right="60" w:firstLine="555"/>
        <w:spacing w:after="0" w:line="291" w:lineRule="auto"/>
        <w:rPr>
          <w:sz w:val="20"/>
          <w:szCs w:val="20"/>
          <w:color w:val="auto"/>
        </w:rPr>
      </w:pPr>
      <w:r>
        <w:rPr>
          <w:rFonts w:ascii="Arial" w:cs="Arial" w:eastAsia="Arial" w:hAnsi="Arial"/>
          <w:sz w:val="16"/>
          <w:szCs w:val="16"/>
          <w:color w:val="auto"/>
        </w:rPr>
        <w:t>Prior to April 1, 2020, we may redeem all or a portion of the 6% Senior Notes due 2025 at a price equal to 100% of the 6% Senior Notes due 2025 redeemed plus accrued and unpaid interest to the redemption date, plus a make-whole premium. At any time prior to April 1, 2020, we are also entitled to redeem up to 35% of the original aggregate principal amount of the 6% Senior Notes due 2025 with proceeds of certain equity financings at a redemption price equal to 106% of the principal amount of the 6% Senior Notes due 2025 redeemed, plus accrued and unpaid interest. If we experience certain change of control events (as defined in the 2025 Indenture), we must offer to repurchase the 6% Senior Notes due 2025 at 101% of their principal amount, plus accrued and unpaid interest to the applicable repurchase date. If we sell assets under certain circumstances and do not use the proceeds for specified purposes, we must offer to repurchase the 6% Senior Notes due 2025 at 100% of their principal amount, plus accrued and unpaid interest to the applicable repurchase date.</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6% Senior Notes due 2025 are subject to redemption imposed by gaming laws and regulations of applicable gaming regulatory authorities.</w:t>
      </w:r>
    </w:p>
    <w:p>
      <w:pPr>
        <w:spacing w:after="0" w:line="237"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color w:val="auto"/>
        </w:rPr>
        <w:t>The 2025 Indenture contains certain covenants limiting, among other things, our ability and the ability of our subsidiaries (other than its unrestricted subsidiaries) to:</w:t>
      </w:r>
    </w:p>
    <w:p>
      <w:pPr>
        <w:spacing w:after="0" w:line="62" w:lineRule="exact"/>
        <w:rPr>
          <w:sz w:val="20"/>
          <w:szCs w:val="20"/>
          <w:color w:val="auto"/>
        </w:rPr>
      </w:pPr>
    </w:p>
    <w:p>
      <w:pPr>
        <w:ind w:left="1120" w:hanging="558"/>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 dividends or distributions or make certain other restricted payments or investments;</w:t>
      </w:r>
    </w:p>
    <w:p>
      <w:pPr>
        <w:spacing w:after="0" w:line="117" w:lineRule="exact"/>
        <w:rPr>
          <w:rFonts w:ascii="Arial" w:cs="Arial" w:eastAsia="Arial" w:hAnsi="Arial"/>
          <w:sz w:val="18"/>
          <w:szCs w:val="18"/>
          <w:color w:val="auto"/>
        </w:rPr>
      </w:pPr>
    </w:p>
    <w:p>
      <w:pPr>
        <w:ind w:left="1120" w:right="240" w:hanging="558"/>
        <w:spacing w:after="0" w:line="277" w:lineRule="auto"/>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disqualified stock or create subordinated indebtedness that is not subordinated to the 6% Senior Notes due 2025 or the guarantees of the 6% Senior Notes due 2025;</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merge, consolidate, or sell, transfer or otherwise dispose of all or substantially all of our assets;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engage in lines of business other than our core business and related businesses;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create restrictions on dividends or other payments by restricted subsidiaries.</w:t>
      </w:r>
    </w:p>
    <w:p>
      <w:pPr>
        <w:spacing w:after="0" w:line="225" w:lineRule="exact"/>
        <w:rPr>
          <w:sz w:val="20"/>
          <w:szCs w:val="20"/>
          <w:color w:val="auto"/>
        </w:rPr>
      </w:pPr>
    </w:p>
    <w:p>
      <w:pPr>
        <w:ind w:right="80" w:firstLine="555"/>
        <w:spacing w:after="0" w:line="264" w:lineRule="auto"/>
        <w:rPr>
          <w:sz w:val="20"/>
          <w:szCs w:val="20"/>
          <w:color w:val="auto"/>
        </w:rPr>
      </w:pPr>
      <w:r>
        <w:rPr>
          <w:rFonts w:ascii="Arial" w:cs="Arial" w:eastAsia="Arial" w:hAnsi="Arial"/>
          <w:sz w:val="18"/>
          <w:szCs w:val="18"/>
          <w:color w:val="auto"/>
        </w:rPr>
        <w:t>These covenants are subject to a number of exceptions and qualifications as set forth in the 6% Senior Notes Indenture due 2025. The 2025 Indenture also provides for customary events of default which, if any of them occurs, would permit or require the principal of and accrued interest on such 6% Senior Notes due 2025 to be declared due and payable.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 Senior Notes due 2026</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September 20, 2018, Delta Merger Sub, Inc. (“Escrow Issuer”), a Delaware corporation and a wholly-owned subsidiary of the Company, issued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$600 million in aggregate principal amount of 6.0% senior notes due 2026 (the “6% Senior Notes due 2026”) pursuant to an indenture, dated as of September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 2018 (the “2026 Indenture”), between Escrow Issuer and U.S. Bank, National Association, as Trustee. Interest on the 6% Senior Notes due 2026 will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paid semi-annually in arrears on March 15 and September 15, commencing March 15, 2019. The Company and the subsidiary guarantors assumed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obligations under the 2026 Indenture in connection with the consummation of the Tropicana Acquisition.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3" w:name="page54"/>
    <w:bookmarkEnd w:id="53"/>
    <w:p>
      <w:pPr>
        <w:ind w:right="200" w:firstLine="555"/>
        <w:spacing w:after="0" w:line="259" w:lineRule="auto"/>
        <w:rPr>
          <w:sz w:val="20"/>
          <w:szCs w:val="20"/>
          <w:color w:val="auto"/>
        </w:rPr>
      </w:pPr>
      <w:r>
        <w:rPr>
          <w:rFonts w:ascii="Arial" w:cs="Arial" w:eastAsia="Arial" w:hAnsi="Arial"/>
          <w:sz w:val="18"/>
          <w:szCs w:val="18"/>
          <w:color w:val="auto"/>
        </w:rPr>
        <w:t>On or after September 15, 2021, the Company may redeem all or a portion of the 6% Senior Notes due 2026 upon not less than 30 nor more than 60 days’ notice, at the redemption prices (expressed as percentages of the principal amount) set forth below plus accrued and unpaid interest and additional interest, if any, on the 6% Senior Notes due 2026 redeemed, to the applicable redemption date, if redeemed during the 12-month period beginning on September 15 of the years indicated below:</w:t>
      </w:r>
    </w:p>
    <w:p>
      <w:pPr>
        <w:spacing w:after="0" w:line="192"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1120" w:type="dxa"/>
            <w:vAlign w:val="bottom"/>
          </w:tcPr>
          <w:p>
            <w:pPr>
              <w:jc w:val="right"/>
              <w:ind w:right="154"/>
              <w:spacing w:after="0"/>
              <w:rPr>
                <w:sz w:val="20"/>
                <w:szCs w:val="20"/>
                <w:color w:val="auto"/>
              </w:rPr>
            </w:pPr>
            <w:r>
              <w:rPr>
                <w:rFonts w:ascii="Arial" w:cs="Arial" w:eastAsia="Arial" w:hAnsi="Arial"/>
                <w:sz w:val="14"/>
                <w:szCs w:val="14"/>
                <w:b w:val="1"/>
                <w:bCs w:val="1"/>
                <w:color w:val="auto"/>
              </w:rPr>
              <w:t>Percentage</w:t>
            </w:r>
          </w:p>
        </w:tc>
        <w:tc>
          <w:tcPr>
            <w:tcW w:w="240" w:type="dxa"/>
            <w:vAlign w:val="bottom"/>
          </w:tcPr>
          <w:p>
            <w:pPr>
              <w:spacing w:after="0"/>
              <w:rPr>
                <w:sz w:val="14"/>
                <w:szCs w:val="14"/>
                <w:color w:val="auto"/>
              </w:rPr>
            </w:pPr>
          </w:p>
        </w:tc>
      </w:tr>
      <w:tr>
        <w:trPr>
          <w:trHeight w:val="223"/>
        </w:trPr>
        <w:tc>
          <w:tcPr>
            <w:tcW w:w="5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104.500</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101.500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2024 and thereafter</w:t>
            </w:r>
          </w:p>
        </w:tc>
        <w:tc>
          <w:tcPr>
            <w:tcW w:w="112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60"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Prior to September 15, 2021, we may redeem all or a portion of the 6% Senior Notes due 2026 at a price equal to 100% of the 6% Senior Notes due 2026 redeemed plus accrued and unpaid interest to the redemption date, plus a make-whole premium. At any time prior to September 15, 2021, we are also entitled to redeem up to 35% of the original aggregate principal amount of the 6% Senior Notes due 2026 with proceeds of certain equity financings at a redemption price equal to 106% of the principal amount of the 6% Senior Notes due 2026 redeemed, plus accrued and unpaid interest. Upon the occurrence of a Change of Control (if the 6% Senior Notes due 2026 do not have investment grade status) or a Change of Control Triggering Event (each as defined in the 2026 Indenture), the Company must offer to repurchase the 6% Senior Notes due 2026 at 101% of their principal amount, plus accrued and unpaid interest to the applicable repurchase date.</w:t>
      </w:r>
    </w:p>
    <w:p>
      <w:pPr>
        <w:spacing w:after="0" w:line="178"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color w:val="auto"/>
        </w:rPr>
        <w:t>If the Company sells assets under certain circumstances and does not use the proceeds for specified purposes, the Company must apply the net proceeds of such sale to make an offer to repurchase the 6% Senior Notes due 2026 at 100% of their principal amount, plus accrued and unpaid interest to the applicable repurchase date.</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6% Senior Notes due 2026 are subject to redemption imposed by gaming laws and regulations of applicable gaming regulatory authorities.</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2026 Indenture contains certain covenants limiting, among other things, the Company’s ability to:</w:t>
      </w:r>
    </w:p>
    <w:p>
      <w:pPr>
        <w:spacing w:after="0" w:line="117" w:lineRule="exact"/>
        <w:rPr>
          <w:sz w:val="20"/>
          <w:szCs w:val="20"/>
          <w:color w:val="auto"/>
        </w:rPr>
      </w:pPr>
    </w:p>
    <w:p>
      <w:pPr>
        <w:ind w:left="1120" w:hanging="558"/>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create, incur or suffer to exist certain liens;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 dividends or make distributions on capital stock or repurchase capital stock;</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place restrictions on the ability of subsidiaries to pay dividends or make other distributions to the Issuer;</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sell certain assets or merge with or consolidate into other companies;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enter into certain types of transactions with the stockholders and affiliates.</w:t>
      </w:r>
    </w:p>
    <w:p>
      <w:pPr>
        <w:spacing w:after="0" w:line="225"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These covenants are subject to a number of exceptions and qualifications as set forth in the 2026 Indenture. The 2026 Indenture also provides for events of default which, if any of them occurs, would permit or require the principal of and accrued interest on such 6% Senior Notes due 2026 to be declared due and payable.</w:t>
      </w:r>
    </w:p>
    <w:p>
      <w:pPr>
        <w:spacing w:after="0" w:line="181" w:lineRule="exact"/>
        <w:rPr>
          <w:sz w:val="20"/>
          <w:szCs w:val="20"/>
          <w:color w:val="auto"/>
        </w:rPr>
      </w:pPr>
    </w:p>
    <w:p>
      <w:pPr>
        <w:ind w:right="20" w:firstLine="555"/>
        <w:spacing w:after="0" w:line="312" w:lineRule="auto"/>
        <w:rPr>
          <w:sz w:val="20"/>
          <w:szCs w:val="20"/>
          <w:color w:val="auto"/>
        </w:rPr>
      </w:pPr>
      <w:r>
        <w:rPr>
          <w:rFonts w:ascii="Arial" w:cs="Arial" w:eastAsia="Arial" w:hAnsi="Arial"/>
          <w:sz w:val="16"/>
          <w:szCs w:val="16"/>
          <w:color w:val="auto"/>
        </w:rPr>
        <w:t>The Company applied the net proceeds of the sale of the 6% Senior Notes due 2026, together with borrowings under its existing revolving credit, cash on hand and Tropicana’s cash on hand, to pay the consideration payable by the Company pursuant to the merger agreement, repay all of the debt outstanding under Tropicana’s existing credit facility and pay fees and costs associated with the Tropicana Acquisition that closed on October 1, 2018.</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20" w:firstLine="555"/>
        <w:spacing w:after="0" w:line="272" w:lineRule="auto"/>
        <w:rPr>
          <w:sz w:val="20"/>
          <w:szCs w:val="20"/>
          <w:color w:val="auto"/>
        </w:rPr>
      </w:pPr>
      <w:r>
        <w:rPr>
          <w:rFonts w:ascii="Arial" w:cs="Arial" w:eastAsia="Arial" w:hAnsi="Arial"/>
          <w:sz w:val="17"/>
          <w:szCs w:val="17"/>
          <w:color w:val="auto"/>
        </w:rPr>
        <w:t>On April 17, 2017, Eagle II entered into a credit agreement by and among Eagle II, as initial borrower, JPMorgan Chase Bank, N.A., as administrative agent, and the lenders party thereto dated as of April 17, 2017 (the “Credit Facility”), consisting of a $1.45 billion term loan facility (the “Term Loan Facility” or “Term Loan”) and a $300.0 million revolving credit facility (the “Revolving Credit Facility”), which was undrawn at closing. The proceeds of the Term Loan Facility, and additional funds in the amount of $4.5 million in respect of interest expected to be accrued on the Term Loan Facility, were placed in escrow pending satisfaction of certain conditions, including consummation of our acquisition of Isle. In connection with the consummation of our acquisition of Isle on May 1, 2017, the escrowed funds were released, and we assumed Eagle II’s obligations under the Credit Facility and certain of our subsidiaries (including Isle and certain of its subsidiaries) executed guarantees of our obligations under the Credit Facility.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4" w:name="page55"/>
    <w:bookmarkEnd w:id="54"/>
    <w:p>
      <w:pPr>
        <w:ind w:right="220" w:firstLine="555"/>
        <w:spacing w:after="0" w:line="259" w:lineRule="auto"/>
        <w:rPr>
          <w:sz w:val="20"/>
          <w:szCs w:val="20"/>
          <w:color w:val="auto"/>
        </w:rPr>
      </w:pPr>
      <w:r>
        <w:rPr>
          <w:rFonts w:ascii="Arial" w:cs="Arial" w:eastAsia="Arial" w:hAnsi="Arial"/>
          <w:sz w:val="18"/>
          <w:szCs w:val="18"/>
          <w:color w:val="auto"/>
        </w:rPr>
        <w:t>As of December 31, 2018, we had $956.8 million of borrowings outstanding under the Term Loan and $245.0 million of borrowings outstanding under the Revolving Credit Facility. We had $242.3 million of available borrowing capacity, after consideration of $12.7 million in outstanding letters of credit, under our Revolving Credit Facility as of December 31, 2018. At December 31, 2018, the weighted average interest rate on the term loan was 4.3%, and the weighted average interest rate on the Revolving Credit Facility was 4.6%.</w:t>
      </w:r>
    </w:p>
    <w:p>
      <w:pPr>
        <w:spacing w:after="0" w:line="187"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We applied the net proceeds of the Term Loan Facility and borrowings under the Revolving Credit Facility totaling $135 million, together with the proceeds of the 6% Senior Notes due 2025 and cash on hand, to (i) pay the cash portion of the consideration payable in our acquisition of Isle, (ii) refinance all of the debt outstanding under Isle’s existing credit facility, (iii) redeem or otherwise repurchase all of Isle’s outstanding 5.875% Senior Notes due 2021 and 8.875% Senior Subordinated Notes due 2020, (iv) repay all amounts outstanding under our Prior Credit Facility and (v) pay fees and costs associated with our acquisition of Isle and such financing transactions.</w:t>
      </w:r>
    </w:p>
    <w:p>
      <w:pPr>
        <w:spacing w:after="0" w:line="188" w:lineRule="exact"/>
        <w:rPr>
          <w:sz w:val="20"/>
          <w:szCs w:val="20"/>
          <w:color w:val="auto"/>
        </w:rPr>
      </w:pPr>
    </w:p>
    <w:p>
      <w:pPr>
        <w:ind w:right="20" w:firstLine="555"/>
        <w:spacing w:after="0" w:line="273" w:lineRule="auto"/>
        <w:rPr>
          <w:sz w:val="20"/>
          <w:szCs w:val="20"/>
          <w:color w:val="auto"/>
        </w:rPr>
      </w:pPr>
      <w:r>
        <w:rPr>
          <w:rFonts w:ascii="Arial" w:cs="Arial" w:eastAsia="Arial" w:hAnsi="Arial"/>
          <w:sz w:val="17"/>
          <w:szCs w:val="17"/>
          <w:color w:val="auto"/>
        </w:rPr>
        <w:t>Our obligations under the Revolving Credit Facility will mature on April 17, 2022. Our obligations under the Term Loan Facility will mature on April 17, 2024. We were required to make quarterly principal payments in an amount equal to $3.6 million on the Term Loan Facility on the last day of each fiscal quarter beginning on June 30, 2017. We satisfied this requirement as a result of the principal prepayment of $444.5 million on September 13, 2017 in conjunction with the issuance of the additional 6% Senior Notes due 2025. In addition, we are required to make mandatory payments of amounts outstanding under the Credit Facility with the proceeds of certain casualty events, debt issuances, and asset sales and, depending on its consolidated total leverage ratio, we are required to apply a portion of its excess cash flow to repay amounts outstanding under the Credit Facility.</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interest rate per annum applicable to loans under the Revolving Credit Facility is, at our option, either (i) LIBOR plus a margin ranging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1.75% to 2.50% or (ii) a base rate plus a margin ranging from 0.75% to 1.50%, which margin is based on our total leverage ratio. The interest rate per annum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to the loans under the Term Loan Facility is, at our option, either (i) LIBOR plus 2.25%, or (ii) a base rate plus 1.25%; provided, however, that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 event will LIBOR be less than zero or the base rate be less than 1.00% over the term of the Term Loan Facility or the Revolving Credit Facility.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Additionally, we pay a commitment fee on the unused portion of the Revolving Credit Facility not being utilized in the amount of 0.50% per annum.</w:t>
      </w:r>
    </w:p>
    <w:p>
      <w:pPr>
        <w:spacing w:after="0" w:line="222" w:lineRule="exact"/>
        <w:rPr>
          <w:sz w:val="20"/>
          <w:szCs w:val="20"/>
          <w:color w:val="auto"/>
        </w:rPr>
      </w:pPr>
    </w:p>
    <w:p>
      <w:pPr>
        <w:ind w:right="120" w:firstLine="555"/>
        <w:spacing w:after="0" w:line="291" w:lineRule="auto"/>
        <w:rPr>
          <w:sz w:val="20"/>
          <w:szCs w:val="20"/>
          <w:color w:val="auto"/>
        </w:rPr>
      </w:pPr>
      <w:r>
        <w:rPr>
          <w:rFonts w:ascii="Arial" w:cs="Arial" w:eastAsia="Arial" w:hAnsi="Arial"/>
          <w:sz w:val="16"/>
          <w:szCs w:val="16"/>
          <w:color w:val="auto"/>
        </w:rPr>
        <w:t>The Credit Facility is secured by substantially all of our personal property assets and substantially all personal property assets of each subsidiary that guaranties the Credit Facility (other than certain subsidiary guarantors designated as immaterial), whether owned on the closing date of the Credit Facility or thereafter acquired, and mortgages on the real property and improvements owned or leased us or the credit facility guarantors. The Credit Facility is also secured by a pledge of all of the equity owned by us and the credit facility guarantors (subject to certain gaming law restrictions). The credit agreement governing the Credit Facility contains a number of customary covenants that, among other things, restrict, subject to certain exceptions, our ability and the ability of the Credit Facility guarantors to incur additional indebtedness, create liens, engage in mergers, consolidations or asset dispositions, make distributions, make investments, loans or advances, engage in certain transactions with affiliates or subsidiaries or make capital expenditures.</w:t>
      </w:r>
    </w:p>
    <w:p>
      <w:pPr>
        <w:spacing w:after="0" w:line="167" w:lineRule="exact"/>
        <w:rPr>
          <w:sz w:val="20"/>
          <w:szCs w:val="20"/>
          <w:color w:val="auto"/>
        </w:rPr>
      </w:pPr>
    </w:p>
    <w:p>
      <w:pPr>
        <w:ind w:right="260" w:firstLine="555"/>
        <w:spacing w:after="0" w:line="286" w:lineRule="auto"/>
        <w:rPr>
          <w:sz w:val="20"/>
          <w:szCs w:val="20"/>
          <w:color w:val="auto"/>
        </w:rPr>
      </w:pPr>
      <w:r>
        <w:rPr>
          <w:rFonts w:ascii="Arial" w:cs="Arial" w:eastAsia="Arial" w:hAnsi="Arial"/>
          <w:sz w:val="17"/>
          <w:szCs w:val="17"/>
          <w:color w:val="auto"/>
        </w:rPr>
        <w:t>The Credit Facility contains a number of customary covenants that, among other things, restrict, subject to certain exceptions, our ability and the ability of the subsidiary guarantors to incur debt; create liens; engage in mergers, consolidations or asset dispositions; pay dividends or make distributions; make investments, loans or advances; engage in certain transactions with affiliates or subsidiaries; or modify their lines of business.</w:t>
      </w:r>
    </w:p>
    <w:p>
      <w:pPr>
        <w:spacing w:after="0" w:line="166" w:lineRule="exact"/>
        <w:rPr>
          <w:sz w:val="20"/>
          <w:szCs w:val="20"/>
          <w:color w:val="auto"/>
        </w:rPr>
      </w:pPr>
    </w:p>
    <w:p>
      <w:pPr>
        <w:ind w:right="20" w:firstLine="555"/>
        <w:spacing w:after="0" w:line="290" w:lineRule="auto"/>
        <w:rPr>
          <w:sz w:val="20"/>
          <w:szCs w:val="20"/>
          <w:color w:val="auto"/>
        </w:rPr>
      </w:pPr>
      <w:r>
        <w:rPr>
          <w:rFonts w:ascii="Arial" w:cs="Arial" w:eastAsia="Arial" w:hAnsi="Arial"/>
          <w:sz w:val="16"/>
          <w:szCs w:val="16"/>
          <w:color w:val="auto"/>
        </w:rPr>
        <w:t>The Credit Facility also includes certain financial covenants, including the requirements that we maintain throughout the term of the Credit Facility and measured as of the end of each fiscal quarter, and solely with respect to loans under the Revolving Credit Facility, a maximum consolidated total leverage ratio of not more than 6.50 to 1.00 for the period beginning on the closing date and ending with the fiscal quarter ending December 31, 2018, 6.00 to 1.00 for the period beginning with the fiscal quarter beginning January 1, 2019 and ending with the fiscal quarter ending December 31, 2019, and 5.50 to 1.00 for the period beginning with the fiscal quarter beginning January 1, 2020 and thereafter. We will also be required to maintain an interest coverage ratio in an amount not less than 2.00 to 1.00 measured on the last day of each fiscal quarter beginning on the closing date, and ending with the fiscal quarter ending December 31, 2018, 2.50 to 1.00 for the period beginning with the fiscal quarter beginning January 1, 2019 and ending with the fiscal quarter ending December 31, 2019, and 2.75 to 1.00 for the period beginning with the fiscal quarter beginning January 1, 2020 and thereafter.</w:t>
      </w:r>
    </w:p>
    <w:p>
      <w:pPr>
        <w:spacing w:after="0" w:line="166"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color w:val="auto"/>
        </w:rPr>
        <w:t>The Credit Facility contains a number of customary events of default, including, among others, for the non-payment of principal, interest or other amounts, the inaccuracy of certain representations and warranties, the failure to perform or observe certain covenants, a cross default to our other indebtedness including the 6% Senior Notes due 2025 and 7% Senior Notes due 2023, certain events of bankruptcy or insolvency; certain ERISA events, the invalidity of certain loan documents, certain changes of control and the loss of certain classes of licenses to conduct gaming. If any event of default occurs, the lenders under the Credit Facility would be entitled to take various actions, including accelerating amounts outstanding thereunder and taking all actions permitted to be taken by a secured creditor.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5" w:name="page56"/>
    <w:bookmarkEnd w:id="55"/>
    <w:p>
      <w:pPr>
        <w:ind w:right="420" w:firstLine="555"/>
        <w:spacing w:after="0" w:line="259" w:lineRule="auto"/>
        <w:rPr>
          <w:sz w:val="20"/>
          <w:szCs w:val="20"/>
          <w:color w:val="auto"/>
        </w:rPr>
      </w:pPr>
      <w:r>
        <w:rPr>
          <w:rFonts w:ascii="Arial" w:cs="Arial" w:eastAsia="Arial" w:hAnsi="Arial"/>
          <w:sz w:val="18"/>
          <w:szCs w:val="18"/>
          <w:color w:val="auto"/>
        </w:rPr>
        <w:t>On June 6, 2018, we executed an amendment that modified certain covenants in the Credit Facility to allow for considerations related to the acquisition of Tropicana. The borrowing capacity of the Revolving Credit Facility increased from $300 million to $500 million effective substantially concurrently with the consummation of the Tropicana Acquisition on October 1, 2018 and the maturity date of the Revolving Credit Facility extended to October 1, 2023.</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Lumière Loan</w:t>
      </w:r>
    </w:p>
    <w:p>
      <w:pPr>
        <w:spacing w:after="0" w:line="117" w:lineRule="exact"/>
        <w:rPr>
          <w:sz w:val="20"/>
          <w:szCs w:val="20"/>
          <w:color w:val="auto"/>
        </w:rPr>
      </w:pPr>
    </w:p>
    <w:p>
      <w:pPr>
        <w:ind w:right="40" w:firstLine="555"/>
        <w:spacing w:after="0" w:line="268" w:lineRule="auto"/>
        <w:rPr>
          <w:sz w:val="20"/>
          <w:szCs w:val="20"/>
          <w:color w:val="auto"/>
        </w:rPr>
      </w:pPr>
      <w:r>
        <w:rPr>
          <w:rFonts w:ascii="Arial" w:cs="Arial" w:eastAsia="Arial" w:hAnsi="Arial"/>
          <w:sz w:val="17"/>
          <w:szCs w:val="17"/>
          <w:color w:val="auto"/>
        </w:rPr>
        <w:t>We borrowed $246 million from GLPI to fund the entire purchase price of the real estate underlying Lumière. The Lumière Loan bears interest at a rate equal to (i) 9.09% until October 1, 2019 and (ii) 9.27% until October 1, 2020, and matures on October 1, 2020. The Lumière Loan is secured by a first priority mortgage on the Lumière real property until October 1, 2019. In connection with the issuance of the Lumière Loan, we agreed to use our commercially reasonable efforts to transfer one or more of the Grand Victoria Casino, Isle Casino Bettendorf, Isle Casino Hotel Waterloo, Isle of Capri Lula, Lady Luck Casino Vicksburg and Mountaineer Casino, Racetrack and Resort or such other property or properties mutually acceptable to us and GLPI, provided that the aggregate value of such property, individually or collectively, is at least $246 million (the “Replacement Property”), to GLPI with a simultaneous leaseback to us of such Replacement Property. In connection with such Replacement Property sale, (i) we and GLPI will enter into an amendment to the Master Lease to revise the economic terms to include the Replacement Property, (ii) GLPI, or one of its affiliates, will assume the Lumière Loan and Tropicana St. Louis RE’s obligations under the Lumière Loan in consideration of the acquisition of the Replacement Property and our obligations under the Lumière Loan will be deemed to have been satisfied, (iii) the Lumière Real Property will be released from the lien placed on it in connection with the Lumière Loan (if such lien has not yet been released in accordance with the terms of the Lumière Loan) and (iv) in the event the value of the Replacement Property is greater than the our outstanding obligations under the Lumière Loan, GLPI will pay us the difference between the value of the Replacement Property and the amount of outstanding obligations under the Lumière Loan. If such Replacement Property transaction is not consummated prior to the maturity date of the Lumière Loan, other than as a result of certain failures to perform by GLPI, then the amounts outstanding will be paid in full and the rent under the Master Lease will automatically increase, subject to certain escalations.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Master Lease</w:t>
      </w:r>
    </w:p>
    <w:p>
      <w:pPr>
        <w:spacing w:after="0" w:line="117" w:lineRule="exact"/>
        <w:rPr>
          <w:sz w:val="20"/>
          <w:szCs w:val="20"/>
          <w:color w:val="auto"/>
        </w:rPr>
      </w:pPr>
    </w:p>
    <w:p>
      <w:pPr>
        <w:ind w:right="320" w:firstLine="555"/>
        <w:spacing w:after="0" w:line="277" w:lineRule="auto"/>
        <w:rPr>
          <w:sz w:val="20"/>
          <w:szCs w:val="20"/>
          <w:color w:val="auto"/>
        </w:rPr>
      </w:pPr>
      <w:r>
        <w:rPr>
          <w:rFonts w:ascii="Arial" w:cs="Arial" w:eastAsia="Arial" w:hAnsi="Arial"/>
          <w:sz w:val="18"/>
          <w:szCs w:val="18"/>
          <w:color w:val="auto"/>
        </w:rPr>
        <w:t>Our Master Lease is accounted for as a financing obligation and totaled $959.8 million as of December 31, 2018. See Note 10 to our consolidated financial statements for additional information about our Master Lease and related matters.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 Compliance</w:t>
      </w:r>
    </w:p>
    <w:p>
      <w:pPr>
        <w:spacing w:after="0" w:line="121" w:lineRule="exact"/>
        <w:rPr>
          <w:sz w:val="20"/>
          <w:szCs w:val="20"/>
          <w:color w:val="auto"/>
        </w:rPr>
      </w:pPr>
    </w:p>
    <w:p>
      <w:pPr>
        <w:ind w:right="380" w:firstLine="555"/>
        <w:spacing w:after="0" w:line="277" w:lineRule="auto"/>
        <w:rPr>
          <w:sz w:val="20"/>
          <w:szCs w:val="20"/>
          <w:color w:val="auto"/>
        </w:rPr>
      </w:pPr>
      <w:r>
        <w:rPr>
          <w:rFonts w:ascii="Arial" w:cs="Arial" w:eastAsia="Arial" w:hAnsi="Arial"/>
          <w:sz w:val="18"/>
          <w:szCs w:val="18"/>
          <w:color w:val="auto"/>
        </w:rPr>
        <w:t>As of December 31, 2018, we were in compliance with all of the covenants under the 7% Senior Notes due 2023, 6% Senior Notes due 2025, 6% Senior Notes due 2026, the Credit Facility, the Master Lease and the Lumière Loan.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estimated contractual payment obligations as of December 31, 2018: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33"/>
              <w:spacing w:after="0"/>
              <w:rPr>
                <w:sz w:val="20"/>
                <w:szCs w:val="20"/>
                <w:color w:val="auto"/>
              </w:rPr>
            </w:pPr>
            <w:r>
              <w:rPr>
                <w:rFonts w:ascii="Arial" w:cs="Arial" w:eastAsia="Arial" w:hAnsi="Arial"/>
                <w:sz w:val="14"/>
                <w:szCs w:val="14"/>
                <w:b w:val="1"/>
                <w:bCs w:val="1"/>
                <w:color w:val="auto"/>
                <w:w w:val="94"/>
              </w:rPr>
              <w:t>Less than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More than</w:t>
            </w:r>
          </w:p>
        </w:tc>
      </w:tr>
      <w:tr>
        <w:trPr>
          <w:trHeight w:val="171"/>
        </w:trPr>
        <w:tc>
          <w:tcPr>
            <w:tcW w:w="4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60" w:type="dxa"/>
            <w:vAlign w:val="bottom"/>
          </w:tcPr>
          <w:p>
            <w:pPr>
              <w:jc w:val="right"/>
              <w:ind w:right="233"/>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13"/>
              <w:spacing w:after="0"/>
              <w:rPr>
                <w:sz w:val="20"/>
                <w:szCs w:val="20"/>
                <w:color w:val="auto"/>
              </w:rPr>
            </w:pPr>
            <w:r>
              <w:rPr>
                <w:rFonts w:ascii="Arial" w:cs="Arial" w:eastAsia="Arial" w:hAnsi="Arial"/>
                <w:sz w:val="14"/>
                <w:szCs w:val="14"/>
                <w:b w:val="1"/>
                <w:bCs w:val="1"/>
                <w:color w:val="auto"/>
                <w:w w:val="99"/>
              </w:rPr>
              <w:t>1 - 3 years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3 - 5 years</w:t>
            </w:r>
          </w:p>
        </w:tc>
        <w:tc>
          <w:tcPr>
            <w:tcW w:w="140" w:type="dxa"/>
            <w:vAlign w:val="bottom"/>
          </w:tcPr>
          <w:p>
            <w:pPr>
              <w:spacing w:after="0"/>
              <w:rPr>
                <w:sz w:val="14"/>
                <w:szCs w:val="14"/>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5 years</w:t>
            </w:r>
          </w:p>
        </w:tc>
      </w:tr>
      <w:tr>
        <w:trPr>
          <w:trHeight w:val="156"/>
        </w:trPr>
        <w:tc>
          <w:tcPr>
            <w:tcW w:w="4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w w:val="96"/>
              </w:rPr>
              <w:t>(in millions)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Contractual cash obligations:</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Long-term debt obligations(1)</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3,300.8</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246.4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620.3</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2,433.6</w:t>
            </w:r>
          </w:p>
        </w:tc>
        <w:tc>
          <w:tcPr>
            <w:tcW w:w="120" w:type="dxa"/>
            <w:vAlign w:val="bottom"/>
          </w:tcPr>
          <w:p>
            <w:pPr>
              <w:spacing w:after="0"/>
              <w:rPr>
                <w:sz w:val="19"/>
                <w:szCs w:val="19"/>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Estimated interest payments on long-term debt(2)</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w:t>
            </w:r>
          </w:p>
        </w:tc>
        <w:tc>
          <w:tcPr>
            <w:tcW w:w="120" w:type="dxa"/>
            <w:vAlign w:val="bottom"/>
            <w:shd w:val="clear" w:color="auto" w:fill="CFF0FC"/>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Operating leases(3)</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178.2</w:t>
            </w:r>
          </w:p>
        </w:tc>
        <w:tc>
          <w:tcPr>
            <w:tcW w:w="120" w:type="dxa"/>
            <w:vAlign w:val="bottom"/>
          </w:tcPr>
          <w:p>
            <w:pPr>
              <w:spacing w:after="0"/>
              <w:rPr>
                <w:sz w:val="19"/>
                <w:szCs w:val="19"/>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Gaming tax and license fees(4)</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98"/>
              </w:rPr>
              <w:t>See note (4)</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Purchase and other contractual obligations(5)</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Minimum purse obligations(6)</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Contingent earn-out payments(7)</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Regulatory gaming assessments(8)</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Obligation to GLPI(9)</w:t>
            </w:r>
          </w:p>
        </w:tc>
        <w:tc>
          <w:tcPr>
            <w:tcW w:w="8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3,958.9</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3,506.7</w:t>
            </w:r>
          </w:p>
        </w:tc>
        <w:tc>
          <w:tcPr>
            <w:tcW w:w="120" w:type="dxa"/>
            <w:vAlign w:val="bottom"/>
            <w:tcBorders>
              <w:bottom w:val="single" w:sz="8" w:color="CFF0FC"/>
            </w:tcBorders>
          </w:tcPr>
          <w:p>
            <w:pPr>
              <w:spacing w:after="0"/>
              <w:rPr>
                <w:sz w:val="19"/>
                <w:szCs w:val="19"/>
                <w:color w:val="auto"/>
              </w:rPr>
            </w:pPr>
          </w:p>
        </w:tc>
      </w:tr>
      <w:tr>
        <w:trPr>
          <w:trHeight w:val="223"/>
        </w:trPr>
        <w:tc>
          <w:tcPr>
            <w:tcW w:w="44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8,710.5</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360.1</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861.1</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1,194.6</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6,294.7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left="560" w:right="80" w:hanging="552"/>
        <w:spacing w:after="0" w:line="277" w:lineRule="auto"/>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These amounts are included in our consolidated balance sheets, which are included elsewhere in this report. See Note 11 to our consolidated financial statements for additional information about our debt and related matters.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6" w:name="page57"/>
    <w:bookmarkEnd w:id="56"/>
    <w:p>
      <w:pPr>
        <w:ind w:left="560" w:right="200" w:hanging="552"/>
        <w:spacing w:after="0" w:line="277" w:lineRule="auto"/>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Estimated interest payments on long-term debt are based on LIBOR rates and principal amounts outstanding on the Credit Facility at December 31, 2018.</w:t>
      </w:r>
    </w:p>
    <w:p>
      <w:pPr>
        <w:spacing w:after="0" w:line="62" w:lineRule="exact"/>
        <w:rPr>
          <w:rFonts w:ascii="Arial" w:cs="Arial" w:eastAsia="Arial" w:hAnsi="Arial"/>
          <w:sz w:val="18"/>
          <w:szCs w:val="18"/>
          <w:color w:val="auto"/>
        </w:rPr>
      </w:pPr>
    </w:p>
    <w:p>
      <w:pPr>
        <w:ind w:left="560" w:hanging="552"/>
        <w:spacing w:after="0"/>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operating lease obligations are described in Note 17 to our consolidated financial statements.</w:t>
      </w:r>
    </w:p>
    <w:p>
      <w:pPr>
        <w:spacing w:after="0" w:line="117" w:lineRule="exact"/>
        <w:rPr>
          <w:rFonts w:ascii="Arial" w:cs="Arial" w:eastAsia="Arial" w:hAnsi="Arial"/>
          <w:sz w:val="18"/>
          <w:szCs w:val="18"/>
          <w:color w:val="auto"/>
        </w:rPr>
      </w:pPr>
    </w:p>
    <w:p>
      <w:pPr>
        <w:ind w:left="560" w:right="20" w:hanging="552"/>
        <w:spacing w:after="0" w:line="276" w:lineRule="auto"/>
        <w:tabs>
          <w:tab w:leader="none" w:pos="5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Includes an annual table gaming license fee of $2.5 million for Mountaineer which is due on July 1st of each year for as long as Mountaineer operates table games. Includes our obligation for gaming taxes at Presque Isle Downs, which is set at a minimum of $10.0 million per year, as required by the Pennsylvania Gaming Control Board. Also includes our obligation at Presque Isle Downs, as the holder of a Category 1 license, to create a fund to be used for the improvement and maintenance of the backside area of the racetrack with an amount of not less than $250,000 or more than $1 million annually for a five-year period beginning in 2017. We sold Presque Isle Downs in January 2019.</w:t>
      </w:r>
    </w:p>
    <w:p>
      <w:pPr>
        <w:spacing w:after="0" w:line="64" w:lineRule="exact"/>
        <w:rPr>
          <w:rFonts w:ascii="Arial" w:cs="Arial" w:eastAsia="Arial" w:hAnsi="Arial"/>
          <w:sz w:val="17"/>
          <w:szCs w:val="17"/>
          <w:color w:val="auto"/>
        </w:rPr>
      </w:pPr>
    </w:p>
    <w:p>
      <w:pPr>
        <w:ind w:left="560" w:hanging="552"/>
        <w:spacing w:after="0"/>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any construction or other contracts which are not operating or capital leases.</w:t>
      </w:r>
    </w:p>
    <w:p>
      <w:pPr>
        <w:spacing w:after="0" w:line="117" w:lineRule="exact"/>
        <w:rPr>
          <w:rFonts w:ascii="Arial" w:cs="Arial" w:eastAsia="Arial" w:hAnsi="Arial"/>
          <w:sz w:val="18"/>
          <w:szCs w:val="18"/>
          <w:color w:val="auto"/>
        </w:rPr>
      </w:pPr>
    </w:p>
    <w:p>
      <w:pPr>
        <w:ind w:left="560" w:hanging="552"/>
        <w:spacing w:after="0" w:line="259" w:lineRule="auto"/>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Pursuant to an agreement with the Mountaineer Park Horsemen’s Benevolent and Protective Association, Inc. and/or in accordance with the West Virginia racing statute, Mountaineer is required to utilize its best efforts to conduct racing for a minimum of 210 days and pay average daily minimum purses established by Mountaineer prior to the first live racing date each year ($85,000 for 2019) for the term of the agreement, which expires on December 31, 2019.</w:t>
      </w:r>
    </w:p>
    <w:p>
      <w:pPr>
        <w:spacing w:after="0" w:line="78" w:lineRule="exact"/>
        <w:rPr>
          <w:rFonts w:ascii="Arial" w:cs="Arial" w:eastAsia="Arial" w:hAnsi="Arial"/>
          <w:sz w:val="18"/>
          <w:szCs w:val="18"/>
          <w:color w:val="auto"/>
        </w:rPr>
      </w:pPr>
    </w:p>
    <w:p>
      <w:pPr>
        <w:ind w:left="560" w:right="120" w:hanging="552"/>
        <w:spacing w:after="0" w:line="219" w:lineRule="exact"/>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connection with the 2003 purchase of Scioto Downs, certain stockholders of Scioto Downs elected the option to receive cash and contingent earn</w:t>
      </w:r>
      <w:r>
        <w:rPr>
          <w:rFonts w:ascii="MS PGothic" w:cs="MS PGothic" w:eastAsia="MS PGothic" w:hAnsi="MS PGothic"/>
          <w:sz w:val="18"/>
          <w:szCs w:val="18"/>
          <w:color w:val="auto"/>
        </w:rPr>
        <w:t>‑</w:t>
      </w:r>
      <w:r>
        <w:rPr>
          <w:rFonts w:ascii="Arial" w:cs="Arial" w:eastAsia="Arial" w:hAnsi="Arial"/>
          <w:sz w:val="18"/>
          <w:szCs w:val="18"/>
          <w:color w:val="auto"/>
        </w:rPr>
        <w:t>out payments (“CEP Rights”) in lieu of all cash for their outstanding shares of Scioto Downs’ common stock. The triggering event occurred when Scioto Downs received its permanent VLT license in May 2012 and commenced gaming operations. As a result, we recorded a liability for the estimated ten-year payout to the stockholders who elected to receive the CEP Rights. The future obligation was calculated based on Scioto Downs’ projected EBITDA for the ten calendar years beginning January 1, 2013.</w:t>
      </w:r>
    </w:p>
    <w:p>
      <w:pPr>
        <w:spacing w:after="0" w:line="97" w:lineRule="exact"/>
        <w:rPr>
          <w:rFonts w:ascii="Arial" w:cs="Arial" w:eastAsia="Arial" w:hAnsi="Arial"/>
          <w:sz w:val="18"/>
          <w:szCs w:val="18"/>
          <w:color w:val="auto"/>
        </w:rPr>
      </w:pPr>
    </w:p>
    <w:p>
      <w:pPr>
        <w:ind w:left="560" w:right="40" w:hanging="552"/>
        <w:spacing w:after="0" w:line="277" w:lineRule="auto"/>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These amounts are included in our consolidated balance sheets, which are included elsewhere in this report. See Note 17 to our consolidated financial statements for additional information regarding our regulatory gaming assessments.</w:t>
      </w:r>
    </w:p>
    <w:p>
      <w:pPr>
        <w:spacing w:after="0" w:line="62" w:lineRule="exact"/>
        <w:rPr>
          <w:rFonts w:ascii="Arial" w:cs="Arial" w:eastAsia="Arial" w:hAnsi="Arial"/>
          <w:sz w:val="18"/>
          <w:szCs w:val="18"/>
          <w:color w:val="auto"/>
        </w:rPr>
      </w:pPr>
    </w:p>
    <w:p>
      <w:pPr>
        <w:ind w:left="560" w:right="220" w:hanging="552"/>
        <w:spacing w:after="0" w:line="277" w:lineRule="auto"/>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Master Lease annual estimated payments consist of building base rent totaling $60.9 million, land base rent totaling $13.4 million and variable rent totaling $13.4 million. The building base rent includes an annual 2% escalation.</w:t>
      </w:r>
    </w:p>
    <w:p>
      <w:pPr>
        <w:spacing w:after="0" w:line="170" w:lineRule="exact"/>
        <w:rPr>
          <w:sz w:val="20"/>
          <w:szCs w:val="20"/>
          <w:color w:val="auto"/>
        </w:rPr>
      </w:pPr>
    </w:p>
    <w:p>
      <w:pPr>
        <w:ind w:right="140" w:firstLine="555"/>
        <w:spacing w:after="0" w:line="342" w:lineRule="auto"/>
        <w:rPr>
          <w:sz w:val="20"/>
          <w:szCs w:val="20"/>
          <w:color w:val="auto"/>
        </w:rPr>
      </w:pPr>
      <w:r>
        <w:rPr>
          <w:rFonts w:ascii="Arial" w:cs="Arial" w:eastAsia="Arial" w:hAnsi="Arial"/>
          <w:sz w:val="16"/>
          <w:szCs w:val="16"/>
          <w:color w:val="auto"/>
        </w:rPr>
        <w:t>The table above excludes certain commitments as of December 31, 2018, for which the timing of expenditures associated with such commitments is unknown, or contractual agreements have not been executed, or the guaranteed maximum price for such contractual agreements has not been agreed upon.</w:t>
      </w:r>
    </w:p>
    <w:p>
      <w:pPr>
        <w:spacing w:after="0" w:line="124" w:lineRule="exact"/>
        <w:rPr>
          <w:sz w:val="20"/>
          <w:szCs w:val="20"/>
          <w:color w:val="auto"/>
        </w:rPr>
      </w:pPr>
    </w:p>
    <w:p>
      <w:pPr>
        <w:ind w:right="240" w:firstLine="555"/>
        <w:spacing w:after="0" w:line="221" w:lineRule="exact"/>
        <w:rPr>
          <w:sz w:val="20"/>
          <w:szCs w:val="20"/>
          <w:color w:val="auto"/>
        </w:rPr>
      </w:pPr>
      <w:r>
        <w:rPr>
          <w:rFonts w:ascii="Arial" w:cs="Arial" w:eastAsia="Arial" w:hAnsi="Arial"/>
          <w:sz w:val="18"/>
          <w:szCs w:val="18"/>
          <w:color w:val="auto"/>
        </w:rPr>
        <w:t>The repayment of our long</w:t>
      </w:r>
      <w:r>
        <w:rPr>
          <w:rFonts w:ascii="MS PGothic" w:cs="MS PGothic" w:eastAsia="MS PGothic" w:hAnsi="MS PGothic"/>
          <w:sz w:val="18"/>
          <w:szCs w:val="18"/>
          <w:color w:val="auto"/>
        </w:rPr>
        <w:t>‑</w:t>
      </w:r>
      <w:r>
        <w:rPr>
          <w:rFonts w:ascii="Arial" w:cs="Arial" w:eastAsia="Arial" w:hAnsi="Arial"/>
          <w:sz w:val="18"/>
          <w:szCs w:val="18"/>
          <w:color w:val="auto"/>
        </w:rPr>
        <w:t>term debt, which consists of indebtedness evidenced by the 6% Senior Notes due 2025, 6% Senior Notes due 2026, 7% Senior Notes due 2023 and the Credit Facility, is subject to acceleration upon the occurrence of an event of default under the indentures governing these obligations.</w:t>
      </w:r>
    </w:p>
    <w:p>
      <w:pPr>
        <w:spacing w:after="0" w:line="202" w:lineRule="exact"/>
        <w:rPr>
          <w:sz w:val="20"/>
          <w:szCs w:val="20"/>
          <w:color w:val="auto"/>
        </w:rPr>
      </w:pPr>
    </w:p>
    <w:p>
      <w:pPr>
        <w:ind w:right="260" w:firstLine="555"/>
        <w:spacing w:after="0" w:line="264" w:lineRule="auto"/>
        <w:rPr>
          <w:sz w:val="20"/>
          <w:szCs w:val="20"/>
          <w:color w:val="auto"/>
        </w:rPr>
      </w:pPr>
      <w:r>
        <w:rPr>
          <w:rFonts w:ascii="Arial" w:cs="Arial" w:eastAsia="Arial" w:hAnsi="Arial"/>
          <w:sz w:val="18"/>
          <w:szCs w:val="18"/>
          <w:color w:val="auto"/>
        </w:rPr>
        <w:t>We routinely enter into operational contracts in the ordinary course of our business, including construction contracts for minor projects that are not material to our business or financial condition as a whole. Our commitments relating to these contracts are recognized as liabilities in our consolidated balance sheets when services are provided with respect to such contracts.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currently have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believe that inflation has had a significant impact on our revenues, results of operations or cash flows since inception.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121" w:lineRule="exact"/>
        <w:rPr>
          <w:sz w:val="20"/>
          <w:szCs w:val="20"/>
          <w:color w:val="auto"/>
        </w:rPr>
      </w:pPr>
    </w:p>
    <w:p>
      <w:pPr>
        <w:ind w:right="160" w:firstLine="555"/>
        <w:spacing w:after="0" w:line="279" w:lineRule="auto"/>
        <w:rPr>
          <w:sz w:val="20"/>
          <w:szCs w:val="20"/>
          <w:color w:val="auto"/>
        </w:rPr>
      </w:pPr>
      <w:r>
        <w:rPr>
          <w:rFonts w:ascii="Arial" w:cs="Arial" w:eastAsia="Arial" w:hAnsi="Arial"/>
          <w:sz w:val="17"/>
          <w:szCs w:val="17"/>
          <w:color w:val="auto"/>
        </w:rPr>
        <w:t>We are faced with certain contingencies involving litigation and environmental remediation and compliance. These commitments and contingencies are discussed in greater detail in “</w:t>
      </w:r>
      <w:r>
        <w:rPr>
          <w:rFonts w:ascii="Arial" w:cs="Arial" w:eastAsia="Arial" w:hAnsi="Arial"/>
          <w:sz w:val="17"/>
          <w:szCs w:val="17"/>
          <w:i w:val="1"/>
          <w:iCs w:val="1"/>
          <w:color w:val="auto"/>
        </w:rPr>
        <w:t>Part I, Item 3. Legal Proceedings</w:t>
      </w:r>
      <w:r>
        <w:rPr>
          <w:rFonts w:ascii="Arial" w:cs="Arial" w:eastAsia="Arial" w:hAnsi="Arial"/>
          <w:sz w:val="17"/>
          <w:szCs w:val="17"/>
          <w:color w:val="auto"/>
        </w:rPr>
        <w:t>” and Note 17 to our consolidated financial statements, both of which are included elsewhere in this report. In addition, new competition may have a material adverse effect on our revenues and could have a similar adverse effect on our liquidity. See “</w:t>
      </w:r>
      <w:r>
        <w:rPr>
          <w:rFonts w:ascii="Arial" w:cs="Arial" w:eastAsia="Arial" w:hAnsi="Arial"/>
          <w:sz w:val="17"/>
          <w:szCs w:val="17"/>
          <w:i w:val="1"/>
          <w:iCs w:val="1"/>
          <w:color w:val="auto"/>
        </w:rPr>
        <w:t>Part I, Item 1A. Risk Factors—Risks Related to Our Business</w:t>
      </w:r>
      <w:r>
        <w:rPr>
          <w:rFonts w:ascii="Arial" w:cs="Arial" w:eastAsia="Arial" w:hAnsi="Arial"/>
          <w:sz w:val="17"/>
          <w:szCs w:val="17"/>
          <w:color w:val="auto"/>
        </w:rPr>
        <w:t>” which is included elsewhere in this report.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40" w:firstLine="555"/>
        <w:spacing w:after="0" w:line="277" w:lineRule="auto"/>
        <w:rPr>
          <w:sz w:val="20"/>
          <w:szCs w:val="20"/>
          <w:color w:val="auto"/>
        </w:rPr>
      </w:pPr>
      <w:r>
        <w:rPr>
          <w:rFonts w:ascii="Arial" w:cs="Arial" w:eastAsia="Arial" w:hAnsi="Arial"/>
          <w:sz w:val="18"/>
          <w:szCs w:val="18"/>
          <w:color w:val="auto"/>
        </w:rPr>
        <w:t>Our significant accounting policies are included in Note 2 to our consolidated financial statements, which are included elsewhere in this report. These policies, along with the underlying assumptions and judgments made by our management in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7" w:name="page58"/>
    <w:bookmarkEnd w:id="57"/>
    <w:p>
      <w:pPr>
        <w:ind w:right="340"/>
        <w:spacing w:after="0" w:line="277" w:lineRule="auto"/>
        <w:rPr>
          <w:sz w:val="20"/>
          <w:szCs w:val="20"/>
          <w:color w:val="auto"/>
        </w:rPr>
      </w:pPr>
      <w:r>
        <w:rPr>
          <w:rFonts w:ascii="Arial" w:cs="Arial" w:eastAsia="Arial" w:hAnsi="Arial"/>
          <w:sz w:val="18"/>
          <w:szCs w:val="18"/>
          <w:color w:val="auto"/>
        </w:rPr>
        <w:t>their application, have a significant impact on our consolidated financial statements. These judgments are subject to an inherent degree of uncertainty and actual results could differ from our estimates.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We applied the provisions of Accounting Standards Codification (“ASC”) Topic 805, “Business Combinations,” in the accounting for our acquisitions of Isle, Elgin, Tropicana and our previous acquisitions. It required us to recognize the assets acquired and the liabilities assumed at their acquisition date fair values. Goodwill as of their respective acquisition dates were measured as the excess of consideration transferred over the net of the acquisition date fair values of the assets acquired and the liabilities assumed.</w:t>
      </w:r>
    </w:p>
    <w:p>
      <w:pPr>
        <w:spacing w:after="0" w:line="187" w:lineRule="exact"/>
        <w:rPr>
          <w:sz w:val="20"/>
          <w:szCs w:val="20"/>
          <w:color w:val="auto"/>
        </w:rPr>
      </w:pPr>
    </w:p>
    <w:p>
      <w:pPr>
        <w:ind w:firstLine="555"/>
        <w:spacing w:after="0" w:line="284" w:lineRule="auto"/>
        <w:rPr>
          <w:sz w:val="20"/>
          <w:szCs w:val="20"/>
          <w:color w:val="auto"/>
        </w:rPr>
      </w:pPr>
      <w:r>
        <w:rPr>
          <w:rFonts w:ascii="Arial" w:cs="Arial" w:eastAsia="Arial" w:hAnsi="Arial"/>
          <w:sz w:val="16"/>
          <w:szCs w:val="16"/>
          <w:color w:val="auto"/>
        </w:rPr>
        <w:t>Accounting for business combinations required our management to make significant estimates and assumptions, including our estimate of intangible assets, such as gaming licenses, trade names and loyalty programs. Although we believe the assumptions and estimates made have been reasonable and appropriate, they are inherently uncertain. For our gaming license valuation, our properties estimated future cash flows were the primary assumption in the respective intangible valuations. Cash flow estimates included assumptions regarding factors such as recent and budgeted operating performance, net win per unit (revenue), patron visits and growth percentages. The growth percentages were developed considering general macroeconomic conditions as well as competitive impacts from current and anticipated competition through a review of customer market data, operating margins, and current regulatory, social and economic climates. The most significant of the assumptions used in the valuations included: (1) revenue growth/decline percentages; (2) discount rates;</w:t>
      </w:r>
    </w:p>
    <w:p>
      <w:pPr>
        <w:spacing w:after="0" w:line="3" w:lineRule="exact"/>
        <w:rPr>
          <w:sz w:val="20"/>
          <w:szCs w:val="20"/>
          <w:color w:val="auto"/>
        </w:rPr>
      </w:pPr>
    </w:p>
    <w:p>
      <w:pPr>
        <w:ind w:right="240" w:firstLine="8"/>
        <w:spacing w:after="0" w:line="254" w:lineRule="auto"/>
        <w:tabs>
          <w:tab w:leader="none" w:pos="2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effective income tax rates; (4) future terminal values and (5) capital expenditure assumptions. These assumptions were developed for each of our properties based on historical trends in the current competitive markets in which they operate, and projections of future performance and competition. The primary assumptions with respect to our trade names and loyalty program intangibles primary assumptions were selecting the appropriate royalty rates and cost estimates for replacement cost analyses, respectively.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Revenue and Pari-mutuel Commissions</w:t>
      </w:r>
    </w:p>
    <w:p>
      <w:pPr>
        <w:spacing w:after="0" w:line="117" w:lineRule="exact"/>
        <w:rPr>
          <w:sz w:val="20"/>
          <w:szCs w:val="20"/>
          <w:color w:val="auto"/>
        </w:rPr>
      </w:pPr>
    </w:p>
    <w:p>
      <w:pPr>
        <w:ind w:right="120" w:firstLine="555"/>
        <w:spacing w:after="0" w:line="271" w:lineRule="auto"/>
        <w:rPr>
          <w:sz w:val="20"/>
          <w:szCs w:val="20"/>
          <w:color w:val="auto"/>
        </w:rPr>
      </w:pPr>
      <w:r>
        <w:rPr>
          <w:rFonts w:ascii="Arial" w:cs="Arial" w:eastAsia="Arial" w:hAnsi="Arial"/>
          <w:sz w:val="17"/>
          <w:szCs w:val="17"/>
          <w:color w:val="auto"/>
        </w:rPr>
        <w:t>The Company recognizes net win from gaming activities as casino revenue, which is the difference between gaming wins and losses, not the total amount wagered. Progressive jackpots are accrued and charged to revenue at the time the obligation to pay the jackpot is established. Gaming revenues are recognized net of certain cash and free play incentives. Pari-mutuel commissions consist of commissions earned from thoroughbred and harness racing and importing of simulcast signals from other race tracks and are recognized at the time wagers are made. Such commissions are a designated portion of the wagering handle as determined by state racing commissions and are shown net of the taxes assessed by state and local agencies, as well as purses and other contractual amounts paid to horsemen associations. The Company recognizes revenues from fees earned through the exporting of simulcast signals to other race tracks at the time wagers are made and recorded on a gross basis. Such fees are based upon a predetermined percentage of handle as contracted with the other race tracks.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Non-gaming Revenue</w:t>
      </w:r>
    </w:p>
    <w:p>
      <w:pPr>
        <w:spacing w:after="0" w:line="117"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Hotel, food and beverage, and other operating revenues are recognized as services are performed. The revenue for hotel, food and beverage contracts is the net amount collected from the customer for such goods and services. Hotel, food and beverage services have been determined to be separate, stand-alone performance obligations and the transaction price for such contracts is recorded as revenue as the good or service is transferred to the customer over the customer’s stay at the hotel or when the delivery is made for the food and beverage. Advance deposits for future hotel occupancy, convention space or food and beverage services contracts are recorded as deferred income until the revenue recognition criteria has been met. The Company also provides goods and services that may include multiple performance obligations, such as for packages, for which revenues are allocated on a pro rata basis based on each service's stand-alone selling price.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Complimentaries</w:t>
      </w:r>
    </w:p>
    <w:p>
      <w:pPr>
        <w:spacing w:after="0" w:line="117"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color w:val="auto"/>
        </w:rPr>
        <w:t>The Company offers discretionary coupons and other discretionary complimentaries to customers outside of the loyalty program. The retail value of complimentary food, beverage, hotel rooms and other services provided to customers is recognized as a reduction to the revenues for the department which issued the complimentary and a credit to the revenue for the department redeemed. Complimentaries provided by third parties at the discretion and under the control of the Company is recorded as an expense when incurred.</w:t>
      </w:r>
    </w:p>
    <w:p>
      <w:pPr>
        <w:spacing w:after="0" w:line="187"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For information with respect to our adoption of ASU No. 2014-09, “Revenue from Contracts with Customers,” (Topic 606) effective January 1, 2018, see “</w:t>
      </w:r>
      <w:r>
        <w:rPr>
          <w:rFonts w:ascii="Arial" w:cs="Arial" w:eastAsia="Arial" w:hAnsi="Arial"/>
          <w:sz w:val="18"/>
          <w:szCs w:val="18"/>
          <w:i w:val="1"/>
          <w:iCs w:val="1"/>
          <w:color w:val="auto"/>
        </w:rPr>
        <w:t>Note 2, Summary of Significant Accounting Policies – Recently Issued Accounting Pronouncements</w:t>
      </w:r>
      <w:r>
        <w:rPr>
          <w:rFonts w:ascii="Arial" w:cs="Arial" w:eastAsia="Arial" w:hAnsi="Arial"/>
          <w:sz w:val="18"/>
          <w:szCs w:val="18"/>
          <w:color w:val="auto"/>
        </w:rPr>
        <w:t>”, in the notes to the consolidated financial statements.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200" w:firstLine="555"/>
        <w:spacing w:after="0" w:line="259" w:lineRule="auto"/>
        <w:rPr>
          <w:sz w:val="20"/>
          <w:szCs w:val="20"/>
          <w:color w:val="auto"/>
        </w:rPr>
      </w:pPr>
      <w:r>
        <w:rPr>
          <w:rFonts w:ascii="Arial" w:cs="Arial" w:eastAsia="Arial" w:hAnsi="Arial"/>
          <w:sz w:val="18"/>
          <w:szCs w:val="18"/>
          <w:color w:val="auto"/>
        </w:rPr>
        <w:t>We and our subsidiaries file US federal income tax returns and various state and local income tax returns. Our income tax returns are subject to examination by the Internal Revenue Service (“IRS”) and other tax authorities. Positions taken in tax returns are sometimes subject to uncertainty in the tax laws and may not ultimately be accepted by the IRS or other tax authorities. See Note 12 in the accompanying consolidated financial statements for a discussion of the status and impact of examinations by tax authorities.</w:t>
      </w:r>
    </w:p>
    <w:p>
      <w:pPr>
        <w:spacing w:after="0" w:line="187" w:lineRule="exact"/>
        <w:rPr>
          <w:sz w:val="20"/>
          <w:szCs w:val="20"/>
          <w:color w:val="auto"/>
        </w:rPr>
      </w:pPr>
    </w:p>
    <w:p>
      <w:pPr>
        <w:ind w:right="80" w:firstLine="555"/>
        <w:spacing w:after="0" w:line="291" w:lineRule="auto"/>
        <w:rPr>
          <w:sz w:val="20"/>
          <w:szCs w:val="20"/>
          <w:color w:val="auto"/>
        </w:rPr>
      </w:pPr>
      <w:r>
        <w:rPr>
          <w:rFonts w:ascii="Arial" w:cs="Arial" w:eastAsia="Arial" w:hAnsi="Arial"/>
          <w:sz w:val="16"/>
          <w:szCs w:val="16"/>
          <w:color w:val="auto"/>
        </w:rPr>
        <w:t>We record income taxes under the asset and liability method, whereby deferred tax assets and liabilities are recognized based on the expected future tax consequences of temporary differences between the financial statement carrying amounts of existing assets and liabilities and their respective tax bases, and as attributable to operating loss and tax credit carryforwards. We reduce the carrying amounts of deferred tax assets by a valuation allowance if, based on the available evidence, it is more likely than not that such assets will not be realized. Accordingly, the need to establish valuation allowances for deferred tax assets is assessed periodically based on the “more likely than not” realization threshold. This assessment considers, among other matters, the nature, frequency, and severity of current and cumulative losses, forecasts of future profitability, the duration of statutory carryforward periods, our experience with operating loss and tax credit carryforwards not expiring unused, and tax planning alternatives.</w:t>
      </w:r>
    </w:p>
    <w:p>
      <w:pPr>
        <w:spacing w:after="0" w:line="167"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color w:val="auto"/>
        </w:rPr>
        <w:t>A valuation allowance is recognized if, based on the weight of available evidence, it is more-likely-than-not that some portion, or all, of the deferred tax asset will not be realized. Management must analyze all available positive and negative evidence regarding realization of the deferred tax assets and make an assessment of the likelihood of sufficient future taxable income.</w:t>
      </w:r>
    </w:p>
    <w:p>
      <w:pPr>
        <w:spacing w:after="0" w:line="222" w:lineRule="exact"/>
        <w:rPr>
          <w:sz w:val="20"/>
          <w:szCs w:val="20"/>
          <w:color w:val="auto"/>
        </w:rPr>
      </w:pPr>
    </w:p>
    <w:p>
      <w:pPr>
        <w:ind w:right="60" w:firstLine="555"/>
        <w:spacing w:after="0" w:line="219" w:lineRule="exact"/>
        <w:rPr>
          <w:sz w:val="20"/>
          <w:szCs w:val="20"/>
          <w:color w:val="auto"/>
        </w:rPr>
      </w:pPr>
      <w:r>
        <w:rPr>
          <w:rFonts w:ascii="Arial" w:cs="Arial" w:eastAsia="Arial" w:hAnsi="Arial"/>
          <w:sz w:val="18"/>
          <w:szCs w:val="18"/>
          <w:color w:val="auto"/>
        </w:rPr>
        <w:t>Under the applicable accounting standards, we may recognize the tax benefit from an uncertain tax position only if it is more</w:t>
      </w:r>
      <w:r>
        <w:rPr>
          <w:rFonts w:ascii="MS PGothic" w:cs="MS PGothic" w:eastAsia="MS PGothic" w:hAnsi="MS PGothic"/>
          <w:sz w:val="18"/>
          <w:szCs w:val="18"/>
          <w:color w:val="auto"/>
        </w:rPr>
        <w:t>‑</w:t>
      </w:r>
      <w:r>
        <w:rPr>
          <w:rFonts w:ascii="Arial" w:cs="Arial" w:eastAsia="Arial" w:hAnsi="Arial"/>
          <w:sz w:val="18"/>
          <w:szCs w:val="18"/>
          <w:color w:val="auto"/>
        </w:rPr>
        <w:t>likely</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accounting standards also provide guidance on de</w:t>
      </w:r>
      <w:r>
        <w:rPr>
          <w:rFonts w:ascii="MS PGothic" w:cs="MS PGothic" w:eastAsia="MS PGothic" w:hAnsi="MS PGothic"/>
          <w:sz w:val="18"/>
          <w:szCs w:val="18"/>
          <w:color w:val="auto"/>
        </w:rPr>
        <w:t>‑</w:t>
      </w:r>
      <w:r>
        <w:rPr>
          <w:rFonts w:ascii="Arial" w:cs="Arial" w:eastAsia="Arial" w:hAnsi="Arial"/>
          <w:sz w:val="18"/>
          <w:szCs w:val="18"/>
          <w:color w:val="auto"/>
        </w:rPr>
        <w:t>recognition, classification, interest and penalties on income taxes, accounting in interim periods and disclosure requirements for uncertain tax positions. We have recorded no liability associated with uncertain tax positions at December 31, 2018 and 2017.</w:t>
      </w:r>
    </w:p>
    <w:p>
      <w:pPr>
        <w:spacing w:after="0" w:line="338"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Property and Equipment and Other Long</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Lived Assets</w:t>
      </w:r>
    </w:p>
    <w:p>
      <w:pPr>
        <w:spacing w:after="0" w:line="117" w:lineRule="exact"/>
        <w:rPr>
          <w:sz w:val="20"/>
          <w:szCs w:val="20"/>
          <w:color w:val="auto"/>
        </w:rPr>
      </w:pPr>
    </w:p>
    <w:p>
      <w:pPr>
        <w:ind w:right="160" w:firstLine="555"/>
        <w:spacing w:after="0" w:line="276" w:lineRule="auto"/>
        <w:rPr>
          <w:sz w:val="20"/>
          <w:szCs w:val="20"/>
          <w:color w:val="auto"/>
        </w:rPr>
      </w:pPr>
      <w:r>
        <w:rPr>
          <w:rFonts w:ascii="Arial" w:cs="Arial" w:eastAsia="Arial" w:hAnsi="Arial"/>
          <w:sz w:val="17"/>
          <w:szCs w:val="17"/>
          <w:color w:val="auto"/>
        </w:rPr>
        <w:t>Property and equipment are recorded at cost, except for assets acquired in our business combinations, which were adjusted for fair value under ASC 805 and are depreciated over their remaining estimated useful life or lease term. Judgments are made in determining estimated useful lives and salvage values of these assets. The accuracy of these estimates affects the amount of depreciation expense recognized in our financial results and whether we have a gain or loss on the disposal of assets. We review depreciation estimates and methods as new events occur, more experience is acquired, and additional information is obtained that would possibly change our current estimates.</w:t>
      </w:r>
    </w:p>
    <w:p>
      <w:pPr>
        <w:spacing w:after="0" w:line="173" w:lineRule="exact"/>
        <w:rPr>
          <w:sz w:val="20"/>
          <w:szCs w:val="20"/>
          <w:color w:val="auto"/>
        </w:rPr>
      </w:pPr>
    </w:p>
    <w:p>
      <w:pPr>
        <w:ind w:firstLine="555"/>
        <w:spacing w:after="0" w:line="217" w:lineRule="exact"/>
        <w:rPr>
          <w:sz w:val="20"/>
          <w:szCs w:val="20"/>
          <w:color w:val="auto"/>
        </w:rPr>
      </w:pPr>
      <w:r>
        <w:rPr>
          <w:rFonts w:ascii="Arial" w:cs="Arial" w:eastAsia="Arial" w:hAnsi="Arial"/>
          <w:sz w:val="16"/>
          <w:szCs w:val="16"/>
          <w:color w:val="auto"/>
        </w:rPr>
        <w:t>Property, equipment and other long</w:t>
      </w:r>
      <w:r>
        <w:rPr>
          <w:rFonts w:ascii="MS PGothic" w:cs="MS PGothic" w:eastAsia="MS PGothic" w:hAnsi="MS PGothic"/>
          <w:sz w:val="16"/>
          <w:szCs w:val="16"/>
          <w:color w:val="auto"/>
        </w:rPr>
        <w:t>‑</w:t>
      </w:r>
      <w:r>
        <w:rPr>
          <w:rFonts w:ascii="Arial" w:cs="Arial" w:eastAsia="Arial" w:hAnsi="Arial"/>
          <w:sz w:val="16"/>
          <w:szCs w:val="16"/>
          <w:color w:val="auto"/>
        </w:rPr>
        <w:t>lived assets are assessed for impairment in accordance with ASC 360, Property, Plant, and Equipment. We evaluate our long</w:t>
      </w:r>
      <w:r>
        <w:rPr>
          <w:rFonts w:ascii="MS PGothic" w:cs="MS PGothic" w:eastAsia="MS PGothic" w:hAnsi="MS PGothic"/>
          <w:sz w:val="16"/>
          <w:szCs w:val="16"/>
          <w:color w:val="auto"/>
        </w:rPr>
        <w:t>‑</w:t>
      </w:r>
      <w:r>
        <w:rPr>
          <w:rFonts w:ascii="Arial" w:cs="Arial" w:eastAsia="Arial" w:hAnsi="Arial"/>
          <w:sz w:val="16"/>
          <w:szCs w:val="16"/>
          <w:color w:val="auto"/>
        </w:rPr>
        <w:t>lived assets periodically for impairment issues or, more frequently, whenever events or circumstances indicate that the carrying amount may not be recoverable. Recoverability of these assets is determined by comparing the net carrying value to the sum of the estimated future net undiscounted cash flows expected to be generated by these assets. The amount of impairment loss, if any, is measured by the difference between the net carrying value and the estimated fair value of the asset which is typically measured using a discounted cash flow model (Level 3 of the fair value hierarchy). For assets to be disposed of, impairment is recognized based on the lower of carrying value or fair value less costs of disposal, as estimated based on comparable asset sales, offers received, or a discounted cash flow model. As a result of the agreement to sell Nemacolin, an impairment charge of $3.8 million for the year ended December 31, 2018 was recorded to property and equipment due to the carrying value of net property and equipment being sold exceeding net sales proceeds. Based on the results of our periodic reviews we have not recorded any long-lived assets impairment charges during the years ended December 31, 2017 and 2016.</w:t>
      </w:r>
    </w:p>
    <w:p>
      <w:pPr>
        <w:spacing w:after="0" w:line="208" w:lineRule="exact"/>
        <w:rPr>
          <w:sz w:val="20"/>
          <w:szCs w:val="20"/>
          <w:color w:val="auto"/>
        </w:rPr>
      </w:pPr>
    </w:p>
    <w:p>
      <w:pPr>
        <w:ind w:right="120" w:firstLine="555"/>
        <w:spacing w:after="0" w:line="219" w:lineRule="exact"/>
        <w:rPr>
          <w:sz w:val="20"/>
          <w:szCs w:val="20"/>
          <w:color w:val="auto"/>
        </w:rPr>
      </w:pPr>
      <w:r>
        <w:rPr>
          <w:rFonts w:ascii="Arial" w:cs="Arial" w:eastAsia="Arial" w:hAnsi="Arial"/>
          <w:sz w:val="18"/>
          <w:szCs w:val="18"/>
          <w:color w:val="auto"/>
        </w:rPr>
        <w:t>For undeveloped properties, including non</w:t>
      </w:r>
      <w:r>
        <w:rPr>
          <w:rFonts w:ascii="MS PGothic" w:cs="MS PGothic" w:eastAsia="MS PGothic" w:hAnsi="MS PGothic"/>
          <w:sz w:val="18"/>
          <w:szCs w:val="18"/>
          <w:color w:val="auto"/>
        </w:rPr>
        <w:t>‑</w:t>
      </w:r>
      <w:r>
        <w:rPr>
          <w:rFonts w:ascii="Arial" w:cs="Arial" w:eastAsia="Arial" w:hAnsi="Arial"/>
          <w:sz w:val="18"/>
          <w:szCs w:val="18"/>
          <w:color w:val="auto"/>
        </w:rPr>
        <w:t>operating real properties, when indicators of impairment are present, properties are evaluated for impairment and losses are recorded when undiscounted cash flows estimated to be generated by an asset or market comparisons are less than the asset’s carrying amount. The amount of the impairment loss is calculated as the excess of the asset’s carrying value over its fair value, which is determined using a discounted cash flow analysis, management estimates or market comparisons. The fair value measurements employed for our impairment evaluations, which are subject to the assumptions and factors as previously discussed, were generally based on a review of comparable activities in the marketplace, which fall within Level 3 of the fair value hierarchy.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9" w:name="page60"/>
    <w:bookmarkEnd w:id="59"/>
    <w:p>
      <w:pPr>
        <w:spacing w:after="0" w:line="207" w:lineRule="exact"/>
        <w:rPr>
          <w:sz w:val="20"/>
          <w:szCs w:val="20"/>
          <w:color w:val="auto"/>
        </w:rPr>
      </w:pPr>
      <w:r>
        <w:rPr>
          <w:rFonts w:ascii="Arial" w:cs="Arial" w:eastAsia="Arial" w:hAnsi="Arial"/>
          <w:sz w:val="18"/>
          <w:szCs w:val="18"/>
          <w:i w:val="1"/>
          <w:iCs w:val="1"/>
          <w:color w:val="auto"/>
        </w:rPr>
        <w:t>Goodwill and Other Indefinite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lived Intangible Assets</w:t>
      </w:r>
    </w:p>
    <w:p>
      <w:pPr>
        <w:spacing w:after="0" w:line="117" w:lineRule="exact"/>
        <w:rPr>
          <w:sz w:val="20"/>
          <w:szCs w:val="20"/>
          <w:color w:val="auto"/>
        </w:rPr>
      </w:pPr>
    </w:p>
    <w:p>
      <w:pPr>
        <w:ind w:right="40" w:firstLine="555"/>
        <w:spacing w:after="0" w:line="290" w:lineRule="auto"/>
        <w:rPr>
          <w:sz w:val="20"/>
          <w:szCs w:val="20"/>
          <w:color w:val="auto"/>
        </w:rPr>
      </w:pPr>
      <w:r>
        <w:rPr>
          <w:rFonts w:ascii="Arial" w:cs="Arial" w:eastAsia="Arial" w:hAnsi="Arial"/>
          <w:sz w:val="16"/>
          <w:szCs w:val="16"/>
          <w:color w:val="auto"/>
        </w:rPr>
        <w:t>Goodwill represents the excess of purchase price over fair market value of net assets acquired in business combinations. Intangible assets acquired in business combinations are recorded based upon their fair value at the date of acquisition. Goodwill and indefinite-lived intangible assets must be reviewed for impairment at least annually and between annual test dates in certain circumstances. As a result of our annual impairment tests, none of our reporting units incurred any goodwill impairment charges in 2018 and 2016. For our 2017 annual goodwill impairment tests, we utilized the option to perform a step zero analysis for each of our reporting units and concluded it was more likely than not that the fair values of certain reporting units were less than their carrying values. We then utilized the two-step quantitative analysis for these reporting units. As a result of the two-step quantitative analysis performed in 2017, we recorded impairment charges of $34.9 million and $3.1 million related to goodwill and trade names, respectively. In conjunction with the classification of Vicksburg’s operations as assets held for sale at March 31, 2018, an impairment charge totaling $9.8 million to goodwill was recorded.</w:t>
      </w:r>
    </w:p>
    <w:p>
      <w:pPr>
        <w:spacing w:after="0" w:line="166" w:lineRule="exact"/>
        <w:rPr>
          <w:sz w:val="20"/>
          <w:szCs w:val="20"/>
          <w:color w:val="auto"/>
        </w:rPr>
      </w:pPr>
    </w:p>
    <w:p>
      <w:pPr>
        <w:ind w:right="100" w:firstLine="555"/>
        <w:spacing w:after="0" w:line="221" w:lineRule="exact"/>
        <w:rPr>
          <w:sz w:val="20"/>
          <w:szCs w:val="20"/>
          <w:color w:val="auto"/>
        </w:rPr>
      </w:pPr>
      <w:r>
        <w:rPr>
          <w:rFonts w:ascii="Arial" w:cs="Arial" w:eastAsia="Arial" w:hAnsi="Arial"/>
          <w:sz w:val="18"/>
          <w:szCs w:val="18"/>
          <w:color w:val="auto"/>
        </w:rPr>
        <w:t>Our indefinite</w:t>
      </w:r>
      <w:r>
        <w:rPr>
          <w:rFonts w:ascii="MS PGothic" w:cs="MS PGothic" w:eastAsia="MS PGothic" w:hAnsi="MS PGothic"/>
          <w:sz w:val="18"/>
          <w:szCs w:val="18"/>
          <w:color w:val="auto"/>
        </w:rPr>
        <w:t>‑</w:t>
      </w:r>
      <w:r>
        <w:rPr>
          <w:rFonts w:ascii="Arial" w:cs="Arial" w:eastAsia="Arial" w:hAnsi="Arial"/>
          <w:sz w:val="18"/>
          <w:szCs w:val="18"/>
          <w:color w:val="auto"/>
        </w:rPr>
        <w:t>lived intangible assets consist of racing and gaming licenses and trade names and are evaluated for impairment annually by comparing the fair value of the asset to its carrying value. Any excess of carrying value over the fair value is recognized as an impairment within the consolidated statements of income in the period of review.</w:t>
      </w:r>
    </w:p>
    <w:p>
      <w:pPr>
        <w:spacing w:after="0" w:line="202"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The gaming and racing licenses were valued in aggregate for each respective property, as these licenses are considered to be the most significant asset of the properties and the gaming licenses could not be obtained without holding the racing licenses. Therefore, a market participant would consider the licenses in aggregate. The fair value of the licenses is calculated using an excess earnings methodology, which is an income approach methodology that allocates the projected cash flows of the property to the gaming license intangible assets less charges for the use of the other identifiable assets of the property, including working capital, fixed assets, and other intangible assets. We believe this methodology is appropriate as the gaming licenses are the primary asset to the properties, the licenses are linked to each respective facility and it’s the lowest level at which discrete cash flows can be directly attributable to the assets. Under the gaming legislation applicable to our properties, licenses are property specific and can only be acquired if a buyer acquires the existing facility. Because existing licenses may not be acquired and transferred for use at a different facility, the estimated future cash flows of each of our properties was the primary assumption in the valuation of such property.</w:t>
      </w:r>
    </w:p>
    <w:p>
      <w:pPr>
        <w:spacing w:after="0" w:line="182" w:lineRule="exact"/>
        <w:rPr>
          <w:sz w:val="20"/>
          <w:szCs w:val="20"/>
          <w:color w:val="auto"/>
        </w:rPr>
      </w:pPr>
    </w:p>
    <w:p>
      <w:pPr>
        <w:jc w:val="both"/>
        <w:ind w:right="280" w:firstLine="555"/>
        <w:spacing w:after="0" w:line="221" w:lineRule="exact"/>
        <w:rPr>
          <w:sz w:val="20"/>
          <w:szCs w:val="20"/>
          <w:color w:val="auto"/>
        </w:rPr>
      </w:pPr>
      <w:r>
        <w:rPr>
          <w:rFonts w:ascii="Arial" w:cs="Arial" w:eastAsia="Arial" w:hAnsi="Arial"/>
          <w:sz w:val="18"/>
          <w:szCs w:val="18"/>
          <w:color w:val="auto"/>
        </w:rPr>
        <w:t>We value trade names using the relief</w:t>
      </w:r>
      <w:r>
        <w:rPr>
          <w:rFonts w:ascii="MS PGothic" w:cs="MS PGothic" w:eastAsia="MS PGothic" w:hAnsi="MS PGothic"/>
          <w:sz w:val="18"/>
          <w:szCs w:val="18"/>
          <w:color w:val="auto"/>
        </w:rPr>
        <w:t>‑</w:t>
      </w:r>
      <w:r>
        <w:rPr>
          <w:rFonts w:ascii="Arial" w:cs="Arial" w:eastAsia="Arial" w:hAnsi="Arial"/>
          <w:sz w:val="18"/>
          <w:szCs w:val="18"/>
          <w:color w:val="auto"/>
        </w:rPr>
        <w:t>from</w:t>
      </w:r>
      <w:r>
        <w:rPr>
          <w:rFonts w:ascii="MS PGothic" w:cs="MS PGothic" w:eastAsia="MS PGothic" w:hAnsi="MS PGothic"/>
          <w:sz w:val="18"/>
          <w:szCs w:val="18"/>
          <w:color w:val="auto"/>
        </w:rPr>
        <w:t>‑</w:t>
      </w:r>
      <w:r>
        <w:rPr>
          <w:rFonts w:ascii="Arial" w:cs="Arial" w:eastAsia="Arial" w:hAnsi="Arial"/>
          <w:sz w:val="18"/>
          <w:szCs w:val="18"/>
          <w:color w:val="auto"/>
        </w:rPr>
        <w:t xml:space="preserve">royalty method with royalty rates range from 0.5% </w:t>
      </w:r>
      <w:r>
        <w:rPr>
          <w:rFonts w:ascii="MS PGothic" w:cs="MS PGothic" w:eastAsia="MS PGothic" w:hAnsi="MS PGothic"/>
          <w:sz w:val="18"/>
          <w:szCs w:val="18"/>
          <w:color w:val="auto"/>
        </w:rPr>
        <w:t>‑</w:t>
      </w:r>
      <w:r>
        <w:rPr>
          <w:rFonts w:ascii="Arial" w:cs="Arial" w:eastAsia="Arial" w:hAnsi="Arial"/>
          <w:sz w:val="18"/>
          <w:szCs w:val="18"/>
          <w:color w:val="auto"/>
        </w:rPr>
        <w:t xml:space="preserve"> 1.0%. Trade names recorded as part of the merger with MTR are amortized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a 3.5-year useful life and the trade names recorded as part of our acquisition of Tropicana, Elgin, Isle and acquisition of the Reno properties are not amortized (deemed indefinite-lived).</w:t>
      </w:r>
    </w:p>
    <w:p>
      <w:pPr>
        <w:spacing w:after="0" w:line="202" w:lineRule="exact"/>
        <w:rPr>
          <w:sz w:val="20"/>
          <w:szCs w:val="20"/>
          <w:color w:val="auto"/>
        </w:rPr>
      </w:pPr>
    </w:p>
    <w:p>
      <w:pPr>
        <w:ind w:right="340" w:firstLine="555"/>
        <w:spacing w:after="0" w:line="223" w:lineRule="exact"/>
        <w:rPr>
          <w:sz w:val="20"/>
          <w:szCs w:val="20"/>
          <w:color w:val="auto"/>
        </w:rPr>
      </w:pPr>
      <w:r>
        <w:rPr>
          <w:rFonts w:ascii="Arial" w:cs="Arial" w:eastAsia="Arial" w:hAnsi="Arial"/>
          <w:sz w:val="18"/>
          <w:szCs w:val="18"/>
          <w:color w:val="auto"/>
        </w:rPr>
        <w:t>The loyalty programs were valued using a combination of a replacement cost and lost profits analysis and the loyalty programs are amortized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a one- to five-year useful life.</w:t>
      </w:r>
    </w:p>
    <w:p>
      <w:pPr>
        <w:spacing w:after="0" w:line="203" w:lineRule="exact"/>
        <w:rPr>
          <w:sz w:val="20"/>
          <w:szCs w:val="20"/>
          <w:color w:val="auto"/>
        </w:rPr>
      </w:pPr>
    </w:p>
    <w:p>
      <w:pPr>
        <w:ind w:right="100" w:firstLine="555"/>
        <w:spacing w:after="0" w:line="217" w:lineRule="exact"/>
        <w:rPr>
          <w:sz w:val="20"/>
          <w:szCs w:val="20"/>
          <w:color w:val="auto"/>
        </w:rPr>
      </w:pPr>
      <w:r>
        <w:rPr>
          <w:rFonts w:ascii="Arial" w:cs="Arial" w:eastAsia="Arial" w:hAnsi="Arial"/>
          <w:sz w:val="16"/>
          <w:szCs w:val="16"/>
          <w:color w:val="auto"/>
        </w:rPr>
        <w:t>Assessing goodwill and indefinite</w:t>
      </w:r>
      <w:r>
        <w:rPr>
          <w:rFonts w:ascii="MS PGothic" w:cs="MS PGothic" w:eastAsia="MS PGothic" w:hAnsi="MS PGothic"/>
          <w:sz w:val="16"/>
          <w:szCs w:val="16"/>
          <w:color w:val="auto"/>
        </w:rPr>
        <w:t>‑</w:t>
      </w:r>
      <w:r>
        <w:rPr>
          <w:rFonts w:ascii="Arial" w:cs="Arial" w:eastAsia="Arial" w:hAnsi="Arial"/>
          <w:sz w:val="16"/>
          <w:szCs w:val="16"/>
          <w:color w:val="auto"/>
        </w:rPr>
        <w:t>lived intangible assets for impairment is a process that requires significant judgment and involves detailed quantitative and qualitative business</w:t>
      </w:r>
      <w:r>
        <w:rPr>
          <w:rFonts w:ascii="MS PGothic" w:cs="MS PGothic" w:eastAsia="MS PGothic" w:hAnsi="MS PGothic"/>
          <w:sz w:val="16"/>
          <w:szCs w:val="16"/>
          <w:color w:val="auto"/>
        </w:rPr>
        <w:t>‑</w:t>
      </w:r>
      <w:r>
        <w:rPr>
          <w:rFonts w:ascii="Arial" w:cs="Arial" w:eastAsia="Arial" w:hAnsi="Arial"/>
          <w:sz w:val="16"/>
          <w:szCs w:val="16"/>
          <w:color w:val="auto"/>
        </w:rPr>
        <w:t>specific analysis and many individual assumptions which fluctuate between assessments. Our properties’ estimated future cash flows are a primary assumption in the respective impairment analyses. Unforeseen events, changes in circumstances and market conditions and material differences in estimates of future cash flows could negatively affect the fair value of our assets and result in an impairment charge, which could be material. Cash flow estimates include assumptions regarding factors such as recent and budgeted operating performance, net win per unit (revenue), patron visits, growth percentages which are developed considering general macroeconomic conditions as well as competitive impacts from current and anticipated competition through a review of customer market data, operating margins, and current regulatory, social and economic climates. These estimates could also be negatively impacted by changes in federal, state, or local regulations, economic downturns or developments and other market conditions affecting travel and access to the properties. The most significant of the assumptions used in our valuations include: (1) revenue growth/decline percentages; (2) discount rates; (3) effective income tax rates; (4) future terminal values and (5) capital expenditure assumptions. These assumptions were developed for each property based on historical trends, the current competitive markets in which they operate, and projections of future performance and competition.</w:t>
      </w:r>
    </w:p>
    <w:p>
      <w:pPr>
        <w:spacing w:after="0" w:line="207" w:lineRule="exact"/>
        <w:rPr>
          <w:sz w:val="20"/>
          <w:szCs w:val="20"/>
          <w:color w:val="auto"/>
        </w:rPr>
      </w:pPr>
    </w:p>
    <w:p>
      <w:pPr>
        <w:ind w:right="100" w:firstLine="555"/>
        <w:spacing w:after="0" w:line="219" w:lineRule="exact"/>
        <w:rPr>
          <w:sz w:val="20"/>
          <w:szCs w:val="20"/>
          <w:color w:val="auto"/>
        </w:rPr>
      </w:pPr>
      <w:r>
        <w:rPr>
          <w:rFonts w:ascii="Arial" w:cs="Arial" w:eastAsia="Arial" w:hAnsi="Arial"/>
          <w:sz w:val="18"/>
          <w:szCs w:val="18"/>
          <w:color w:val="auto"/>
        </w:rPr>
        <w:t>We believe we have used reasonable estimates and assumptions to calculate the fair value of our goodwill reporting units and other indefinite</w:t>
      </w:r>
      <w:r>
        <w:rPr>
          <w:rFonts w:ascii="MS PGothic" w:cs="MS PGothic" w:eastAsia="MS PGothic" w:hAnsi="MS PGothic"/>
          <w:sz w:val="18"/>
          <w:szCs w:val="18"/>
          <w:color w:val="auto"/>
        </w:rPr>
        <w:t>‑</w:t>
      </w:r>
      <w:r>
        <w:rPr>
          <w:rFonts w:ascii="Arial" w:cs="Arial" w:eastAsia="Arial" w:hAnsi="Arial"/>
          <w:sz w:val="18"/>
          <w:szCs w:val="18"/>
          <w:color w:val="auto"/>
        </w:rPr>
        <w:t>lived intangible assets; however, these estimates and assumptions could be materially different from actual results. If actual market conditions are less favorable than those projected, or if events occur or circumstances change that would reduce the fair value of our licensing intangibles below the carrying value reflected on the consolidated balance sheet, we may be required to conduct an interim test or possibly recognize impairment charges, which may be material, in future periods.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0" w:name="page61"/>
    <w:bookmarkEnd w:id="60"/>
    <w:p>
      <w:pPr>
        <w:spacing w:after="0" w:line="207" w:lineRule="exact"/>
        <w:rPr>
          <w:sz w:val="20"/>
          <w:szCs w:val="20"/>
          <w:color w:val="auto"/>
        </w:rPr>
      </w:pPr>
      <w:r>
        <w:rPr>
          <w:rFonts w:ascii="Arial" w:cs="Arial" w:eastAsia="Arial" w:hAnsi="Arial"/>
          <w:sz w:val="18"/>
          <w:szCs w:val="18"/>
          <w:i w:val="1"/>
          <w:iCs w:val="1"/>
          <w:color w:val="auto"/>
        </w:rPr>
        <w:t>Self</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Insurance Reserves</w:t>
      </w:r>
    </w:p>
    <w:p>
      <w:pPr>
        <w:spacing w:after="0" w:line="117" w:lineRule="exact"/>
        <w:rPr>
          <w:sz w:val="20"/>
          <w:szCs w:val="20"/>
          <w:color w:val="auto"/>
        </w:rPr>
      </w:pPr>
    </w:p>
    <w:p>
      <w:pPr>
        <w:ind w:right="40" w:firstLine="555"/>
        <w:spacing w:after="0" w:line="219" w:lineRule="exact"/>
        <w:rPr>
          <w:sz w:val="20"/>
          <w:szCs w:val="20"/>
          <w:color w:val="auto"/>
        </w:rPr>
      </w:pPr>
      <w:r>
        <w:rPr>
          <w:rFonts w:ascii="Arial" w:cs="Arial" w:eastAsia="Arial" w:hAnsi="Arial"/>
          <w:sz w:val="17"/>
          <w:szCs w:val="17"/>
          <w:color w:val="auto"/>
        </w:rPr>
        <w:t>We are self</w:t>
      </w:r>
      <w:r>
        <w:rPr>
          <w:rFonts w:ascii="MS PGothic" w:cs="MS PGothic" w:eastAsia="MS PGothic" w:hAnsi="MS PGothic"/>
          <w:sz w:val="17"/>
          <w:szCs w:val="17"/>
          <w:color w:val="auto"/>
        </w:rPr>
        <w:t>‑</w:t>
      </w:r>
      <w:r>
        <w:rPr>
          <w:rFonts w:ascii="Arial" w:cs="Arial" w:eastAsia="Arial" w:hAnsi="Arial"/>
          <w:sz w:val="17"/>
          <w:szCs w:val="17"/>
          <w:color w:val="auto"/>
        </w:rPr>
        <w:t>insured for various levels of general liability, employee medical insurance coverage and workers’ compensation coverage. Insurance claims and reserves include accruals of estimated settlements for known claims, as well as accruals of estimates for claims incurred but not yet reported. We utilize independent consultants to assist management in its determination of estimated insurance liabilities. While the total cost of claims incurred depends on future developments, in managements’ opinion, recorded reserves are adequate to cover future claims payments. Self-insurance reserves for employee medical claims and workers’ compensations are included in accrued payroll and related on the consolidated balance sheets. Self</w:t>
      </w:r>
      <w:r>
        <w:rPr>
          <w:rFonts w:ascii="MS PGothic" w:cs="MS PGothic" w:eastAsia="MS PGothic" w:hAnsi="MS PGothic"/>
          <w:sz w:val="17"/>
          <w:szCs w:val="17"/>
          <w:color w:val="auto"/>
        </w:rPr>
        <w:t>‑</w:t>
      </w:r>
      <w:r>
        <w:rPr>
          <w:rFonts w:ascii="Arial" w:cs="Arial" w:eastAsia="Arial" w:hAnsi="Arial"/>
          <w:sz w:val="17"/>
          <w:szCs w:val="17"/>
          <w:color w:val="auto"/>
        </w:rPr>
        <w:t>insurance reserves for general liability claims are included in accrued other liabilities on the consolidated balance sheets.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Player Loyalty Program</w:t>
      </w:r>
    </w:p>
    <w:p>
      <w:pPr>
        <w:spacing w:after="0" w:line="117"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We offer programs at our properties whereby participating customers can accumulate points for wagering that can be redeemed for credits for free play on slot machines, lodging, food and beverage, merchandise and, in limited situations, cash. The incentives earned by customers under these programs are based on previous revenue transactions and represent separate performance obligations. Points earned, less estimated breakage, are recorded as a reduction of casino revenues at the standalone selling price of the points when earned based upon the retail value of the benefits, historical redemption rates and estimated breakage and recognized as departmental revenue based on where such points are redeemed upon fulfillment of the performance obligation. The loyalty program liability represents a deferral of revenue until redemption occurs, which is typically less than one year.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Claims and Assessments</w:t>
      </w:r>
    </w:p>
    <w:p>
      <w:pPr>
        <w:spacing w:after="0" w:line="117" w:lineRule="exact"/>
        <w:rPr>
          <w:sz w:val="20"/>
          <w:szCs w:val="20"/>
          <w:color w:val="auto"/>
        </w:rPr>
      </w:pPr>
    </w:p>
    <w:p>
      <w:pPr>
        <w:ind w:right="140" w:firstLine="555"/>
        <w:spacing w:after="0" w:line="312" w:lineRule="auto"/>
        <w:rPr>
          <w:sz w:val="20"/>
          <w:szCs w:val="20"/>
          <w:color w:val="auto"/>
        </w:rPr>
      </w:pPr>
      <w:r>
        <w:rPr>
          <w:rFonts w:ascii="Arial" w:cs="Arial" w:eastAsia="Arial" w:hAnsi="Arial"/>
          <w:sz w:val="16"/>
          <w:szCs w:val="16"/>
          <w:color w:val="auto"/>
        </w:rPr>
        <w:t>We utilize estimates for litigation, claims and assessments. These estimates are based on our knowledge and experience regarding current and past events, as well as assumptions about future events. If our assessment of such a matter should change, we may have to change the estimates, which may have an adverse effect on our financial position, results of operations or cash flows. Actual results could differ from these estimates.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right="100" w:firstLine="555"/>
        <w:spacing w:after="0" w:line="342" w:lineRule="auto"/>
        <w:rPr>
          <w:sz w:val="20"/>
          <w:szCs w:val="20"/>
          <w:color w:val="auto"/>
        </w:rPr>
      </w:pPr>
      <w:r>
        <w:rPr>
          <w:rFonts w:ascii="Arial" w:cs="Arial" w:eastAsia="Arial" w:hAnsi="Arial"/>
          <w:sz w:val="16"/>
          <w:szCs w:val="16"/>
          <w:color w:val="auto"/>
        </w:rPr>
        <w:t xml:space="preserve">For information with respect to recent accounting pronouncements and the impact of these pronouncements on our consolidated financial statements, see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 </w:t>
      </w:r>
      <w:r>
        <w:rPr>
          <w:rFonts w:ascii="Arial" w:cs="Arial" w:eastAsia="Arial" w:hAnsi="Arial"/>
          <w:sz w:val="16"/>
          <w:szCs w:val="16"/>
          <w:i w:val="1"/>
          <w:iCs w:val="1"/>
          <w:color w:val="auto"/>
        </w:rPr>
        <w:t>Recently Issued Accounting Pronouncements</w:t>
      </w:r>
      <w:r>
        <w:rPr>
          <w:rFonts w:ascii="Arial" w:cs="Arial" w:eastAsia="Arial" w:hAnsi="Arial"/>
          <w:sz w:val="16"/>
          <w:szCs w:val="16"/>
          <w:color w:val="auto"/>
        </w:rPr>
        <w:t>, in the notes to the consolidated financial statements.</w:t>
      </w:r>
    </w:p>
    <w:p>
      <w:pPr>
        <w:spacing w:after="0" w:line="22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180" w:firstLine="555"/>
        <w:spacing w:after="0" w:line="221" w:lineRule="exact"/>
        <w:rPr>
          <w:sz w:val="20"/>
          <w:szCs w:val="20"/>
          <w:color w:val="auto"/>
        </w:rPr>
      </w:pPr>
      <w:r>
        <w:rPr>
          <w:rFonts w:ascii="Arial" w:cs="Arial" w:eastAsia="Arial" w:hAnsi="Arial"/>
          <w:sz w:val="17"/>
          <w:szCs w:val="17"/>
          <w:color w:val="auto"/>
        </w:rPr>
        <w:t>Market risk is the risk of loss arising from adverse changes in market rates and prices, such as interest rates, foreign currency exchange rates and commodity prices. We are exposed to changes in interest rates primarily from variable rate long</w:t>
      </w:r>
      <w:r>
        <w:rPr>
          <w:rFonts w:ascii="MS PGothic" w:cs="MS PGothic" w:eastAsia="MS PGothic" w:hAnsi="MS PGothic"/>
          <w:sz w:val="17"/>
          <w:szCs w:val="17"/>
          <w:color w:val="auto"/>
        </w:rPr>
        <w:t>‑</w:t>
      </w:r>
      <w:r>
        <w:rPr>
          <w:rFonts w:ascii="Arial" w:cs="Arial" w:eastAsia="Arial" w:hAnsi="Arial"/>
          <w:sz w:val="17"/>
          <w:szCs w:val="17"/>
          <w:color w:val="auto"/>
        </w:rPr>
        <w:t>term debt arrangements. At December 31, 2018, interest on borrowings under our Credit Facility was subject to fluctuation based on changes in short-term interest rates.</w:t>
      </w:r>
    </w:p>
    <w:p>
      <w:pPr>
        <w:spacing w:after="0" w:line="202" w:lineRule="exact"/>
        <w:rPr>
          <w:sz w:val="20"/>
          <w:szCs w:val="20"/>
          <w:color w:val="auto"/>
        </w:rPr>
      </w:pPr>
    </w:p>
    <w:p>
      <w:pPr>
        <w:jc w:val="both"/>
        <w:ind w:right="140" w:firstLine="555"/>
        <w:spacing w:after="0" w:line="221" w:lineRule="exact"/>
        <w:rPr>
          <w:sz w:val="20"/>
          <w:szCs w:val="20"/>
          <w:color w:val="auto"/>
        </w:rPr>
      </w:pPr>
      <w:r>
        <w:rPr>
          <w:rFonts w:ascii="Arial" w:cs="Arial" w:eastAsia="Arial" w:hAnsi="Arial"/>
          <w:sz w:val="17"/>
          <w:szCs w:val="17"/>
          <w:color w:val="auto"/>
        </w:rPr>
        <w:t>As of December 31, 2018, our long</w:t>
      </w:r>
      <w:r>
        <w:rPr>
          <w:rFonts w:ascii="MS PGothic" w:cs="MS PGothic" w:eastAsia="MS PGothic" w:hAnsi="MS PGothic"/>
          <w:sz w:val="17"/>
          <w:szCs w:val="17"/>
          <w:color w:val="auto"/>
        </w:rPr>
        <w:t>‑</w:t>
      </w:r>
      <w:r>
        <w:rPr>
          <w:rFonts w:ascii="Arial" w:cs="Arial" w:eastAsia="Arial" w:hAnsi="Arial"/>
          <w:sz w:val="17"/>
          <w:szCs w:val="17"/>
          <w:color w:val="auto"/>
        </w:rPr>
        <w:t>term variable</w:t>
      </w:r>
      <w:r>
        <w:rPr>
          <w:rFonts w:ascii="MS PGothic" w:cs="MS PGothic" w:eastAsia="MS PGothic" w:hAnsi="MS PGothic"/>
          <w:sz w:val="17"/>
          <w:szCs w:val="17"/>
          <w:color w:val="auto"/>
        </w:rPr>
        <w:t>‑</w:t>
      </w:r>
      <w:r>
        <w:rPr>
          <w:rFonts w:ascii="Arial" w:cs="Arial" w:eastAsia="Arial" w:hAnsi="Arial"/>
          <w:sz w:val="17"/>
          <w:szCs w:val="17"/>
          <w:color w:val="auto"/>
        </w:rPr>
        <w:t>rate borrowings under the Credit Facility totaled $1.2 billion, representing approximately 36% of our long</w:t>
      </w:r>
      <w:r>
        <w:rPr>
          <w:rFonts w:ascii="MS PGothic" w:cs="MS PGothic" w:eastAsia="MS PGothic" w:hAnsi="MS PGothic"/>
          <w:sz w:val="17"/>
          <w:szCs w:val="17"/>
          <w:color w:val="auto"/>
        </w:rPr>
        <w:t>‑</w:t>
      </w:r>
      <w:r>
        <w:rPr>
          <w:rFonts w:ascii="Arial" w:cs="Arial" w:eastAsia="Arial" w:hAnsi="Arial"/>
          <w:sz w:val="17"/>
          <w:szCs w:val="17"/>
          <w:color w:val="auto"/>
        </w:rPr>
        <w:t>term debt. In conjunction with the issuance of the 6% Senior Notes due 2026, this percentage declined from 43% as of December 31, 2017. During 2018, the weighted average interest rates on our variable and fixed rate debt were 4.3% and 6.4%, respectively.</w:t>
      </w:r>
    </w:p>
    <w:p>
      <w:pPr>
        <w:spacing w:after="0" w:line="202" w:lineRule="exact"/>
        <w:rPr>
          <w:sz w:val="20"/>
          <w:szCs w:val="20"/>
          <w:color w:val="auto"/>
        </w:rPr>
      </w:pPr>
    </w:p>
    <w:p>
      <w:pPr>
        <w:jc w:val="both"/>
        <w:ind w:right="40" w:firstLine="555"/>
        <w:spacing w:after="0" w:line="286" w:lineRule="auto"/>
        <w:rPr>
          <w:sz w:val="20"/>
          <w:szCs w:val="20"/>
          <w:color w:val="auto"/>
        </w:rPr>
      </w:pPr>
      <w:r>
        <w:rPr>
          <w:rFonts w:ascii="Arial" w:cs="Arial" w:eastAsia="Arial" w:hAnsi="Arial"/>
          <w:sz w:val="17"/>
          <w:szCs w:val="17"/>
          <w:color w:val="auto"/>
        </w:rPr>
        <w:t>The Company evaluates its exposure to market risk by monitoring interest rates in the marketplace and has, on occasion, utilized derivative financial instruments to help manage this risk. The Company does not utilize derivative financial instruments for trading purposes. There were no material quantitative changes in our market risk exposure, or how such risks are managed, for the year ended December 31, 2018.</w:t>
      </w:r>
    </w:p>
    <w:p>
      <w:pPr>
        <w:spacing w:after="0" w:line="166"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color w:val="auto"/>
        </w:rPr>
        <w:t>The following table provides information as of December 31, 2018 about our debt obligations, including debt that is sensitive to changes in interest rates, and presents principal payments and related weighted-average interest rates by expected maturity dates. Implied forward rates should not be considered a predictor of actual future interest rates.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1" w:name="page62"/>
    <w:bookmarkEnd w:id="61"/>
    <w:p>
      <w:pPr>
        <w:ind w:left="560"/>
        <w:spacing w:after="0"/>
        <w:rPr>
          <w:sz w:val="20"/>
          <w:szCs w:val="20"/>
          <w:color w:val="auto"/>
        </w:rPr>
      </w:pPr>
      <w:r>
        <w:rPr>
          <w:rFonts w:ascii="Arial" w:cs="Arial" w:eastAsia="Arial" w:hAnsi="Arial"/>
          <w:sz w:val="18"/>
          <w:szCs w:val="18"/>
          <w:color w:val="auto"/>
        </w:rPr>
        <w:t>The scheduled maturities of our long-term debt outstanding for the years ending December 31 are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4"/>
          </w:tcPr>
          <w:p>
            <w:pPr>
              <w:ind w:left="20"/>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Thereafter</w:t>
            </w: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Fixed Rate Debt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6% Senior Notes due 2025</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875,000</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875,000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6% Senior Notes due 2026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600,000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600,000</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7% Senior Notes due 2023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375,000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375,000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Lumière Note</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246,000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246,000</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Fixed Interest Rate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Variable Rate Debt</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6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6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62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6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Term Loan (1)</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956,750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956,750</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245,000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245,000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Average Interest Rate</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60" w:right="260" w:hanging="552"/>
        <w:spacing w:after="0" w:line="308" w:lineRule="auto"/>
        <w:tabs>
          <w:tab w:leader="none" w:pos="5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upon the weighted average interest rate of borrowings outstanding under our Credit Facility as of December 31, 2018. Borrowings under the Credit Facility bear interest at a rate per annum of, at our option, either LIBOR or base rate plus an applicable spread.</w:t>
      </w:r>
    </w:p>
    <w:p>
      <w:pPr>
        <w:spacing w:after="0" w:line="187" w:lineRule="exact"/>
        <w:rPr>
          <w:sz w:val="20"/>
          <w:szCs w:val="20"/>
          <w:color w:val="auto"/>
        </w:rPr>
      </w:pPr>
    </w:p>
    <w:p>
      <w:pPr>
        <w:ind w:right="200" w:firstLine="555"/>
        <w:spacing w:after="0" w:line="264" w:lineRule="auto"/>
        <w:rPr>
          <w:sz w:val="20"/>
          <w:szCs w:val="20"/>
          <w:color w:val="auto"/>
        </w:rPr>
      </w:pPr>
      <w:r>
        <w:rPr>
          <w:rFonts w:ascii="Arial" w:cs="Arial" w:eastAsia="Arial" w:hAnsi="Arial"/>
          <w:sz w:val="18"/>
          <w:szCs w:val="18"/>
          <w:color w:val="auto"/>
        </w:rPr>
        <w:t>As of December 31, 2018, borrowings outstanding under our Term Loan were long-term variable-rate borrowings. Assuming a 100 basis-point increase in LIBOR (in the case of the term loan, over the 1% floor specified in our credit agreement), our annual interest cost would change by $9.6 million based on gross amounts outstanding at December 31, 2018.</w:t>
      </w:r>
    </w:p>
    <w:p>
      <w:pPr>
        <w:spacing w:after="0" w:line="28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ind w:right="40" w:firstLine="555"/>
        <w:spacing w:after="0" w:line="223" w:lineRule="exact"/>
        <w:rPr>
          <w:sz w:val="20"/>
          <w:szCs w:val="20"/>
          <w:color w:val="auto"/>
        </w:rPr>
      </w:pPr>
      <w:r>
        <w:rPr>
          <w:rFonts w:ascii="Arial" w:cs="Arial" w:eastAsia="Arial" w:hAnsi="Arial"/>
          <w:sz w:val="18"/>
          <w:szCs w:val="18"/>
          <w:color w:val="auto"/>
        </w:rPr>
        <w:t>Our consolidated financial statements and notes to consolidated financial statements, including the report of Ernst &amp; Young LLP thereon, are included at pages 67 through 135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30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w:t>
      </w:r>
    </w:p>
    <w:p>
      <w:pPr>
        <w:spacing w:after="0" w:line="171" w:lineRule="exact"/>
        <w:rPr>
          <w:sz w:val="20"/>
          <w:szCs w:val="20"/>
          <w:color w:val="auto"/>
        </w:rPr>
      </w:pPr>
    </w:p>
    <w:p>
      <w:pPr>
        <w:ind w:right="40" w:firstLine="555"/>
        <w:spacing w:after="0" w:line="221" w:lineRule="exact"/>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w:t>
      </w:r>
      <w:r>
        <w:rPr>
          <w:rFonts w:ascii="MS PGothic" w:cs="MS PGothic" w:eastAsia="MS PGothic" w:hAnsi="MS PGothic"/>
          <w:sz w:val="18"/>
          <w:szCs w:val="18"/>
          <w:color w:val="auto"/>
        </w:rPr>
        <w:t>‑</w:t>
      </w:r>
      <w:r>
        <w:rPr>
          <w:rFonts w:ascii="Arial" w:cs="Arial" w:eastAsia="Arial" w:hAnsi="Arial"/>
          <w:sz w:val="18"/>
          <w:szCs w:val="18"/>
          <w:color w:val="auto"/>
        </w:rPr>
        <w:t>benefit relationship of possible controls and procedures.</w:t>
      </w:r>
    </w:p>
    <w:p>
      <w:pPr>
        <w:spacing w:after="0" w:line="202" w:lineRule="exact"/>
        <w:rPr>
          <w:sz w:val="20"/>
          <w:szCs w:val="20"/>
          <w:color w:val="auto"/>
        </w:rPr>
      </w:pPr>
    </w:p>
    <w:p>
      <w:pPr>
        <w:ind w:right="60" w:firstLine="555"/>
        <w:spacing w:after="0" w:line="276" w:lineRule="auto"/>
        <w:rPr>
          <w:sz w:val="20"/>
          <w:szCs w:val="20"/>
          <w:color w:val="auto"/>
        </w:rPr>
      </w:pPr>
      <w:r>
        <w:rPr>
          <w:rFonts w:ascii="Arial" w:cs="Arial" w:eastAsia="Arial" w:hAnsi="Arial"/>
          <w:sz w:val="17"/>
          <w:szCs w:val="17"/>
          <w:color w:val="auto"/>
        </w:rPr>
        <w:t>Management, under the supervision and with the participation of our Chief Executive Officer (principal executive officer) and Chief Financial Officer (principal financial officer), evaluated the effectiveness of our disclosure controls and procedures (as defined in Rules 13a-15(e) and 15d-15(e) promulgated under the Exchange Act) as of the end of the period covered by this Form 10-K Annual Report and as required by Rules 13a-15(b) and 15d-15(b) promulgated under the Exchange Act. Based on this evaluation, our Chief Executive Officer and Chief Financial Officer concluded that our disclosure controls and procedures were effective as of December 31, 2018, at a reasonable assurance level.</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80" w:firstLine="555"/>
        <w:spacing w:after="0" w:line="312"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defined in Rules 13a-15(e) or 15d-15(e) promulgated under the Exchange Act) for Eldorado Resorts, Inc. and its subsidiaries. This system is designed to provide reasonable assurance to the Company’s management regarding the reliability of financial reporting and preparation of consolidated financial statements for external purposes.</w:t>
      </w:r>
    </w:p>
    <w:p>
      <w:pPr>
        <w:spacing w:after="0" w:line="147" w:lineRule="exact"/>
        <w:rPr>
          <w:sz w:val="20"/>
          <w:szCs w:val="20"/>
          <w:color w:val="auto"/>
        </w:rPr>
      </w:pPr>
    </w:p>
    <w:p>
      <w:pPr>
        <w:ind w:right="40" w:firstLine="555"/>
        <w:spacing w:after="0" w:line="302" w:lineRule="auto"/>
        <w:rPr>
          <w:sz w:val="20"/>
          <w:szCs w:val="20"/>
          <w:color w:val="auto"/>
        </w:rPr>
      </w:pPr>
      <w:r>
        <w:rPr>
          <w:rFonts w:ascii="Arial" w:cs="Arial" w:eastAsia="Arial" w:hAnsi="Arial"/>
          <w:sz w:val="16"/>
          <w:szCs w:val="16"/>
          <w:color w:val="auto"/>
        </w:rPr>
        <w:t>Management, with the participation of our Chief Executive Officer and Chief Financial Officer, evaluated and assessed the effectiveness of our internal control over financial reporting as of the end of the period covered by this Form 10-K Annual Report based upon the framework set forth in the Internal Control-Integrated Framework issued in 2013 by the Committee of Sponsoring Organization of the Treadway Commission. Based on this evaluation and assessment, management believes that, as of December 31, 2018, our internal control over financial reporting was effective based on those criteria.</w:t>
      </w:r>
    </w:p>
    <w:p>
      <w:pPr>
        <w:spacing w:after="0" w:line="154"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The Company completed its acquisitions of the Grand Victoria Casino (“Elgin”) on August 7, 2018 and Tropicana Entertainment, Inc. (“Tropicana”) on October 1, 2018. Since the Company has not yet fully incorporated the internal controls and procedures of Elgin and Tropicana into the Company’s internal control over financial reporting, management excluded Elgin and Tropicana from its assessment of the effectiveness of the Company’s internal control over financial reporting as of December 31, 2018. The Elgin and Tropicana acquisitions constituted 37% of total assets as of December 31, 2018, and 13% of net revenues for the year then ended December 31, 2018.</w:t>
      </w:r>
    </w:p>
    <w:p>
      <w:pPr>
        <w:spacing w:after="0" w:line="188"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color w:val="auto"/>
        </w:rPr>
        <w:t>Ernst &amp; Young LLP, an independent registered public accounting firm, has audited our internal control over financial reporting as of December 31, 2018, as stated in its report which follows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Except as noted below, during the quarter ended December 31, 2018, there were no significant changes in our internal control over financial reporting that have materially affected, or are reasonably likely to materially affect, our internal control over financial reporting.</w:t>
      </w:r>
    </w:p>
    <w:p>
      <w:pPr>
        <w:spacing w:after="0" w:line="170"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On August 7, 2018 we completed the acquisition of Elgin and on October 1, 2018 we completed the acquisition of Tropicana. See Part IV, Item 15, Notes to Consolidated Financial Statements, Note 3: Acquisitions, Purchase Price Accounting and Pro forma Information, for a discussion of the acquisitions and related financial data. The Company is in the process of integrating Elgin and Tropicana in to our internal controls over financial reporting. As a result of these integration activities, certain controls will be evaluated and may be changed. The Elgin and Tropicana acquisitions constituted 37% of total assets as of December 31, 2018, and 13% of net revenues for the year then ended December 31, 2018. Excluding the Elgin Acquisition and Tropicana Acquisition, there were no changes in our internal control over financial reporting that have materially affected, or are reasonable likely to materially affect, our internal control over financial reporting</w:t>
      </w:r>
      <w:r>
        <w:rPr>
          <w:rFonts w:ascii="Arial" w:cs="Arial" w:eastAsia="Arial" w:hAnsi="Arial"/>
          <w:sz w:val="18"/>
          <w:szCs w:val="18"/>
          <w:i w:val="1"/>
          <w:iCs w:val="1"/>
          <w:color w:val="auto"/>
        </w:rPr>
        <w:t>.</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Eldorado Resorts,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Opinion on Internal Control over Financial Reporting</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333333"/>
        </w:rPr>
        <w:t>We have audited Eldorado Resorts, Inc.’s internal control over financial reporting as of December 31, 2018, based on criteria established in Internal Control— Integrated Framework issued by the Committee of Sponsoring Organizations of the Treadway Commission (2013 framework) (the COSO criteria). In our opinion, Eldorado Resorts, Inc. (the Company) maintained, in all material respects, effective internal control over financial reporting as of December 31, 2018, based on the COSO criteria.</w:t>
      </w:r>
    </w:p>
    <w:p>
      <w:pPr>
        <w:spacing w:after="0" w:line="18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333333"/>
        </w:rPr>
        <w:t>As indicated in the accompanying Management’s Report on Internal Control over Financial Reporting, management’s assessment of and conclusion on the effectiveness of internal control over financial reporting did not include the internal controls of Elgin Riverboat Resort – Riverboat Casino and Tropicana Entertainment, Inc. which are included in the 2018 consolidated financial statements of the Company and constituted 37% of total assets as of December 31, 2018 and 13% of net revenues for the year then ended. Our audit of internal control over financial reporting of the Company also did not include an evaluation of the internal control over financial reporting of Elgin Riverboat Resort – Riverboat Casino and Tropicana Entertainment, Inc.</w:t>
      </w:r>
    </w:p>
    <w:p>
      <w:pPr>
        <w:spacing w:after="0" w:line="158"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333333"/>
        </w:rPr>
        <w:t>We also have audited, in accordance with the standards of the Public Company Accounting Oversight Board (United States) (PCAOB), the consolidated balance sheets of the Company as of December 31, 2018 and 2017, the related consolidated statements of income, comprehensive income, stockholders’ equity and cash flows for each of the three years in the period ended December 31, 2018, and the related notes and the financial statement schedule listed in the Index at Item 15 (a)(ii) of the Company and our report dated March 1, 2019 expressed an unqualified opinion thereon.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Basis for Opinion</w:t>
      </w:r>
    </w:p>
    <w:p>
      <w:pPr>
        <w:spacing w:after="0" w:line="2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333333"/>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included in Item 9A.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333333"/>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4"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333333"/>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Definition and Limitations of Internal Control Over Financial Reporting</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333333"/>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4" w:name="page65"/>
    <w:bookmarkEnd w:id="64"/>
    <w:p>
      <w:pPr>
        <w:spacing w:after="0" w:line="264" w:lineRule="auto"/>
        <w:rPr>
          <w:sz w:val="20"/>
          <w:szCs w:val="20"/>
          <w:color w:val="auto"/>
        </w:rPr>
      </w:pPr>
      <w:r>
        <w:rPr>
          <w:rFonts w:ascii="Arial" w:cs="Arial" w:eastAsia="Arial" w:hAnsi="Arial"/>
          <w:sz w:val="18"/>
          <w:szCs w:val="18"/>
          <w:color w:val="333333"/>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pacing w:after="0" w:line="20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82" w:right="339" w:bottom="1440" w:gutter="0" w:footer="0" w:header="0"/>
        </w:sectPr>
      </w:pPr>
    </w:p>
    <w:bookmarkStart w:id="65" w:name="page66"/>
    <w:bookmarkEnd w:id="65"/>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The information required by this Item is hereby incorporated by reference to our definitive Proxy Statement for our Annual Meeting of Stockholders (our “Proxy Statement”) to be filed with the Securities and Exchange Commission no later than April 30, 2019, pursuant to Regulation 14A under the Securities Act.</w:t>
      </w:r>
    </w:p>
    <w:p>
      <w:pPr>
        <w:spacing w:after="0" w:line="181"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We have adopted a code of ethics and business conduct applicable to all directors and employees, including the Chief Executive Officer, Chief Financial Officer and Principal Accounting Officer. The code of ethics and business conduct is posted on our website, http://www.eldoradoresorts.com (accessible through the “Corporate Governance” caption of the Investor Relations page) and a printed copy will be delivered on request by writing to the Corporate Secretary at Eldorado Resorts, Inc., c/o Corporate Secretary, 100 West Liberty Street, Suite 1150, Reno, NV 89501. We intend to satisfy the disclosure requirement regarding certain amendments to, or waivers from, provisions of its code of ethics and business conduct by posting such information on our website.</w:t>
      </w:r>
    </w:p>
    <w:p>
      <w:pPr>
        <w:spacing w:after="0" w:line="29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right="400" w:firstLine="555"/>
        <w:spacing w:after="0" w:line="277" w:lineRule="auto"/>
        <w:rPr>
          <w:sz w:val="20"/>
          <w:szCs w:val="20"/>
          <w:color w:val="auto"/>
        </w:rPr>
      </w:pPr>
      <w:r>
        <w:rPr>
          <w:rFonts w:ascii="Arial" w:cs="Arial" w:eastAsia="Arial" w:hAnsi="Arial"/>
          <w:sz w:val="18"/>
          <w:szCs w:val="18"/>
          <w:color w:val="auto"/>
        </w:rPr>
        <w:t>The information required by this Item is hereby incorporated by reference to our Proxy Statement, to be filed with the Securities and Exchange Commission no later than April 30, 2019, pursuant to Regulation 14A under the Securities Act.</w:t>
      </w:r>
    </w:p>
    <w:p>
      <w:pPr>
        <w:spacing w:after="0" w:line="27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right="400" w:firstLine="555"/>
        <w:spacing w:after="0" w:line="277" w:lineRule="auto"/>
        <w:rPr>
          <w:sz w:val="20"/>
          <w:szCs w:val="20"/>
          <w:color w:val="auto"/>
        </w:rPr>
      </w:pPr>
      <w:r>
        <w:rPr>
          <w:rFonts w:ascii="Arial" w:cs="Arial" w:eastAsia="Arial" w:hAnsi="Arial"/>
          <w:sz w:val="18"/>
          <w:szCs w:val="18"/>
          <w:color w:val="auto"/>
        </w:rPr>
        <w:t>The information required by this Item is hereby incorporated by reference to our Proxy Statement, to be filed with the Securities and Exchange Commission no later than April 30, 2019, pursuant to Regulation 14A under the Securities Act.</w:t>
      </w:r>
    </w:p>
    <w:p>
      <w:pPr>
        <w:spacing w:after="0" w:line="27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400" w:firstLine="555"/>
        <w:spacing w:after="0" w:line="277" w:lineRule="auto"/>
        <w:rPr>
          <w:sz w:val="20"/>
          <w:szCs w:val="20"/>
          <w:color w:val="auto"/>
        </w:rPr>
      </w:pPr>
      <w:r>
        <w:rPr>
          <w:rFonts w:ascii="Arial" w:cs="Arial" w:eastAsia="Arial" w:hAnsi="Arial"/>
          <w:sz w:val="18"/>
          <w:szCs w:val="18"/>
          <w:color w:val="auto"/>
        </w:rPr>
        <w:t>The information required by this Item is hereby incorporated by reference to our Proxy Statement, to be filed with the Securities and Exchange Commission no later than April 30, 2019, pursuant to Regulation 14A under the Securities Act.</w:t>
      </w:r>
    </w:p>
    <w:p>
      <w:pPr>
        <w:spacing w:after="0" w:line="27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ind w:right="400" w:firstLine="555"/>
        <w:spacing w:after="0" w:line="277" w:lineRule="auto"/>
        <w:rPr>
          <w:sz w:val="20"/>
          <w:szCs w:val="20"/>
          <w:color w:val="auto"/>
        </w:rPr>
      </w:pPr>
      <w:r>
        <w:rPr>
          <w:rFonts w:ascii="Arial" w:cs="Arial" w:eastAsia="Arial" w:hAnsi="Arial"/>
          <w:sz w:val="18"/>
          <w:szCs w:val="18"/>
          <w:color w:val="auto"/>
        </w:rPr>
        <w:t>The information required by this Item is hereby incorporated by reference to our Proxy Statement, to be filed with the Securities and Exchange Commission no later than April 30, 2019, pursuant to Regulation 14A under the Securities Act.</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337" w:right="399" w:bottom="1440" w:gutter="0" w:footer="0" w:header="0"/>
        </w:sectPr>
      </w:pPr>
    </w:p>
    <w:bookmarkStart w:id="66" w:name="page67"/>
    <w:bookmarkEnd w:id="66"/>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(a)(i) Financial Statements</w:t>
      </w:r>
    </w:p>
    <w:p>
      <w:pPr>
        <w:spacing w:after="0" w:line="23" w:lineRule="exact"/>
        <w:rPr>
          <w:sz w:val="20"/>
          <w:szCs w:val="20"/>
          <w:color w:val="auto"/>
        </w:rPr>
      </w:pPr>
    </w:p>
    <w:p>
      <w:pPr>
        <w:ind w:left="440"/>
        <w:spacing w:after="0" w:line="207" w:lineRule="exact"/>
        <w:rPr>
          <w:sz w:val="20"/>
          <w:szCs w:val="20"/>
          <w:color w:val="auto"/>
        </w:rPr>
      </w:pPr>
      <w:r>
        <w:rPr>
          <w:rFonts w:ascii="Arial" w:cs="Arial" w:eastAsia="Arial" w:hAnsi="Arial"/>
          <w:sz w:val="18"/>
          <w:szCs w:val="18"/>
          <w:color w:val="auto"/>
        </w:rPr>
        <w:t>Included in Part II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Report of Independent Registered Public Accounting Firm</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Consolidated Balance Sheets as of December 31, 2018 and 2017</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Consolidated Statements of Income for the Years Ended December 31, 2018, 2017 and 2016</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Consolidated Statements of Comprehensive Income for the Years Ended December 31, 2018, 2017 and 2016</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Consolidated Statements of Stockholders’ Equity for the Years Ended December 31, 2018, 2017 and 2016</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Consolidated Statements of Cash Flows for the Years Ended December 31, 2018, 2017 and 2016</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(a)(ii) Financial Statement Schedule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Years Ended December 31, 2018, 2017 and 2016</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Valuation and Qualifying Accounts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(a)(iii) Exhibits</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EXHIBIT</w:t>
            </w: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20" w:type="dxa"/>
            <w:vAlign w:val="bottom"/>
            <w:gridSpan w:val="19"/>
            <w:vMerge w:val="restart"/>
          </w:tcPr>
          <w:p>
            <w:pPr>
              <w:ind w:left="3200"/>
              <w:spacing w:after="0"/>
              <w:rPr>
                <w:sz w:val="20"/>
                <w:szCs w:val="20"/>
                <w:color w:val="auto"/>
              </w:rPr>
            </w:pPr>
            <w:r>
              <w:rPr>
                <w:rFonts w:ascii="Arial" w:cs="Arial" w:eastAsia="Arial" w:hAnsi="Arial"/>
                <w:sz w:val="14"/>
                <w:szCs w:val="14"/>
                <w:b w:val="1"/>
                <w:bCs w:val="1"/>
                <w:color w:val="auto"/>
              </w:rPr>
              <w:t>ITEM TITLE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NO.</w:t>
            </w:r>
          </w:p>
        </w:tc>
        <w:tc>
          <w:tcPr>
            <w:tcW w:w="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20" w:type="dxa"/>
            <w:vAlign w:val="bottom"/>
            <w:tcBorders>
              <w:bottom w:val="single" w:sz="8" w:color="auto"/>
            </w:tcBorders>
            <w:gridSpan w:val="19"/>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p>
        </w:tc>
        <w:tc>
          <w:tcPr>
            <w:tcW w:w="9800" w:type="dxa"/>
            <w:vAlign w:val="bottom"/>
            <w:tcBorders>
              <w:bottom w:val="single" w:sz="8" w:color="0000EE"/>
            </w:tcBorders>
            <w:gridSpan w:val="14"/>
          </w:tcPr>
          <w:p>
            <w:pPr>
              <w:spacing w:after="0"/>
              <w:rPr>
                <w:rFonts w:ascii="Arial" w:cs="Arial" w:eastAsia="Arial" w:hAnsi="Arial"/>
                <w:sz w:val="18"/>
                <w:szCs w:val="18"/>
                <w:color w:val="0000EE"/>
                <w:w w:val="91"/>
              </w:rPr>
            </w:pPr>
            <w:hyperlink r:id="rId81">
              <w:r>
                <w:rPr>
                  <w:rFonts w:ascii="Arial" w:cs="Arial" w:eastAsia="Arial" w:hAnsi="Arial"/>
                  <w:sz w:val="18"/>
                  <w:szCs w:val="18"/>
                  <w:color w:val="0000EE"/>
                  <w:w w:val="91"/>
                </w:rPr>
                <w:t>Agreement and Plan of Merger by and among Isle of Capri Casinos, Inc., Eldorado Resorts, Inc., Eagle I Acquisition Corp. and Eagle II</w:t>
              </w:r>
            </w:hyperlink>
          </w:p>
        </w:tc>
        <w:tc>
          <w:tcPr>
            <w:tcW w:w="58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Acquisition Company LLC, dated as of September 19, 2016 (incorporated by reference to our Current Report on Form 8-K filed on</w:t>
              </w:r>
            </w:hyperlink>
          </w:p>
        </w:tc>
        <w:tc>
          <w:tcPr>
            <w:tcW w:w="90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r:id="rId81">
              <w:r>
                <w:rPr>
                  <w:rFonts w:ascii="Arial" w:cs="Arial" w:eastAsia="Arial" w:hAnsi="Arial"/>
                  <w:sz w:val="18"/>
                  <w:szCs w:val="18"/>
                  <w:color w:val="0000EE"/>
                  <w:w w:val="88"/>
                </w:rPr>
                <w:t>September 22, 2016).</w:t>
              </w:r>
            </w:hyperlink>
          </w:p>
        </w:tc>
        <w:tc>
          <w:tcPr>
            <w:tcW w:w="882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p>
        </w:tc>
        <w:tc>
          <w:tcPr>
            <w:tcW w:w="10220" w:type="dxa"/>
            <w:vAlign w:val="bottom"/>
            <w:tcBorders>
              <w:bottom w:val="single" w:sz="8" w:color="0000EE"/>
            </w:tcBorders>
            <w:gridSpan w:val="22"/>
          </w:tcPr>
          <w:p>
            <w:pPr>
              <w:spacing w:after="0"/>
              <w:rPr>
                <w:rFonts w:ascii="Arial" w:cs="Arial" w:eastAsia="Arial" w:hAnsi="Arial"/>
                <w:sz w:val="18"/>
                <w:szCs w:val="18"/>
                <w:color w:val="0000EE"/>
                <w:w w:val="90"/>
              </w:rPr>
            </w:pPr>
            <w:hyperlink r:id="rId82">
              <w:r>
                <w:rPr>
                  <w:rFonts w:ascii="Arial" w:cs="Arial" w:eastAsia="Arial" w:hAnsi="Arial"/>
                  <w:sz w:val="18"/>
                  <w:szCs w:val="18"/>
                  <w:color w:val="0000EE"/>
                  <w:w w:val="90"/>
                </w:rPr>
                <w:t>Agreement and Plan of Merger by and among Eldorado Resorts, Inc., Delta Merger Sub, Inc., GLP Capital, L.P. and Tropicana Entertainment</w:t>
              </w:r>
            </w:hyperlink>
          </w:p>
        </w:tc>
        <w:tc>
          <w:tcPr>
            <w:tcW w:w="1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82">
              <w:r>
                <w:rPr>
                  <w:rFonts w:ascii="Arial" w:cs="Arial" w:eastAsia="Arial" w:hAnsi="Arial"/>
                  <w:sz w:val="18"/>
                  <w:szCs w:val="18"/>
                  <w:color w:val="0000EE"/>
                  <w:w w:val="92"/>
                </w:rPr>
                <w:t>Inc., dated as of April 15, 2018 (incorporated by reference to our Current Report on Form 8-K filed on April 16, 2018).</w:t>
              </w:r>
            </w:hyperlink>
          </w:p>
        </w:tc>
        <w:tc>
          <w:tcPr>
            <w:tcW w:w="178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2.3</w:t>
            </w:r>
            <w:r>
              <w:rPr>
                <w:rFonts w:ascii="MS PGothic" w:cs="MS PGothic" w:eastAsia="MS PGothic" w:hAnsi="MS PGothic"/>
                <w:sz w:val="18"/>
                <w:szCs w:val="18"/>
                <w:color w:val="auto"/>
              </w:rPr>
              <w:t>⁺</w:t>
            </w:r>
          </w:p>
        </w:tc>
        <w:tc>
          <w:tcPr>
            <w:tcW w:w="10220" w:type="dxa"/>
            <w:vAlign w:val="bottom"/>
            <w:tcBorders>
              <w:bottom w:val="single" w:sz="8" w:color="0000EE"/>
            </w:tcBorders>
            <w:gridSpan w:val="22"/>
          </w:tcPr>
          <w:p>
            <w:pPr>
              <w:spacing w:after="0"/>
              <w:rPr>
                <w:rFonts w:ascii="Arial" w:cs="Arial" w:eastAsia="Arial" w:hAnsi="Arial"/>
                <w:sz w:val="18"/>
                <w:szCs w:val="18"/>
                <w:color w:val="0000EE"/>
                <w:w w:val="93"/>
              </w:rPr>
            </w:pPr>
            <w:hyperlink r:id="rId83">
              <w:r>
                <w:rPr>
                  <w:rFonts w:ascii="Arial" w:cs="Arial" w:eastAsia="Arial" w:hAnsi="Arial"/>
                  <w:sz w:val="18"/>
                  <w:szCs w:val="18"/>
                  <w:color w:val="0000EE"/>
                  <w:w w:val="93"/>
                </w:rPr>
                <w:t>Interest Purchase Agreement by and among MGM Elgin Sub, Inc., Illinois RBG, L.L.C., Eldorado Resorts, Inc., Elgin Holdings I LLC, Elgin</w:t>
              </w:r>
            </w:hyperlink>
          </w:p>
        </w:tc>
        <w:tc>
          <w:tcPr>
            <w:tcW w:w="1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80" w:type="dxa"/>
            <w:vAlign w:val="bottom"/>
            <w:gridSpan w:val="26"/>
          </w:tcPr>
          <w:p>
            <w:pPr>
              <w:spacing w:after="0" w:line="196" w:lineRule="exact"/>
              <w:rPr>
                <w:rFonts w:ascii="Arial" w:cs="Arial" w:eastAsia="Arial" w:hAnsi="Arial"/>
                <w:sz w:val="18"/>
                <w:szCs w:val="18"/>
                <w:color w:val="0000EE"/>
                <w:w w:val="97"/>
              </w:rPr>
            </w:pPr>
            <w:hyperlink r:id="rId83">
              <w:r>
                <w:rPr>
                  <w:rFonts w:ascii="Arial" w:cs="Arial" w:eastAsia="Arial" w:hAnsi="Arial"/>
                  <w:sz w:val="18"/>
                  <w:szCs w:val="18"/>
                  <w:color w:val="0000EE"/>
                  <w:w w:val="97"/>
                </w:rPr>
                <w:t>Holdings II LLC, Elgin Riverboat Resort-Riverboat Casino and MGM Resorts International, dated as of April 15, 2018 (incorporated by</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reference to our Current Report on Form 8-K filed on April 16, 2018).</w:t>
              </w:r>
            </w:hyperlink>
          </w:p>
        </w:tc>
        <w:tc>
          <w:tcPr>
            <w:tcW w:w="54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720" w:type="dxa"/>
            <w:vAlign w:val="bottom"/>
            <w:gridSpan w:val="2"/>
            <w:shd w:val="clear" w:color="auto" w:fill="0000EE"/>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ind w:left="10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0380" w:type="dxa"/>
            <w:vAlign w:val="bottom"/>
            <w:gridSpan w:val="26"/>
          </w:tcPr>
          <w:p>
            <w:pPr>
              <w:spacing w:after="0"/>
              <w:rPr>
                <w:rFonts w:ascii="Arial" w:cs="Arial" w:eastAsia="Arial" w:hAnsi="Arial"/>
                <w:sz w:val="18"/>
                <w:szCs w:val="18"/>
                <w:color w:val="0000EE"/>
                <w:w w:val="92"/>
              </w:rPr>
            </w:pPr>
            <w:hyperlink r:id="rId84">
              <w:r>
                <w:rPr>
                  <w:rFonts w:ascii="Arial" w:cs="Arial" w:eastAsia="Arial" w:hAnsi="Arial"/>
                  <w:sz w:val="18"/>
                  <w:szCs w:val="18"/>
                  <w:color w:val="0000EE"/>
                  <w:w w:val="92"/>
                </w:rPr>
                <w:t>Amended and Restated Articles of Incorporation (incorporated by reference to our Current Report on Form 8-K filed on September 19, 2014).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40" w:type="dxa"/>
            <w:vAlign w:val="bottom"/>
          </w:tcPr>
          <w:p>
            <w:pPr>
              <w:ind w:left="10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0240" w:type="dxa"/>
            <w:vAlign w:val="bottom"/>
            <w:tcBorders>
              <w:top w:val="single" w:sz="8" w:color="0000EE"/>
            </w:tcBorders>
            <w:gridSpan w:val="23"/>
          </w:tcPr>
          <w:p>
            <w:pPr>
              <w:spacing w:after="0"/>
              <w:rPr>
                <w:rFonts w:ascii="Arial" w:cs="Arial" w:eastAsia="Arial" w:hAnsi="Arial"/>
                <w:sz w:val="18"/>
                <w:szCs w:val="18"/>
                <w:color w:val="0000EE"/>
                <w:w w:val="94"/>
              </w:rPr>
            </w:pPr>
            <w:hyperlink r:id="rId85">
              <w:r>
                <w:rPr>
                  <w:rFonts w:ascii="Arial" w:cs="Arial" w:eastAsia="Arial" w:hAnsi="Arial"/>
                  <w:sz w:val="18"/>
                  <w:szCs w:val="18"/>
                  <w:color w:val="0000EE"/>
                  <w:w w:val="94"/>
                </w:rPr>
                <w:t>Certificate of Amendment to Articles of Incorporation (incorporated by reference to our Quarterly Report on Form 10-Q filed on August 7,</w:t>
              </w:r>
            </w:hyperlink>
          </w:p>
        </w:tc>
        <w:tc>
          <w:tcPr>
            <w:tcW w:w="14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85">
              <w:r>
                <w:rPr>
                  <w:rFonts w:ascii="Arial" w:cs="Arial" w:eastAsia="Arial" w:hAnsi="Arial"/>
                  <w:sz w:val="18"/>
                  <w:szCs w:val="18"/>
                  <w:color w:val="0000EE"/>
                  <w:w w:val="90"/>
                </w:rPr>
                <w:t>2018).</w:t>
              </w:r>
            </w:hyperlink>
          </w:p>
        </w:tc>
        <w:tc>
          <w:tcPr>
            <w:tcW w:w="5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500" w:type="dxa"/>
            <w:vAlign w:val="bottom"/>
            <w:tcBorders>
              <w:top w:val="single" w:sz="8" w:color="0000EE"/>
            </w:tcBorders>
          </w:tcPr>
          <w:p>
            <w:pPr>
              <w:spacing w:after="0"/>
              <w:rPr>
                <w:sz w:val="17"/>
                <w:szCs w:val="17"/>
                <w:color w:val="auto"/>
              </w:rPr>
            </w:pPr>
          </w:p>
        </w:tc>
        <w:tc>
          <w:tcPr>
            <w:tcW w:w="32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ind w:left="10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10380" w:type="dxa"/>
            <w:vAlign w:val="bottom"/>
            <w:gridSpan w:val="26"/>
          </w:tcPr>
          <w:p>
            <w:pPr>
              <w:spacing w:after="0" w:line="207" w:lineRule="exact"/>
              <w:rPr>
                <w:rFonts w:ascii="Arial" w:cs="Arial" w:eastAsia="Arial" w:hAnsi="Arial"/>
                <w:sz w:val="18"/>
                <w:szCs w:val="18"/>
                <w:color w:val="0000EE"/>
              </w:rPr>
            </w:pPr>
            <w:hyperlink r:id="rId86">
              <w:r>
                <w:rPr>
                  <w:rFonts w:ascii="Arial" w:cs="Arial" w:eastAsia="Arial" w:hAnsi="Arial"/>
                  <w:sz w:val="18"/>
                  <w:szCs w:val="18"/>
                  <w:color w:val="0000EE"/>
                </w:rPr>
                <w:t>Amended and Restated Bylaws (incorporated by reference to our Current Report on Form 8</w:t>
              </w:r>
              <w:r>
                <w:rPr>
                  <w:rFonts w:ascii="MS PGothic" w:cs="MS PGothic" w:eastAsia="MS PGothic" w:hAnsi="MS PGothic"/>
                  <w:sz w:val="18"/>
                  <w:szCs w:val="18"/>
                  <w:color w:val="0000EE"/>
                </w:rPr>
                <w:t>‑</w:t>
              </w:r>
              <w:r>
                <w:rPr>
                  <w:rFonts w:ascii="Arial" w:cs="Arial" w:eastAsia="Arial" w:hAnsi="Arial"/>
                  <w:sz w:val="18"/>
                  <w:szCs w:val="18"/>
                  <w:color w:val="0000EE"/>
                </w:rPr>
                <w:t>K filed on September 19, 2014).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ind w:left="10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8780" w:type="dxa"/>
            <w:vAlign w:val="bottom"/>
            <w:tcBorders>
              <w:top w:val="single" w:sz="8" w:color="0000EE"/>
            </w:tcBorders>
            <w:gridSpan w:val="12"/>
          </w:tcPr>
          <w:p>
            <w:pPr>
              <w:spacing w:after="0" w:line="207" w:lineRule="exact"/>
              <w:rPr>
                <w:rFonts w:ascii="Arial" w:cs="Arial" w:eastAsia="Arial" w:hAnsi="Arial"/>
                <w:sz w:val="18"/>
                <w:szCs w:val="18"/>
                <w:color w:val="0000EE"/>
                <w:w w:val="97"/>
              </w:rPr>
            </w:pPr>
            <w:hyperlink r:id="rId87">
              <w:r>
                <w:rPr>
                  <w:rFonts w:ascii="Arial" w:cs="Arial" w:eastAsia="Arial" w:hAnsi="Arial"/>
                  <w:sz w:val="18"/>
                  <w:szCs w:val="18"/>
                  <w:color w:val="0000EE"/>
                  <w:w w:val="97"/>
                </w:rPr>
                <w:t>Specimen Stock Certificate of the Company (incorporated by reference to our Form S</w:t>
              </w:r>
              <w:r>
                <w:rPr>
                  <w:rFonts w:ascii="MS PGothic" w:cs="MS PGothic" w:eastAsia="MS PGothic" w:hAnsi="MS PGothic"/>
                  <w:sz w:val="18"/>
                  <w:szCs w:val="18"/>
                  <w:color w:val="0000EE"/>
                  <w:w w:val="97"/>
                </w:rPr>
                <w:t>‑</w:t>
              </w:r>
              <w:r>
                <w:rPr>
                  <w:rFonts w:ascii="Arial" w:cs="Arial" w:eastAsia="Arial" w:hAnsi="Arial"/>
                  <w:sz w:val="18"/>
                  <w:szCs w:val="18"/>
                  <w:color w:val="0000EE"/>
                  <w:w w:val="97"/>
                </w:rPr>
                <w:t>4/A filed on April 21, 2014).</w:t>
              </w:r>
            </w:hyperlink>
          </w:p>
        </w:tc>
        <w:tc>
          <w:tcPr>
            <w:tcW w:w="160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980" w:type="dxa"/>
            <w:vAlign w:val="bottom"/>
            <w:gridSpan w:val="3"/>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ind w:left="10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0380" w:type="dxa"/>
            <w:vAlign w:val="bottom"/>
            <w:gridSpan w:val="26"/>
          </w:tcPr>
          <w:p>
            <w:pPr>
              <w:spacing w:after="0"/>
              <w:rPr>
                <w:rFonts w:ascii="Arial" w:cs="Arial" w:eastAsia="Arial" w:hAnsi="Arial"/>
                <w:sz w:val="18"/>
                <w:szCs w:val="18"/>
                <w:color w:val="0000EE"/>
                <w:w w:val="92"/>
              </w:rPr>
            </w:pPr>
            <w:hyperlink r:id="rId88">
              <w:r>
                <w:rPr>
                  <w:rFonts w:ascii="Arial" w:cs="Arial" w:eastAsia="Arial" w:hAnsi="Arial"/>
                  <w:sz w:val="18"/>
                  <w:szCs w:val="18"/>
                  <w:color w:val="0000EE"/>
                  <w:w w:val="92"/>
                </w:rPr>
                <w:t>Indenture dated as of June 23, 2015, by and among Eldorado Resorts, Inc., the guarantors party thereto, U.S. Bank National Association, as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400" w:type="dxa"/>
            <w:vAlign w:val="bottom"/>
            <w:gridSpan w:val="5"/>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80" w:type="dxa"/>
            <w:vAlign w:val="bottom"/>
            <w:gridSpan w:val="26"/>
          </w:tcPr>
          <w:p>
            <w:pPr>
              <w:spacing w:after="0" w:line="196" w:lineRule="exact"/>
              <w:rPr>
                <w:rFonts w:ascii="Arial" w:cs="Arial" w:eastAsia="Arial" w:hAnsi="Arial"/>
                <w:sz w:val="18"/>
                <w:szCs w:val="18"/>
                <w:color w:val="0000EE"/>
                <w:w w:val="91"/>
              </w:rPr>
            </w:pPr>
            <w:hyperlink r:id="rId88">
              <w:r>
                <w:rPr>
                  <w:rFonts w:ascii="Arial" w:cs="Arial" w:eastAsia="Arial" w:hAnsi="Arial"/>
                  <w:sz w:val="18"/>
                  <w:szCs w:val="18"/>
                  <w:color w:val="0000EE"/>
                  <w:w w:val="91"/>
                </w:rPr>
                <w:t>Trustee, and Capital One, N.A., as Collateral Trustee, and Form of Note (incorporated by reference to our Current Report on Form 8-K filed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2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July 23, 2015).</w:t>
              </w:r>
            </w:hyperlink>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0" w:type="dxa"/>
            <w:vAlign w:val="bottom"/>
            <w:gridSpan w:val="5"/>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ind w:left="10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10380" w:type="dxa"/>
            <w:vAlign w:val="bottom"/>
            <w:tcBorders>
              <w:bottom w:val="single" w:sz="8" w:color="0000EE"/>
            </w:tcBorders>
            <w:gridSpan w:val="26"/>
          </w:tcPr>
          <w:p>
            <w:pPr>
              <w:spacing w:after="0"/>
              <w:rPr>
                <w:rFonts w:ascii="Arial" w:cs="Arial" w:eastAsia="Arial" w:hAnsi="Arial"/>
                <w:sz w:val="18"/>
                <w:szCs w:val="18"/>
                <w:color w:val="0000EE"/>
                <w:w w:val="89"/>
              </w:rPr>
            </w:pPr>
            <w:hyperlink r:id="rId89">
              <w:r>
                <w:rPr>
                  <w:rFonts w:ascii="Arial" w:cs="Arial" w:eastAsia="Arial" w:hAnsi="Arial"/>
                  <w:sz w:val="18"/>
                  <w:szCs w:val="18"/>
                  <w:color w:val="0000EE"/>
                  <w:w w:val="89"/>
                </w:rPr>
                <w:t>First Supplemental Indenture, dated as of December 15, 2015, by and among Eldorado Resorts, Inc., the guarantors party thereto and U.S. Bank</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8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89">
              <w:r>
                <w:rPr>
                  <w:rFonts w:ascii="Arial" w:cs="Arial" w:eastAsia="Arial" w:hAnsi="Arial"/>
                  <w:sz w:val="18"/>
                  <w:szCs w:val="18"/>
                  <w:color w:val="0000EE"/>
                  <w:w w:val="90"/>
                </w:rPr>
                <w:t>National Association, as Trustee, under the 2023 Notes Indenture (incorporated by reference to our Registration Statement on Form S-4 filed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80" w:type="dxa"/>
            <w:vAlign w:val="bottom"/>
            <w:gridSpan w:val="26"/>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January 14,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400" w:type="dxa"/>
            <w:vAlign w:val="bottom"/>
            <w:gridSpan w:val="5"/>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ind w:left="10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10380" w:type="dxa"/>
            <w:vAlign w:val="bottom"/>
            <w:gridSpan w:val="26"/>
          </w:tcPr>
          <w:p>
            <w:pPr>
              <w:spacing w:after="0"/>
              <w:rPr>
                <w:rFonts w:ascii="Arial" w:cs="Arial" w:eastAsia="Arial" w:hAnsi="Arial"/>
                <w:sz w:val="18"/>
                <w:szCs w:val="18"/>
                <w:color w:val="0000EE"/>
                <w:w w:val="91"/>
              </w:rPr>
            </w:pPr>
            <w:hyperlink r:id="rId90">
              <w:r>
                <w:rPr>
                  <w:rFonts w:ascii="Arial" w:cs="Arial" w:eastAsia="Arial" w:hAnsi="Arial"/>
                  <w:sz w:val="18"/>
                  <w:szCs w:val="18"/>
                  <w:color w:val="0000EE"/>
                  <w:w w:val="91"/>
                </w:rPr>
                <w:t>Second Supplemental Indenture, dated as of May 26, 2016, by and among Eldorado Resorts, Inc., the guarantors party thereto, and U.S. Bank</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400" w:type="dxa"/>
            <w:vAlign w:val="bottom"/>
            <w:gridSpan w:val="5"/>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8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90">
              <w:r>
                <w:rPr>
                  <w:rFonts w:ascii="Arial" w:cs="Arial" w:eastAsia="Arial" w:hAnsi="Arial"/>
                  <w:sz w:val="18"/>
                  <w:szCs w:val="18"/>
                  <w:color w:val="0000EE"/>
                  <w:w w:val="90"/>
                </w:rPr>
                <w:t>National Association, as Trustee, under the 2023 Notes Indenture (incorporated by reference to our Registration Statement on Form S-4 filed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r:id="rId90">
              <w:r>
                <w:rPr>
                  <w:rFonts w:ascii="Arial" w:cs="Arial" w:eastAsia="Arial" w:hAnsi="Arial"/>
                  <w:sz w:val="18"/>
                  <w:szCs w:val="18"/>
                  <w:color w:val="0000EE"/>
                  <w:w w:val="87"/>
                </w:rPr>
                <w:t>June 16, 2017).</w:t>
              </w:r>
            </w:hyperlink>
          </w:p>
        </w:tc>
        <w:tc>
          <w:tcPr>
            <w:tcW w:w="9260" w:type="dxa"/>
            <w:vAlign w:val="bottom"/>
            <w:gridSpan w:val="2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ind w:left="10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10200" w:type="dxa"/>
            <w:vAlign w:val="bottom"/>
            <w:tcBorders>
              <w:bottom w:val="single" w:sz="8" w:color="0000EE"/>
            </w:tcBorders>
            <w:gridSpan w:val="21"/>
          </w:tcPr>
          <w:p>
            <w:pPr>
              <w:spacing w:after="0"/>
              <w:rPr>
                <w:rFonts w:ascii="Arial" w:cs="Arial" w:eastAsia="Arial" w:hAnsi="Arial"/>
                <w:sz w:val="18"/>
                <w:szCs w:val="18"/>
                <w:color w:val="0000EE"/>
                <w:w w:val="90"/>
              </w:rPr>
            </w:pPr>
            <w:hyperlink r:id="rId91">
              <w:r>
                <w:rPr>
                  <w:rFonts w:ascii="Arial" w:cs="Arial" w:eastAsia="Arial" w:hAnsi="Arial"/>
                  <w:sz w:val="18"/>
                  <w:szCs w:val="18"/>
                  <w:color w:val="0000EE"/>
                  <w:w w:val="90"/>
                </w:rPr>
                <w:t>Third Supplemental Indenture, dated as of March 16, 2017, by and among Eldorado Resorts, Inc., the guarantors party thereto and U.S. Bank</w:t>
              </w:r>
            </w:hyperlink>
          </w:p>
        </w:tc>
        <w:tc>
          <w:tcPr>
            <w:tcW w:w="18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80" w:type="dxa"/>
            <w:vAlign w:val="bottom"/>
            <w:gridSpan w:val="26"/>
          </w:tcPr>
          <w:p>
            <w:pPr>
              <w:spacing w:after="0" w:line="196" w:lineRule="exact"/>
              <w:rPr>
                <w:rFonts w:ascii="Arial" w:cs="Arial" w:eastAsia="Arial" w:hAnsi="Arial"/>
                <w:sz w:val="18"/>
                <w:szCs w:val="18"/>
                <w:color w:val="0000EE"/>
                <w:w w:val="95"/>
              </w:rPr>
            </w:pPr>
            <w:hyperlink r:id="rId91">
              <w:r>
                <w:rPr>
                  <w:rFonts w:ascii="Arial" w:cs="Arial" w:eastAsia="Arial" w:hAnsi="Arial"/>
                  <w:sz w:val="18"/>
                  <w:szCs w:val="18"/>
                  <w:color w:val="0000EE"/>
                  <w:w w:val="95"/>
                </w:rPr>
                <w:t>National Association, as Trustee, under the 2023 Notes Indenture (incorporated by reference to our Current Report on Form 8-K filed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March 22, 2017).</w:t>
              </w:r>
            </w:hyperlink>
          </w:p>
        </w:tc>
        <w:tc>
          <w:tcPr>
            <w:tcW w:w="8580" w:type="dxa"/>
            <w:vAlign w:val="bottom"/>
            <w:tcBorders>
              <w:top w:val="single" w:sz="8" w:color="0000EE"/>
            </w:tcBorders>
            <w:gridSpan w:val="10"/>
          </w:tcPr>
          <w:p>
            <w:pPr>
              <w:spacing w:after="0"/>
              <w:rPr>
                <w:sz w:val="17"/>
                <w:szCs w:val="17"/>
                <w:color w:val="auto"/>
              </w:rPr>
            </w:pPr>
          </w:p>
        </w:tc>
        <w:tc>
          <w:tcPr>
            <w:tcW w:w="54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ind w:left="10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10380" w:type="dxa"/>
            <w:vAlign w:val="bottom"/>
            <w:gridSpan w:val="26"/>
          </w:tcPr>
          <w:p>
            <w:pPr>
              <w:spacing w:after="0"/>
              <w:rPr>
                <w:rFonts w:ascii="Arial" w:cs="Arial" w:eastAsia="Arial" w:hAnsi="Arial"/>
                <w:sz w:val="18"/>
                <w:szCs w:val="18"/>
                <w:color w:val="0000EE"/>
                <w:w w:val="93"/>
              </w:rPr>
            </w:pPr>
            <w:hyperlink r:id="rId92">
              <w:r>
                <w:rPr>
                  <w:rFonts w:ascii="Arial" w:cs="Arial" w:eastAsia="Arial" w:hAnsi="Arial"/>
                  <w:sz w:val="18"/>
                  <w:szCs w:val="18"/>
                  <w:color w:val="0000EE"/>
                  <w:w w:val="93"/>
                </w:rPr>
                <w:t>Fourth Supplemental Indenture, dated as of May 1, 2017, by and among Eldorado Resorts, Inc., the guarantors party thereto and U.S. Bank</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Borders>
              <w:top w:val="single" w:sz="8" w:color="0000EE"/>
            </w:tcBorders>
            <w:gridSpan w:val="18"/>
          </w:tcPr>
          <w:p>
            <w:pPr>
              <w:spacing w:after="0" w:line="196" w:lineRule="exact"/>
              <w:rPr>
                <w:rFonts w:ascii="Arial" w:cs="Arial" w:eastAsia="Arial" w:hAnsi="Arial"/>
                <w:sz w:val="18"/>
                <w:szCs w:val="18"/>
                <w:color w:val="0000EE"/>
                <w:w w:val="92"/>
              </w:rPr>
            </w:pPr>
            <w:hyperlink r:id="rId92">
              <w:r>
                <w:rPr>
                  <w:rFonts w:ascii="Arial" w:cs="Arial" w:eastAsia="Arial" w:hAnsi="Arial"/>
                  <w:sz w:val="18"/>
                  <w:szCs w:val="18"/>
                  <w:color w:val="0000EE"/>
                  <w:w w:val="92"/>
                </w:rPr>
                <w:t>National Association, as Trustee, under the 2023 Notes Indenture (incorporated by reference to our Current Report on Form 8-K filed on</w:t>
              </w:r>
            </w:hyperlink>
          </w:p>
        </w:tc>
        <w:tc>
          <w:tcPr>
            <w:tcW w:w="34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May 1, 2017).</w:t>
              </w:r>
            </w:hyperlink>
          </w:p>
        </w:tc>
        <w:tc>
          <w:tcPr>
            <w:tcW w:w="54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0" w:type="dxa"/>
            <w:vAlign w:val="bottom"/>
            <w:gridSpan w:val="5"/>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ind w:left="10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10380" w:type="dxa"/>
            <w:vAlign w:val="bottom"/>
            <w:gridSpan w:val="26"/>
          </w:tcPr>
          <w:p>
            <w:pPr>
              <w:spacing w:after="0"/>
              <w:rPr>
                <w:rFonts w:ascii="Arial" w:cs="Arial" w:eastAsia="Arial" w:hAnsi="Arial"/>
                <w:sz w:val="18"/>
                <w:szCs w:val="18"/>
                <w:color w:val="0000EE"/>
                <w:w w:val="93"/>
              </w:rPr>
            </w:pPr>
            <w:hyperlink r:id="rId92">
              <w:r>
                <w:rPr>
                  <w:rFonts w:ascii="Arial" w:cs="Arial" w:eastAsia="Arial" w:hAnsi="Arial"/>
                  <w:sz w:val="18"/>
                  <w:szCs w:val="18"/>
                  <w:color w:val="0000EE"/>
                  <w:w w:val="93"/>
                </w:rPr>
                <w:t>Fifth Supplemental Indenture, dated as of June 18, 2018, by and among Eldorado Resorts, Inc., the guarantors party thereto and U.S. Bank</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7400" w:type="dxa"/>
            <w:vAlign w:val="bottom"/>
            <w:gridSpan w:val="5"/>
            <w:shd w:val="clear" w:color="auto" w:fill="0000EE"/>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92">
              <w:r>
                <w:rPr>
                  <w:rFonts w:ascii="Arial" w:cs="Arial" w:eastAsia="Arial" w:hAnsi="Arial"/>
                  <w:sz w:val="18"/>
                  <w:szCs w:val="18"/>
                  <w:color w:val="0000EE"/>
                  <w:w w:val="90"/>
                </w:rPr>
                <w:t>National Association, as Trustee, under the 2023 Notes Indenture (incorporated by reference to our Quarterly Report on Form 10-Q filed on</w:t>
              </w:r>
            </w:hyperlink>
          </w:p>
        </w:tc>
        <w:tc>
          <w:tcPr>
            <w:tcW w:w="30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92">
              <w:r>
                <w:rPr>
                  <w:rFonts w:ascii="Arial" w:cs="Arial" w:eastAsia="Arial" w:hAnsi="Arial"/>
                  <w:sz w:val="18"/>
                  <w:szCs w:val="18"/>
                  <w:color w:val="0000EE"/>
                  <w:w w:val="90"/>
                </w:rPr>
                <w:t>August 7, 2018).</w:t>
              </w:r>
            </w:hyperlink>
          </w:p>
        </w:tc>
        <w:tc>
          <w:tcPr>
            <w:tcW w:w="9160" w:type="dxa"/>
            <w:vAlign w:val="bottom"/>
            <w:gridSpan w:val="2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tcPr>
          <w:p>
            <w:pPr>
              <w:ind w:left="10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10120" w:type="dxa"/>
            <w:vAlign w:val="bottom"/>
            <w:tcBorders>
              <w:bottom w:val="single" w:sz="8" w:color="0000EE"/>
            </w:tcBorders>
            <w:gridSpan w:val="20"/>
          </w:tcPr>
          <w:p>
            <w:pPr>
              <w:spacing w:after="0"/>
              <w:rPr>
                <w:rFonts w:ascii="Arial" w:cs="Arial" w:eastAsia="Arial" w:hAnsi="Arial"/>
                <w:sz w:val="18"/>
                <w:szCs w:val="18"/>
                <w:color w:val="0000EE"/>
                <w:w w:val="90"/>
              </w:rPr>
            </w:pPr>
            <w:hyperlink r:id="rId92">
              <w:r>
                <w:rPr>
                  <w:rFonts w:ascii="Arial" w:cs="Arial" w:eastAsia="Arial" w:hAnsi="Arial"/>
                  <w:sz w:val="18"/>
                  <w:szCs w:val="18"/>
                  <w:color w:val="0000EE"/>
                  <w:w w:val="90"/>
                </w:rPr>
                <w:t>Sixth Supplemental Indenture, dated as of August 7, 2018, by and among Eldorado Resorts, Inc., the guarantors party thereto and U.S. Bank</w:t>
              </w:r>
            </w:hyperlink>
          </w:p>
        </w:tc>
        <w:tc>
          <w:tcPr>
            <w:tcW w:w="26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92">
              <w:r>
                <w:rPr>
                  <w:rFonts w:ascii="Arial" w:cs="Arial" w:eastAsia="Arial" w:hAnsi="Arial"/>
                  <w:sz w:val="18"/>
                  <w:szCs w:val="18"/>
                  <w:color w:val="0000EE"/>
                  <w:w w:val="90"/>
                </w:rPr>
                <w:t>National Association, as Trustee, under the 2023 Notes Indenture (incorporated by reference to our Quarterly Report on Form 10-Q filed on</w:t>
              </w:r>
            </w:hyperlink>
          </w:p>
        </w:tc>
        <w:tc>
          <w:tcPr>
            <w:tcW w:w="30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92">
              <w:r>
                <w:rPr>
                  <w:rFonts w:ascii="Arial" w:cs="Arial" w:eastAsia="Arial" w:hAnsi="Arial"/>
                  <w:sz w:val="18"/>
                  <w:szCs w:val="18"/>
                  <w:color w:val="0000EE"/>
                  <w:w w:val="90"/>
                </w:rPr>
                <w:t>August 7, 2018).</w:t>
              </w:r>
            </w:hyperlink>
          </w:p>
        </w:tc>
        <w:tc>
          <w:tcPr>
            <w:tcW w:w="9160" w:type="dxa"/>
            <w:vAlign w:val="bottom"/>
            <w:gridSpan w:val="2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ind w:left="10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10000" w:type="dxa"/>
            <w:vAlign w:val="bottom"/>
            <w:tcBorders>
              <w:bottom w:val="single" w:sz="8" w:color="0000EE"/>
            </w:tcBorders>
            <w:gridSpan w:val="17"/>
          </w:tcPr>
          <w:p>
            <w:pPr>
              <w:spacing w:after="0"/>
              <w:rPr>
                <w:rFonts w:ascii="Arial" w:cs="Arial" w:eastAsia="Arial" w:hAnsi="Arial"/>
                <w:sz w:val="18"/>
                <w:szCs w:val="18"/>
                <w:color w:val="0000EE"/>
                <w:w w:val="89"/>
              </w:rPr>
            </w:pPr>
            <w:hyperlink r:id="rId93">
              <w:r>
                <w:rPr>
                  <w:rFonts w:ascii="Arial" w:cs="Arial" w:eastAsia="Arial" w:hAnsi="Arial"/>
                  <w:sz w:val="18"/>
                  <w:szCs w:val="18"/>
                  <w:color w:val="0000EE"/>
                  <w:w w:val="89"/>
                </w:rPr>
                <w:t>Seventh Supplemental Indenture, dated as of October 1, 2018, by and among Eldorado Resorts, Inc., the guarantors party thereto and U.S.</w:t>
              </w:r>
            </w:hyperlink>
          </w:p>
        </w:tc>
        <w:tc>
          <w:tcPr>
            <w:tcW w:w="38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80" w:type="dxa"/>
            <w:vAlign w:val="bottom"/>
            <w:gridSpan w:val="26"/>
          </w:tcPr>
          <w:p>
            <w:pPr>
              <w:spacing w:after="0" w:line="196"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Bank National Association, as Trustee under the 2023 Notes Indenture (incorporated by reference to our Current Report on Form 8-K filed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October 1, 2018).</w:t>
              </w:r>
            </w:hyperlink>
          </w:p>
        </w:tc>
        <w:tc>
          <w:tcPr>
            <w:tcW w:w="8880" w:type="dxa"/>
            <w:vAlign w:val="bottom"/>
            <w:tcBorders>
              <w:top w:val="single" w:sz="8" w:color="0000EE"/>
            </w:tcBorders>
            <w:gridSpan w:val="16"/>
          </w:tcPr>
          <w:p>
            <w:pPr>
              <w:spacing w:after="0"/>
              <w:rPr>
                <w:sz w:val="17"/>
                <w:szCs w:val="17"/>
                <w:color w:val="auto"/>
              </w:rPr>
            </w:pPr>
          </w:p>
        </w:tc>
        <w:tc>
          <w:tcPr>
            <w:tcW w:w="16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ind w:left="10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4"/>
                <w:szCs w:val="24"/>
                <w:color w:val="auto"/>
              </w:rPr>
            </w:pPr>
          </w:p>
        </w:tc>
        <w:tc>
          <w:tcPr>
            <w:tcW w:w="10380" w:type="dxa"/>
            <w:vAlign w:val="bottom"/>
            <w:gridSpan w:val="26"/>
          </w:tcPr>
          <w:p>
            <w:pPr>
              <w:spacing w:after="0"/>
              <w:rPr>
                <w:rFonts w:ascii="Arial" w:cs="Arial" w:eastAsia="Arial" w:hAnsi="Arial"/>
                <w:sz w:val="18"/>
                <w:szCs w:val="18"/>
                <w:color w:val="0000EE"/>
                <w:w w:val="92"/>
              </w:rPr>
            </w:pPr>
            <w:hyperlink r:id="rId94">
              <w:r>
                <w:rPr>
                  <w:rFonts w:ascii="Arial" w:cs="Arial" w:eastAsia="Arial" w:hAnsi="Arial"/>
                  <w:sz w:val="18"/>
                  <w:szCs w:val="18"/>
                  <w:color w:val="0000EE"/>
                  <w:w w:val="92"/>
                </w:rPr>
                <w:t>Indenture, dated as of March 29, 2017, by and between Isle of Capri Casinos LLC formerly known as Eagle II Acquisition Company LLC and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6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U.S. Bank National Association (incorporated by reference to our Current Report on Form 8-K filed on March 29, 2017).</w:t>
              </w:r>
            </w:hyperlink>
          </w:p>
        </w:tc>
        <w:tc>
          <w:tcPr>
            <w:tcW w:w="1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60" w:type="dxa"/>
            <w:vAlign w:val="bottom"/>
            <w:tcBorders>
              <w:top w:val="single" w:sz="8" w:color="0000EE"/>
            </w:tcBorders>
            <w:gridSpan w:val="8"/>
          </w:tcPr>
          <w:p>
            <w:pPr>
              <w:ind w:left="4580"/>
              <w:spacing w:after="0"/>
              <w:rPr>
                <w:sz w:val="20"/>
                <w:szCs w:val="20"/>
                <w:color w:val="auto"/>
              </w:rPr>
            </w:pPr>
            <w:r>
              <w:rPr>
                <w:rFonts w:ascii="Arial" w:cs="Arial" w:eastAsia="Arial" w:hAnsi="Arial"/>
                <w:sz w:val="18"/>
                <w:szCs w:val="18"/>
                <w:color w:val="auto"/>
              </w:rPr>
              <w:t>66</w:t>
            </w:r>
          </w:p>
        </w:tc>
        <w:tc>
          <w:tcPr>
            <w:tcW w:w="32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0" w:right="21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EXHIBIT</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100" w:type="dxa"/>
            <w:vAlign w:val="bottom"/>
            <w:gridSpan w:val="25"/>
            <w:vMerge w:val="restart"/>
          </w:tcPr>
          <w:p>
            <w:pPr>
              <w:ind w:left="3480"/>
              <w:spacing w:after="0"/>
              <w:rPr>
                <w:sz w:val="20"/>
                <w:szCs w:val="20"/>
                <w:color w:val="auto"/>
              </w:rPr>
            </w:pPr>
            <w:r>
              <w:rPr>
                <w:rFonts w:ascii="Arial" w:cs="Arial" w:eastAsia="Arial" w:hAnsi="Arial"/>
                <w:sz w:val="14"/>
                <w:szCs w:val="14"/>
                <w:b w:val="1"/>
                <w:bCs w:val="1"/>
                <w:color w:val="auto"/>
              </w:rPr>
              <w:t>ITEM TITLE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NO.</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100" w:type="dxa"/>
            <w:vAlign w:val="bottom"/>
            <w:gridSpan w:val="25"/>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Borders>
              <w:top w:val="single" w:sz="8" w:color="auto"/>
            </w:tcBorders>
          </w:tcPr>
          <w:p>
            <w:pPr>
              <w:jc w:val="right"/>
              <w:ind w:right="462"/>
              <w:spacing w:after="0" w:line="170" w:lineRule="exact"/>
              <w:rPr>
                <w:sz w:val="20"/>
                <w:szCs w:val="20"/>
                <w:color w:val="auto"/>
              </w:rPr>
            </w:pPr>
            <w:r>
              <w:rPr>
                <w:rFonts w:ascii="Arial" w:cs="Arial" w:eastAsia="Arial" w:hAnsi="Arial"/>
                <w:sz w:val="18"/>
                <w:szCs w:val="18"/>
                <w:color w:val="auto"/>
              </w:rPr>
              <w:t>4.11</w:t>
            </w:r>
          </w:p>
        </w:tc>
        <w:tc>
          <w:tcPr>
            <w:tcW w:w="100" w:type="dxa"/>
            <w:vAlign w:val="bottom"/>
          </w:tcPr>
          <w:p>
            <w:pPr>
              <w:spacing w:after="0"/>
              <w:rPr>
                <w:sz w:val="14"/>
                <w:szCs w:val="14"/>
                <w:color w:val="auto"/>
              </w:rPr>
            </w:pPr>
          </w:p>
        </w:tc>
        <w:tc>
          <w:tcPr>
            <w:tcW w:w="10380" w:type="dxa"/>
            <w:vAlign w:val="bottom"/>
            <w:tcBorders>
              <w:top w:val="single" w:sz="8" w:color="auto"/>
            </w:tcBorders>
            <w:gridSpan w:val="29"/>
          </w:tcPr>
          <w:p>
            <w:pPr>
              <w:spacing w:after="0" w:line="170"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Supplemental Indenture, dated as of May 1, 2017, by and among Eldorado Resorts, Inc., the guarantors party thereto and U.S. Bank National</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Association (incorporated by reference to our Current Report on Form 8-K filed on May 1, 2017).</w:t>
              </w:r>
            </w:hyperlink>
          </w:p>
        </w:tc>
        <w:tc>
          <w:tcPr>
            <w:tcW w:w="3080" w:type="dxa"/>
            <w:vAlign w:val="bottom"/>
            <w:tcBorders>
              <w:top w:val="single" w:sz="8" w:color="0000EE"/>
            </w:tcBorders>
            <w:gridSpan w:val="16"/>
          </w:tcPr>
          <w:p>
            <w:pPr>
              <w:spacing w:after="0"/>
              <w:rPr>
                <w:sz w:val="17"/>
                <w:szCs w:val="17"/>
                <w:color w:val="auto"/>
              </w:rPr>
            </w:pPr>
          </w:p>
        </w:tc>
        <w:tc>
          <w:tcPr>
            <w:tcW w:w="22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jc w:val="right"/>
              <w:ind w:right="442"/>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4"/>
                <w:szCs w:val="24"/>
                <w:color w:val="auto"/>
              </w:rPr>
            </w:pPr>
          </w:p>
        </w:tc>
        <w:tc>
          <w:tcPr>
            <w:tcW w:w="10380" w:type="dxa"/>
            <w:vAlign w:val="bottom"/>
            <w:gridSpan w:val="29"/>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Second Supplemental Indenture, dated as of June 18, 2018, by and among Eldorado Resorts, Inc., the guarantors party thereto and U.S. Bank</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0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National Association, as Trustee, under the 2025 Notes Indenture (incorporated by reference to our Quarterly Report on Form 10-Q filed on</w:t>
              </w:r>
            </w:hyperlink>
          </w:p>
        </w:tc>
        <w:tc>
          <w:tcPr>
            <w:tcW w:w="60" w:type="dxa"/>
            <w:vAlign w:val="bottom"/>
            <w:tcBorders>
              <w:top w:val="single" w:sz="8" w:color="0000EE"/>
            </w:tcBorders>
            <w:gridSpan w:val="2"/>
          </w:tcPr>
          <w:p>
            <w:pPr>
              <w:spacing w:after="0"/>
              <w:rPr>
                <w:sz w:val="17"/>
                <w:szCs w:val="17"/>
                <w:color w:val="auto"/>
              </w:rPr>
            </w:pPr>
          </w:p>
        </w:tc>
        <w:tc>
          <w:tcPr>
            <w:tcW w:w="22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98">
              <w:r>
                <w:rPr>
                  <w:rFonts w:ascii="Arial" w:cs="Arial" w:eastAsia="Arial" w:hAnsi="Arial"/>
                  <w:sz w:val="18"/>
                  <w:szCs w:val="18"/>
                  <w:color w:val="0000EE"/>
                  <w:w w:val="92"/>
                </w:rPr>
                <w:t>August 7, 2018).</w:t>
              </w:r>
            </w:hyperlink>
          </w:p>
        </w:tc>
        <w:tc>
          <w:tcPr>
            <w:tcW w:w="9140" w:type="dxa"/>
            <w:vAlign w:val="bottom"/>
            <w:gridSpan w:val="2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jc w:val="right"/>
              <w:ind w:right="442"/>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4"/>
                <w:szCs w:val="24"/>
                <w:color w:val="auto"/>
              </w:rPr>
            </w:pPr>
          </w:p>
        </w:tc>
        <w:tc>
          <w:tcPr>
            <w:tcW w:w="10140" w:type="dxa"/>
            <w:vAlign w:val="bottom"/>
            <w:tcBorders>
              <w:bottom w:val="single" w:sz="8" w:color="0000EE"/>
            </w:tcBorders>
            <w:gridSpan w:val="22"/>
          </w:tcPr>
          <w:p>
            <w:pPr>
              <w:spacing w:after="0"/>
              <w:rPr>
                <w:rFonts w:ascii="Arial" w:cs="Arial" w:eastAsia="Arial" w:hAnsi="Arial"/>
                <w:sz w:val="18"/>
                <w:szCs w:val="18"/>
                <w:color w:val="0000EE"/>
                <w:w w:val="90"/>
              </w:rPr>
            </w:pPr>
            <w:hyperlink r:id="rId92">
              <w:r>
                <w:rPr>
                  <w:rFonts w:ascii="Arial" w:cs="Arial" w:eastAsia="Arial" w:hAnsi="Arial"/>
                  <w:sz w:val="18"/>
                  <w:szCs w:val="18"/>
                  <w:color w:val="0000EE"/>
                  <w:w w:val="90"/>
                </w:rPr>
                <w:t>Third Supplemental Indenture, dated as of August 7, 2018, by and among Eldorado Resorts, Inc., the guarantors party thereto and U.S. Bank</w:t>
              </w:r>
            </w:hyperlink>
          </w:p>
        </w:tc>
        <w:tc>
          <w:tcPr>
            <w:tcW w:w="24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National Association, as Trustee, under the 2025 Notes Indenture (incorporated by reference to our Quarterly Report on Form 10-Q filed on</w:t>
              </w:r>
            </w:hyperlink>
          </w:p>
        </w:tc>
        <w:tc>
          <w:tcPr>
            <w:tcW w:w="28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92">
              <w:r>
                <w:rPr>
                  <w:rFonts w:ascii="Arial" w:cs="Arial" w:eastAsia="Arial" w:hAnsi="Arial"/>
                  <w:sz w:val="18"/>
                  <w:szCs w:val="18"/>
                  <w:color w:val="0000EE"/>
                  <w:w w:val="92"/>
                </w:rPr>
                <w:t>August 7, 2018).</w:t>
              </w:r>
            </w:hyperlink>
          </w:p>
        </w:tc>
        <w:tc>
          <w:tcPr>
            <w:tcW w:w="9140" w:type="dxa"/>
            <w:vAlign w:val="bottom"/>
            <w:gridSpan w:val="2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jc w:val="right"/>
              <w:ind w:right="442"/>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4"/>
                <w:szCs w:val="24"/>
                <w:color w:val="auto"/>
              </w:rPr>
            </w:pPr>
          </w:p>
        </w:tc>
        <w:tc>
          <w:tcPr>
            <w:tcW w:w="10280" w:type="dxa"/>
            <w:vAlign w:val="bottom"/>
            <w:tcBorders>
              <w:bottom w:val="single" w:sz="8" w:color="0000EE"/>
            </w:tcBorders>
            <w:gridSpan w:val="27"/>
          </w:tcPr>
          <w:p>
            <w:pPr>
              <w:spacing w:after="0"/>
              <w:rPr>
                <w:rFonts w:ascii="Arial" w:cs="Arial" w:eastAsia="Arial" w:hAnsi="Arial"/>
                <w:sz w:val="18"/>
                <w:szCs w:val="18"/>
                <w:color w:val="0000EE"/>
                <w:w w:val="89"/>
              </w:rPr>
            </w:pPr>
            <w:hyperlink r:id="rId99">
              <w:r>
                <w:rPr>
                  <w:rFonts w:ascii="Arial" w:cs="Arial" w:eastAsia="Arial" w:hAnsi="Arial"/>
                  <w:sz w:val="18"/>
                  <w:szCs w:val="18"/>
                  <w:color w:val="0000EE"/>
                  <w:w w:val="89"/>
                </w:rPr>
                <w:t>Fourth Supplemental Indenture, dated as of October 1, 2018, by and among Eldorado Resorts, Inc., the guarantors party thereto and U.S. Bank</w:t>
              </w:r>
            </w:hyperlink>
          </w:p>
        </w:tc>
        <w:tc>
          <w:tcPr>
            <w:tcW w:w="1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National Association, as Trustee under the 2025 Notes Indenture (incorporated by reference to our Current Report on Form 8-K filed on</w:t>
              </w:r>
            </w:hyperlink>
          </w:p>
        </w:tc>
        <w:tc>
          <w:tcPr>
            <w:tcW w:w="56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99">
              <w:r>
                <w:rPr>
                  <w:rFonts w:ascii="Arial" w:cs="Arial" w:eastAsia="Arial" w:hAnsi="Arial"/>
                  <w:sz w:val="18"/>
                  <w:szCs w:val="18"/>
                  <w:color w:val="0000EE"/>
                  <w:w w:val="89"/>
                </w:rPr>
                <w:t>October 1, 2018).</w:t>
              </w:r>
            </w:hyperlink>
          </w:p>
        </w:tc>
        <w:tc>
          <w:tcPr>
            <w:tcW w:w="9100" w:type="dxa"/>
            <w:vAlign w:val="bottom"/>
            <w:gridSpan w:val="2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jc w:val="right"/>
              <w:ind w:right="442"/>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4"/>
                <w:szCs w:val="24"/>
                <w:color w:val="auto"/>
              </w:rPr>
            </w:pPr>
          </w:p>
        </w:tc>
        <w:tc>
          <w:tcPr>
            <w:tcW w:w="10380" w:type="dxa"/>
            <w:vAlign w:val="bottom"/>
            <w:tcBorders>
              <w:bottom w:val="single" w:sz="8" w:color="0000EE"/>
            </w:tcBorders>
            <w:gridSpan w:val="29"/>
          </w:tcPr>
          <w:p>
            <w:pPr>
              <w:spacing w:after="0"/>
              <w:rPr>
                <w:rFonts w:ascii="Arial" w:cs="Arial" w:eastAsia="Arial" w:hAnsi="Arial"/>
                <w:sz w:val="18"/>
                <w:szCs w:val="18"/>
                <w:color w:val="0000EE"/>
                <w:w w:val="89"/>
              </w:rPr>
            </w:pPr>
            <w:hyperlink r:id="rId100">
              <w:r>
                <w:rPr>
                  <w:rFonts w:ascii="Arial" w:cs="Arial" w:eastAsia="Arial" w:hAnsi="Arial"/>
                  <w:sz w:val="18"/>
                  <w:szCs w:val="18"/>
                  <w:color w:val="0000EE"/>
                  <w:w w:val="89"/>
                </w:rPr>
                <w:t>Indenture dated as of September 20, 2018 by and among Delta Merger Sub, Inc. and U.S. Bank National Association, as Trustee under the 2026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0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Notes Indenture (incorporated by reference to our Current Report on Form 8-K filed on September 20, 2018).</w:t>
              </w:r>
            </w:hyperlink>
          </w:p>
        </w:tc>
        <w:tc>
          <w:tcPr>
            <w:tcW w:w="2480" w:type="dxa"/>
            <w:vAlign w:val="bottom"/>
            <w:gridSpan w:val="1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jc w:val="right"/>
              <w:ind w:right="442"/>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4"/>
                <w:szCs w:val="24"/>
                <w:color w:val="auto"/>
              </w:rPr>
            </w:pPr>
          </w:p>
        </w:tc>
        <w:tc>
          <w:tcPr>
            <w:tcW w:w="10280" w:type="dxa"/>
            <w:vAlign w:val="bottom"/>
            <w:tcBorders>
              <w:bottom w:val="single" w:sz="8" w:color="0000EE"/>
            </w:tcBorders>
            <w:gridSpan w:val="27"/>
          </w:tcPr>
          <w:p>
            <w:pPr>
              <w:spacing w:after="0"/>
              <w:rPr>
                <w:rFonts w:ascii="Arial" w:cs="Arial" w:eastAsia="Arial" w:hAnsi="Arial"/>
                <w:sz w:val="18"/>
                <w:szCs w:val="18"/>
                <w:color w:val="0000EE"/>
                <w:w w:val="89"/>
              </w:rPr>
            </w:pPr>
            <w:hyperlink r:id="rId101">
              <w:r>
                <w:rPr>
                  <w:rFonts w:ascii="Arial" w:cs="Arial" w:eastAsia="Arial" w:hAnsi="Arial"/>
                  <w:sz w:val="18"/>
                  <w:szCs w:val="18"/>
                  <w:color w:val="0000EE"/>
                  <w:w w:val="89"/>
                </w:rPr>
                <w:t>Supplemental Indenture dated as of October 1, 2018 by and among Eldorado Resorts, Inc. the guarantors party thereto and U.S. Bank National</w:t>
              </w:r>
            </w:hyperlink>
          </w:p>
        </w:tc>
        <w:tc>
          <w:tcPr>
            <w:tcW w:w="1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80" w:type="dxa"/>
            <w:vAlign w:val="bottom"/>
            <w:gridSpan w:val="29"/>
          </w:tcPr>
          <w:p>
            <w:pPr>
              <w:spacing w:after="0" w:line="196" w:lineRule="exact"/>
              <w:rPr>
                <w:rFonts w:ascii="Arial" w:cs="Arial" w:eastAsia="Arial" w:hAnsi="Arial"/>
                <w:sz w:val="18"/>
                <w:szCs w:val="18"/>
                <w:color w:val="0000EE"/>
                <w:w w:val="94"/>
              </w:rPr>
            </w:pPr>
            <w:hyperlink r:id="rId101">
              <w:r>
                <w:rPr>
                  <w:rFonts w:ascii="Arial" w:cs="Arial" w:eastAsia="Arial" w:hAnsi="Arial"/>
                  <w:sz w:val="18"/>
                  <w:szCs w:val="18"/>
                  <w:color w:val="0000EE"/>
                  <w:w w:val="94"/>
                </w:rPr>
                <w:t>Association, as Trustee, under the 2026 Notes Indenture (incorporated by reference to our Current Report on Form 8-K filed on October 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01">
              <w:r>
                <w:rPr>
                  <w:rFonts w:ascii="Arial" w:cs="Arial" w:eastAsia="Arial" w:hAnsi="Arial"/>
                  <w:sz w:val="18"/>
                  <w:szCs w:val="18"/>
                  <w:color w:val="0000EE"/>
                  <w:w w:val="90"/>
                </w:rPr>
                <w:t>2018).</w:t>
              </w:r>
            </w:hyperlink>
          </w:p>
        </w:tc>
        <w:tc>
          <w:tcPr>
            <w:tcW w:w="7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6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jc w:val="right"/>
              <w:ind w:right="542"/>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10380" w:type="dxa"/>
            <w:vAlign w:val="bottom"/>
            <w:gridSpan w:val="29"/>
          </w:tcPr>
          <w:p>
            <w:pPr>
              <w:spacing w:after="0"/>
              <w:rPr>
                <w:rFonts w:ascii="Arial" w:cs="Arial" w:eastAsia="Arial" w:hAnsi="Arial"/>
                <w:sz w:val="18"/>
                <w:szCs w:val="18"/>
                <w:color w:val="0000EE"/>
                <w:w w:val="96"/>
              </w:rPr>
            </w:pPr>
            <w:hyperlink r:id="rId102">
              <w:r>
                <w:rPr>
                  <w:rFonts w:ascii="Arial" w:cs="Arial" w:eastAsia="Arial" w:hAnsi="Arial"/>
                  <w:sz w:val="18"/>
                  <w:szCs w:val="18"/>
                  <w:color w:val="0000EE"/>
                  <w:w w:val="96"/>
                </w:rPr>
                <w:t>Agreement dated November 1, 2008 between Mountaineer Park, Inc. and Racetrack Employees Union Local No. 101 (incorporated by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reference to the Annual Report of MTR Gaming Group, Inc. on Form 10</w:t>
              </w:r>
              <w:r>
                <w:rPr>
                  <w:rFonts w:ascii="MS PGothic" w:cs="MS PGothic" w:eastAsia="MS PGothic" w:hAnsi="MS PGothic"/>
                  <w:sz w:val="18"/>
                  <w:szCs w:val="18"/>
                  <w:color w:val="0000EE"/>
                  <w:w w:val="92"/>
                </w:rPr>
                <w:t>‑</w:t>
              </w:r>
              <w:r>
                <w:rPr>
                  <w:rFonts w:ascii="Arial" w:cs="Arial" w:eastAsia="Arial" w:hAnsi="Arial"/>
                  <w:sz w:val="18"/>
                  <w:szCs w:val="18"/>
                  <w:color w:val="0000EE"/>
                  <w:w w:val="92"/>
                </w:rPr>
                <w:t>K filed on March 16, 2009).</w:t>
              </w:r>
            </w:hyperlink>
          </w:p>
        </w:tc>
        <w:tc>
          <w:tcPr>
            <w:tcW w:w="2360" w:type="dxa"/>
            <w:vAlign w:val="bottom"/>
            <w:tcBorders>
              <w:top w:val="single" w:sz="8" w:color="0000EE"/>
            </w:tcBorders>
            <w:gridSpan w:val="5"/>
          </w:tcPr>
          <w:p>
            <w:pPr>
              <w:spacing w:after="0"/>
              <w:rPr>
                <w:sz w:val="17"/>
                <w:szCs w:val="17"/>
                <w:color w:val="auto"/>
              </w:rPr>
            </w:pPr>
          </w:p>
        </w:tc>
        <w:tc>
          <w:tcPr>
            <w:tcW w:w="68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jc w:val="right"/>
              <w:ind w:right="542"/>
              <w:spacing w:after="0"/>
              <w:rPr>
                <w:sz w:val="20"/>
                <w:szCs w:val="20"/>
                <w:color w:val="auto"/>
              </w:rPr>
            </w:pPr>
            <w:r>
              <w:rPr>
                <w:rFonts w:ascii="Arial" w:cs="Arial" w:eastAsia="Arial" w:hAnsi="Arial"/>
                <w:sz w:val="18"/>
                <w:szCs w:val="18"/>
                <w:color w:val="auto"/>
                <w:w w:val="85"/>
              </w:rPr>
              <w:t>10.2</w:t>
            </w:r>
          </w:p>
        </w:tc>
        <w:tc>
          <w:tcPr>
            <w:tcW w:w="100" w:type="dxa"/>
            <w:vAlign w:val="bottom"/>
          </w:tcPr>
          <w:p>
            <w:pPr>
              <w:spacing w:after="0"/>
              <w:rPr>
                <w:sz w:val="24"/>
                <w:szCs w:val="24"/>
                <w:color w:val="auto"/>
              </w:rPr>
            </w:pPr>
          </w:p>
        </w:tc>
        <w:tc>
          <w:tcPr>
            <w:tcW w:w="10080" w:type="dxa"/>
            <w:vAlign w:val="bottom"/>
            <w:tcBorders>
              <w:bottom w:val="single" w:sz="8" w:color="0000EE"/>
            </w:tcBorders>
            <w:gridSpan w:val="20"/>
          </w:tcPr>
          <w:p>
            <w:pPr>
              <w:spacing w:after="0"/>
              <w:rPr>
                <w:rFonts w:ascii="Arial" w:cs="Arial" w:eastAsia="Arial" w:hAnsi="Arial"/>
                <w:sz w:val="18"/>
                <w:szCs w:val="18"/>
                <w:color w:val="0000EE"/>
                <w:w w:val="90"/>
              </w:rPr>
            </w:pPr>
            <w:hyperlink r:id="rId103">
              <w:r>
                <w:rPr>
                  <w:rFonts w:ascii="Arial" w:cs="Arial" w:eastAsia="Arial" w:hAnsi="Arial"/>
                  <w:sz w:val="18"/>
                  <w:szCs w:val="18"/>
                  <w:color w:val="0000EE"/>
                  <w:w w:val="90"/>
                </w:rPr>
                <w:t>Agreement dated December 29, 2009 by and between Mountaineer Park, Inc. and Mountaineer Park Horsemen’s Benevolent and Protective</w:t>
              </w:r>
            </w:hyperlink>
          </w:p>
        </w:tc>
        <w:tc>
          <w:tcPr>
            <w:tcW w:w="30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4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Association, Inc. (incorporated by reference to the Annual Report of MTR Gaming Group, Inc. on Form 10</w:t>
              </w:r>
              <w:r>
                <w:rPr>
                  <w:rFonts w:ascii="MS PGothic" w:cs="MS PGothic" w:eastAsia="MS PGothic" w:hAnsi="MS PGothic"/>
                  <w:sz w:val="18"/>
                  <w:szCs w:val="18"/>
                  <w:color w:val="0000EE"/>
                  <w:w w:val="92"/>
                </w:rPr>
                <w:t>‑</w:t>
              </w:r>
              <w:r>
                <w:rPr>
                  <w:rFonts w:ascii="Arial" w:cs="Arial" w:eastAsia="Arial" w:hAnsi="Arial"/>
                  <w:sz w:val="18"/>
                  <w:szCs w:val="18"/>
                  <w:color w:val="0000EE"/>
                  <w:w w:val="92"/>
                </w:rPr>
                <w:t>K filed on March 16, 2010).</w:t>
              </w:r>
            </w:hyperlink>
          </w:p>
        </w:tc>
        <w:tc>
          <w:tcPr>
            <w:tcW w:w="54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jc w:val="right"/>
              <w:ind w:right="442"/>
              <w:spacing w:after="0"/>
              <w:rPr>
                <w:sz w:val="20"/>
                <w:szCs w:val="20"/>
                <w:color w:val="auto"/>
              </w:rPr>
            </w:pPr>
            <w:r>
              <w:rPr>
                <w:rFonts w:ascii="Arial" w:cs="Arial" w:eastAsia="Arial" w:hAnsi="Arial"/>
                <w:sz w:val="18"/>
                <w:szCs w:val="18"/>
                <w:color w:val="auto"/>
                <w:w w:val="95"/>
              </w:rPr>
              <w:t>10.4*</w:t>
            </w:r>
          </w:p>
        </w:tc>
        <w:tc>
          <w:tcPr>
            <w:tcW w:w="100" w:type="dxa"/>
            <w:vAlign w:val="bottom"/>
          </w:tcPr>
          <w:p>
            <w:pPr>
              <w:spacing w:after="0"/>
              <w:rPr>
                <w:sz w:val="24"/>
                <w:szCs w:val="24"/>
                <w:color w:val="auto"/>
              </w:rPr>
            </w:pPr>
          </w:p>
        </w:tc>
        <w:tc>
          <w:tcPr>
            <w:tcW w:w="10000" w:type="dxa"/>
            <w:vAlign w:val="bottom"/>
            <w:tcBorders>
              <w:bottom w:val="single" w:sz="8" w:color="0000EE"/>
            </w:tcBorders>
            <w:gridSpan w:val="19"/>
          </w:tcPr>
          <w:p>
            <w:pPr>
              <w:spacing w:after="0"/>
              <w:rPr>
                <w:rFonts w:ascii="Arial" w:cs="Arial" w:eastAsia="Arial" w:hAnsi="Arial"/>
                <w:sz w:val="18"/>
                <w:szCs w:val="18"/>
                <w:color w:val="0000EE"/>
                <w:w w:val="89"/>
              </w:rPr>
            </w:pPr>
            <w:hyperlink r:id="rId104">
              <w:r>
                <w:rPr>
                  <w:rFonts w:ascii="Arial" w:cs="Arial" w:eastAsia="Arial" w:hAnsi="Arial"/>
                  <w:sz w:val="18"/>
                  <w:szCs w:val="18"/>
                  <w:color w:val="0000EE"/>
                  <w:w w:val="89"/>
                </w:rPr>
                <w:t>Amended and Restated Executive Employment Agreement, dated as of January 17, 2018, by and between Eldorado Resorts, Inc. and Gary</w:t>
              </w:r>
            </w:hyperlink>
          </w:p>
        </w:tc>
        <w:tc>
          <w:tcPr>
            <w:tcW w:w="38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Carano (incorporated by reference to our Current Report on Form 8-K filed on January 22, 2018).</w:t>
              </w:r>
            </w:hyperlink>
          </w:p>
        </w:tc>
        <w:tc>
          <w:tcPr>
            <w:tcW w:w="3320" w:type="dxa"/>
            <w:vAlign w:val="bottom"/>
            <w:gridSpan w:val="2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jc w:val="right"/>
              <w:ind w:right="442"/>
              <w:spacing w:after="0"/>
              <w:rPr>
                <w:sz w:val="20"/>
                <w:szCs w:val="20"/>
                <w:color w:val="auto"/>
              </w:rPr>
            </w:pPr>
            <w:r>
              <w:rPr>
                <w:rFonts w:ascii="Arial" w:cs="Arial" w:eastAsia="Arial" w:hAnsi="Arial"/>
                <w:sz w:val="18"/>
                <w:szCs w:val="18"/>
                <w:color w:val="auto"/>
                <w:w w:val="95"/>
              </w:rPr>
              <w:t>10.5*</w:t>
            </w:r>
          </w:p>
        </w:tc>
        <w:tc>
          <w:tcPr>
            <w:tcW w:w="100" w:type="dxa"/>
            <w:vAlign w:val="bottom"/>
          </w:tcPr>
          <w:p>
            <w:pPr>
              <w:spacing w:after="0"/>
              <w:rPr>
                <w:sz w:val="24"/>
                <w:szCs w:val="24"/>
                <w:color w:val="auto"/>
              </w:rPr>
            </w:pPr>
          </w:p>
        </w:tc>
        <w:tc>
          <w:tcPr>
            <w:tcW w:w="10240" w:type="dxa"/>
            <w:vAlign w:val="bottom"/>
            <w:tcBorders>
              <w:bottom w:val="single" w:sz="8" w:color="0000EE"/>
            </w:tcBorders>
            <w:gridSpan w:val="25"/>
          </w:tcPr>
          <w:p>
            <w:pPr>
              <w:spacing w:after="0"/>
              <w:rPr>
                <w:rFonts w:ascii="Arial" w:cs="Arial" w:eastAsia="Arial" w:hAnsi="Arial"/>
                <w:sz w:val="18"/>
                <w:szCs w:val="18"/>
                <w:color w:val="0000EE"/>
                <w:w w:val="89"/>
              </w:rPr>
            </w:pPr>
            <w:hyperlink r:id="rId105">
              <w:r>
                <w:rPr>
                  <w:rFonts w:ascii="Arial" w:cs="Arial" w:eastAsia="Arial" w:hAnsi="Arial"/>
                  <w:sz w:val="18"/>
                  <w:szCs w:val="18"/>
                  <w:color w:val="0000EE"/>
                  <w:w w:val="89"/>
                </w:rPr>
                <w:t>Amendment No. 1 to Amended and Restated Employment Agreement, dated September 28, 2018, by and between Gary Carano and Eldorado</w:t>
              </w:r>
            </w:hyperlink>
          </w:p>
        </w:tc>
        <w:tc>
          <w:tcPr>
            <w:tcW w:w="14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80" w:type="dxa"/>
            <w:vAlign w:val="bottom"/>
            <w:gridSpan w:val="29"/>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Resorts, Inc. (incorporated by reference to our Current Report on Form 8-K filed on October 1, 2018).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5680" w:type="dxa"/>
            <w:vAlign w:val="bottom"/>
            <w:gridSpan w:val="3"/>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gridSpan w:val="2"/>
          </w:tcPr>
          <w:p>
            <w:pPr>
              <w:jc w:val="right"/>
              <w:ind w:right="442"/>
              <w:spacing w:after="0"/>
              <w:rPr>
                <w:sz w:val="20"/>
                <w:szCs w:val="20"/>
                <w:color w:val="auto"/>
              </w:rPr>
            </w:pPr>
            <w:r>
              <w:rPr>
                <w:rFonts w:ascii="Arial" w:cs="Arial" w:eastAsia="Arial" w:hAnsi="Arial"/>
                <w:sz w:val="18"/>
                <w:szCs w:val="18"/>
                <w:color w:val="auto"/>
                <w:w w:val="95"/>
              </w:rPr>
              <w:t>10.6*</w:t>
            </w:r>
          </w:p>
        </w:tc>
        <w:tc>
          <w:tcPr>
            <w:tcW w:w="100" w:type="dxa"/>
            <w:vAlign w:val="bottom"/>
          </w:tcPr>
          <w:p>
            <w:pPr>
              <w:spacing w:after="0"/>
              <w:rPr>
                <w:sz w:val="24"/>
                <w:szCs w:val="24"/>
                <w:color w:val="auto"/>
              </w:rPr>
            </w:pPr>
          </w:p>
        </w:tc>
        <w:tc>
          <w:tcPr>
            <w:tcW w:w="10220" w:type="dxa"/>
            <w:vAlign w:val="bottom"/>
            <w:tcBorders>
              <w:bottom w:val="single" w:sz="8" w:color="0000EE"/>
            </w:tcBorders>
            <w:gridSpan w:val="24"/>
          </w:tcPr>
          <w:p>
            <w:pPr>
              <w:spacing w:after="0"/>
              <w:rPr>
                <w:rFonts w:ascii="Arial" w:cs="Arial" w:eastAsia="Arial" w:hAnsi="Arial"/>
                <w:sz w:val="18"/>
                <w:szCs w:val="18"/>
                <w:color w:val="0000EE"/>
                <w:w w:val="89"/>
              </w:rPr>
            </w:pPr>
            <w:hyperlink r:id="rId106">
              <w:r>
                <w:rPr>
                  <w:rFonts w:ascii="Arial" w:cs="Arial" w:eastAsia="Arial" w:hAnsi="Arial"/>
                  <w:sz w:val="18"/>
                  <w:szCs w:val="18"/>
                  <w:color w:val="0000EE"/>
                  <w:w w:val="89"/>
                </w:rPr>
                <w:t>Amended and Restated Executive Employment Agreement, dated as of January 17, 2018, by and between Eldorado Resorts, Inc. and Thomas</w:t>
              </w:r>
            </w:hyperlink>
          </w:p>
        </w:tc>
        <w:tc>
          <w:tcPr>
            <w:tcW w:w="16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80" w:type="dxa"/>
            <w:vAlign w:val="bottom"/>
            <w:gridSpan w:val="29"/>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Reeg (incorporated by reference to our Current Report on Form 8-K filed on January 22, 2018).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5680" w:type="dxa"/>
            <w:vAlign w:val="bottom"/>
            <w:gridSpan w:val="3"/>
            <w:shd w:val="clear" w:color="auto" w:fill="0000EE"/>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2"/>
          </w:tcPr>
          <w:p>
            <w:pPr>
              <w:jc w:val="right"/>
              <w:ind w:right="442"/>
              <w:spacing w:after="0"/>
              <w:rPr>
                <w:sz w:val="20"/>
                <w:szCs w:val="20"/>
                <w:color w:val="auto"/>
              </w:rPr>
            </w:pPr>
            <w:r>
              <w:rPr>
                <w:rFonts w:ascii="Arial" w:cs="Arial" w:eastAsia="Arial" w:hAnsi="Arial"/>
                <w:sz w:val="18"/>
                <w:szCs w:val="18"/>
                <w:color w:val="auto"/>
                <w:w w:val="95"/>
              </w:rPr>
              <w:t>10.7*</w:t>
            </w:r>
          </w:p>
        </w:tc>
        <w:tc>
          <w:tcPr>
            <w:tcW w:w="100" w:type="dxa"/>
            <w:vAlign w:val="bottom"/>
          </w:tcPr>
          <w:p>
            <w:pPr>
              <w:spacing w:after="0"/>
              <w:rPr>
                <w:sz w:val="24"/>
                <w:szCs w:val="24"/>
                <w:color w:val="auto"/>
              </w:rPr>
            </w:pPr>
          </w:p>
        </w:tc>
        <w:tc>
          <w:tcPr>
            <w:tcW w:w="10380" w:type="dxa"/>
            <w:vAlign w:val="bottom"/>
            <w:gridSpan w:val="29"/>
          </w:tcPr>
          <w:p>
            <w:pPr>
              <w:spacing w:after="0"/>
              <w:rPr>
                <w:rFonts w:ascii="Arial" w:cs="Arial" w:eastAsia="Arial" w:hAnsi="Arial"/>
                <w:sz w:val="18"/>
                <w:szCs w:val="18"/>
                <w:color w:val="0000EE"/>
                <w:w w:val="90"/>
              </w:rPr>
            </w:pPr>
            <w:hyperlink r:id="rId107">
              <w:r>
                <w:rPr>
                  <w:rFonts w:ascii="Arial" w:cs="Arial" w:eastAsia="Arial" w:hAnsi="Arial"/>
                  <w:sz w:val="18"/>
                  <w:szCs w:val="18"/>
                  <w:color w:val="0000EE"/>
                  <w:w w:val="90"/>
                </w:rPr>
                <w:t>Amendment No. 1 to Amended and Restated Employment Agreement, dated September 28, 2018, by and between Thomas Reeg and Eldorado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Resorts, Inc. (incorporated by reference to our Current Report on Form 8-K filed on October 1, 2018).</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6140" w:type="dxa"/>
            <w:vAlign w:val="bottom"/>
            <w:gridSpan w:val="7"/>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2"/>
          </w:tcPr>
          <w:p>
            <w:pPr>
              <w:jc w:val="right"/>
              <w:ind w:right="442"/>
              <w:spacing w:after="0"/>
              <w:rPr>
                <w:sz w:val="20"/>
                <w:szCs w:val="20"/>
                <w:color w:val="auto"/>
              </w:rPr>
            </w:pPr>
            <w:r>
              <w:rPr>
                <w:rFonts w:ascii="Arial" w:cs="Arial" w:eastAsia="Arial" w:hAnsi="Arial"/>
                <w:sz w:val="18"/>
                <w:szCs w:val="18"/>
                <w:color w:val="auto"/>
                <w:w w:val="95"/>
              </w:rPr>
              <w:t>10.8*</w:t>
            </w:r>
          </w:p>
        </w:tc>
        <w:tc>
          <w:tcPr>
            <w:tcW w:w="100" w:type="dxa"/>
            <w:vAlign w:val="bottom"/>
          </w:tcPr>
          <w:p>
            <w:pPr>
              <w:spacing w:after="0"/>
              <w:rPr>
                <w:sz w:val="24"/>
                <w:szCs w:val="24"/>
                <w:color w:val="auto"/>
              </w:rPr>
            </w:pPr>
          </w:p>
        </w:tc>
        <w:tc>
          <w:tcPr>
            <w:tcW w:w="10380" w:type="dxa"/>
            <w:vAlign w:val="bottom"/>
            <w:gridSpan w:val="29"/>
          </w:tcPr>
          <w:p>
            <w:pPr>
              <w:spacing w:after="0"/>
              <w:rPr>
                <w:rFonts w:ascii="Arial" w:cs="Arial" w:eastAsia="Arial" w:hAnsi="Arial"/>
                <w:sz w:val="18"/>
                <w:szCs w:val="18"/>
                <w:color w:val="0000EE"/>
                <w:w w:val="90"/>
              </w:rPr>
            </w:pPr>
            <w:hyperlink r:id="rId108">
              <w:r>
                <w:rPr>
                  <w:rFonts w:ascii="Arial" w:cs="Arial" w:eastAsia="Arial" w:hAnsi="Arial"/>
                  <w:sz w:val="18"/>
                  <w:szCs w:val="18"/>
                  <w:color w:val="0000EE"/>
                  <w:w w:val="90"/>
                </w:rPr>
                <w:t>Amended and Restated Executive Employment Agreement, dated as of January 17, 2018, by and between Eldorado Resorts, Inc. and Anthony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Carano (incorporated by reference to our Current Report on Form 8-K filed on January 22, 2018).</w:t>
              </w:r>
            </w:hyperlink>
          </w:p>
        </w:tc>
        <w:tc>
          <w:tcPr>
            <w:tcW w:w="3200" w:type="dxa"/>
            <w:vAlign w:val="bottom"/>
            <w:tcBorders>
              <w:top w:val="single" w:sz="8" w:color="0000EE"/>
            </w:tcBorders>
            <w:gridSpan w:val="20"/>
          </w:tcPr>
          <w:p>
            <w:pPr>
              <w:spacing w:after="0"/>
              <w:rPr>
                <w:sz w:val="17"/>
                <w:szCs w:val="17"/>
                <w:color w:val="auto"/>
              </w:rPr>
            </w:pPr>
          </w:p>
        </w:tc>
        <w:tc>
          <w:tcPr>
            <w:tcW w:w="12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jc w:val="right"/>
              <w:ind w:right="442"/>
              <w:spacing w:after="0"/>
              <w:rPr>
                <w:sz w:val="20"/>
                <w:szCs w:val="20"/>
                <w:color w:val="auto"/>
              </w:rPr>
            </w:pPr>
            <w:r>
              <w:rPr>
                <w:rFonts w:ascii="Arial" w:cs="Arial" w:eastAsia="Arial" w:hAnsi="Arial"/>
                <w:sz w:val="18"/>
                <w:szCs w:val="18"/>
                <w:color w:val="auto"/>
                <w:w w:val="95"/>
              </w:rPr>
              <w:t>10.9*</w:t>
            </w:r>
          </w:p>
        </w:tc>
        <w:tc>
          <w:tcPr>
            <w:tcW w:w="100" w:type="dxa"/>
            <w:vAlign w:val="bottom"/>
          </w:tcPr>
          <w:p>
            <w:pPr>
              <w:spacing w:after="0"/>
              <w:rPr>
                <w:sz w:val="24"/>
                <w:szCs w:val="24"/>
                <w:color w:val="auto"/>
              </w:rPr>
            </w:pPr>
          </w:p>
        </w:tc>
        <w:tc>
          <w:tcPr>
            <w:tcW w:w="9800" w:type="dxa"/>
            <w:vAlign w:val="bottom"/>
            <w:tcBorders>
              <w:bottom w:val="single" w:sz="8" w:color="0000EE"/>
            </w:tcBorders>
            <w:gridSpan w:val="15"/>
          </w:tcPr>
          <w:p>
            <w:pPr>
              <w:spacing w:after="0"/>
              <w:rPr>
                <w:rFonts w:ascii="Arial" w:cs="Arial" w:eastAsia="Arial" w:hAnsi="Arial"/>
                <w:sz w:val="18"/>
                <w:szCs w:val="18"/>
                <w:color w:val="0000EE"/>
                <w:w w:val="89"/>
              </w:rPr>
            </w:pPr>
            <w:hyperlink r:id="rId109">
              <w:r>
                <w:rPr>
                  <w:rFonts w:ascii="Arial" w:cs="Arial" w:eastAsia="Arial" w:hAnsi="Arial"/>
                  <w:sz w:val="18"/>
                  <w:szCs w:val="18"/>
                  <w:color w:val="0000EE"/>
                  <w:w w:val="89"/>
                </w:rPr>
                <w:t>Amendment No. 1 to Amended and Restated Employment Agreement, dated September 28, 2018, by and between Anthony Carano and</w:t>
              </w:r>
            </w:hyperlink>
          </w:p>
        </w:tc>
        <w:tc>
          <w:tcPr>
            <w:tcW w:w="58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Eldorado Resorts, Inc. (incorporated by reference to our Current Report on Form 8-K filed on October 1, 2018).</w:t>
              </w:r>
            </w:hyperlink>
          </w:p>
        </w:tc>
        <w:tc>
          <w:tcPr>
            <w:tcW w:w="230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jc w:val="right"/>
              <w:ind w:right="362"/>
              <w:spacing w:after="0"/>
              <w:rPr>
                <w:sz w:val="20"/>
                <w:szCs w:val="20"/>
                <w:color w:val="auto"/>
              </w:rPr>
            </w:pPr>
            <w:r>
              <w:rPr>
                <w:rFonts w:ascii="Arial" w:cs="Arial" w:eastAsia="Arial" w:hAnsi="Arial"/>
                <w:sz w:val="18"/>
                <w:szCs w:val="18"/>
                <w:color w:val="auto"/>
                <w:w w:val="92"/>
              </w:rPr>
              <w:t>10.10*</w:t>
            </w:r>
          </w:p>
        </w:tc>
        <w:tc>
          <w:tcPr>
            <w:tcW w:w="100" w:type="dxa"/>
            <w:vAlign w:val="bottom"/>
          </w:tcPr>
          <w:p>
            <w:pPr>
              <w:spacing w:after="0"/>
              <w:rPr>
                <w:sz w:val="24"/>
                <w:szCs w:val="24"/>
                <w:color w:val="auto"/>
              </w:rPr>
            </w:pPr>
          </w:p>
        </w:tc>
        <w:tc>
          <w:tcPr>
            <w:tcW w:w="10380" w:type="dxa"/>
            <w:vAlign w:val="bottom"/>
            <w:gridSpan w:val="29"/>
          </w:tcPr>
          <w:p>
            <w:pPr>
              <w:spacing w:after="0"/>
              <w:rPr>
                <w:rFonts w:ascii="Arial" w:cs="Arial" w:eastAsia="Arial" w:hAnsi="Arial"/>
                <w:sz w:val="18"/>
                <w:szCs w:val="18"/>
                <w:color w:val="0000EE"/>
                <w:w w:val="90"/>
              </w:rPr>
            </w:pPr>
            <w:hyperlink r:id="rId110">
              <w:r>
                <w:rPr>
                  <w:rFonts w:ascii="Arial" w:cs="Arial" w:eastAsia="Arial" w:hAnsi="Arial"/>
                  <w:sz w:val="18"/>
                  <w:szCs w:val="18"/>
                  <w:color w:val="0000EE"/>
                  <w:w w:val="90"/>
                </w:rPr>
                <w:t>Amended and Restated Executive Employment Agreement, dated as of January 17, 2018, by and between Eldorado Resorts, Inc. and Edmund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L. Quatmann, Jr. (incorporated by reference to the Annual Report on Form 10-K filed on February 27, 2018).</w:t>
              </w:r>
            </w:hyperlink>
          </w:p>
        </w:tc>
        <w:tc>
          <w:tcPr>
            <w:tcW w:w="2360" w:type="dxa"/>
            <w:vAlign w:val="bottom"/>
            <w:tcBorders>
              <w:top w:val="single" w:sz="8" w:color="0000EE"/>
            </w:tcBorders>
            <w:gridSpan w:val="15"/>
          </w:tcPr>
          <w:p>
            <w:pPr>
              <w:spacing w:after="0"/>
              <w:rPr>
                <w:sz w:val="17"/>
                <w:szCs w:val="17"/>
                <w:color w:val="auto"/>
              </w:rPr>
            </w:pPr>
          </w:p>
        </w:tc>
        <w:tc>
          <w:tcPr>
            <w:tcW w:w="14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jc w:val="right"/>
              <w:ind w:right="362"/>
              <w:spacing w:after="0"/>
              <w:rPr>
                <w:sz w:val="20"/>
                <w:szCs w:val="20"/>
                <w:color w:val="auto"/>
              </w:rPr>
            </w:pPr>
            <w:r>
              <w:rPr>
                <w:rFonts w:ascii="Arial" w:cs="Arial" w:eastAsia="Arial" w:hAnsi="Arial"/>
                <w:sz w:val="18"/>
                <w:szCs w:val="18"/>
                <w:color w:val="auto"/>
                <w:w w:val="92"/>
              </w:rPr>
              <w:t>10.11*</w:t>
            </w:r>
          </w:p>
        </w:tc>
        <w:tc>
          <w:tcPr>
            <w:tcW w:w="100" w:type="dxa"/>
            <w:vAlign w:val="bottom"/>
          </w:tcPr>
          <w:p>
            <w:pPr>
              <w:spacing w:after="0"/>
              <w:rPr>
                <w:sz w:val="24"/>
                <w:szCs w:val="24"/>
                <w:color w:val="auto"/>
              </w:rPr>
            </w:pPr>
          </w:p>
        </w:tc>
        <w:tc>
          <w:tcPr>
            <w:tcW w:w="10380" w:type="dxa"/>
            <w:vAlign w:val="bottom"/>
            <w:gridSpan w:val="29"/>
          </w:tcPr>
          <w:p>
            <w:pPr>
              <w:spacing w:after="0" w:line="207" w:lineRule="exact"/>
              <w:rPr>
                <w:rFonts w:ascii="Arial" w:cs="Arial" w:eastAsia="Arial" w:hAnsi="Arial"/>
                <w:sz w:val="18"/>
                <w:szCs w:val="18"/>
                <w:color w:val="0000EE"/>
                <w:w w:val="97"/>
              </w:rPr>
            </w:pPr>
            <w:hyperlink r:id="rId111">
              <w:r>
                <w:rPr>
                  <w:rFonts w:ascii="Arial" w:cs="Arial" w:eastAsia="Arial" w:hAnsi="Arial"/>
                  <w:sz w:val="18"/>
                  <w:szCs w:val="18"/>
                  <w:color w:val="0000EE"/>
                  <w:w w:val="97"/>
                </w:rPr>
                <w:t>2010 Long</w:t>
              </w:r>
              <w:r>
                <w:rPr>
                  <w:rFonts w:ascii="MS PGothic" w:cs="MS PGothic" w:eastAsia="MS PGothic" w:hAnsi="MS PGothic"/>
                  <w:sz w:val="18"/>
                  <w:szCs w:val="18"/>
                  <w:color w:val="0000EE"/>
                  <w:w w:val="97"/>
                </w:rPr>
                <w:t>‑</w:t>
              </w:r>
              <w:r>
                <w:rPr>
                  <w:rFonts w:ascii="Arial" w:cs="Arial" w:eastAsia="Arial" w:hAnsi="Arial"/>
                  <w:sz w:val="18"/>
                  <w:szCs w:val="18"/>
                  <w:color w:val="0000EE"/>
                  <w:w w:val="97"/>
                </w:rPr>
                <w:t>Term Incentive Plan (incorporated by reference to the Quarterly Report of MTR Gaming Group, Inc. on Form 10</w:t>
              </w:r>
              <w:r>
                <w:rPr>
                  <w:rFonts w:ascii="MS PGothic" w:cs="MS PGothic" w:eastAsia="MS PGothic" w:hAnsi="MS PGothic"/>
                  <w:sz w:val="18"/>
                  <w:szCs w:val="18"/>
                  <w:color w:val="0000EE"/>
                  <w:w w:val="97"/>
                </w:rPr>
                <w:t>‑</w:t>
              </w:r>
              <w:r>
                <w:rPr>
                  <w:rFonts w:ascii="Arial" w:cs="Arial" w:eastAsia="Arial" w:hAnsi="Arial"/>
                  <w:sz w:val="18"/>
                  <w:szCs w:val="18"/>
                  <w:color w:val="0000EE"/>
                  <w:w w:val="97"/>
                </w:rPr>
                <w:t>Q filed 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111">
              <w:r>
                <w:rPr>
                  <w:rFonts w:ascii="Arial" w:cs="Arial" w:eastAsia="Arial" w:hAnsi="Arial"/>
                  <w:sz w:val="18"/>
                  <w:szCs w:val="18"/>
                  <w:color w:val="0000EE"/>
                  <w:w w:val="90"/>
                </w:rPr>
                <w:t>August 9, 2010).</w:t>
              </w:r>
            </w:hyperlink>
          </w:p>
        </w:tc>
        <w:tc>
          <w:tcPr>
            <w:tcW w:w="8560" w:type="dxa"/>
            <w:vAlign w:val="bottom"/>
            <w:tcBorders>
              <w:top w:val="single" w:sz="8" w:color="0000EE"/>
            </w:tcBorders>
            <w:gridSpan w:val="12"/>
          </w:tcPr>
          <w:p>
            <w:pPr>
              <w:spacing w:after="0"/>
              <w:rPr>
                <w:sz w:val="17"/>
                <w:szCs w:val="17"/>
                <w:color w:val="auto"/>
              </w:rPr>
            </w:pPr>
          </w:p>
        </w:tc>
        <w:tc>
          <w:tcPr>
            <w:tcW w:w="60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00" w:type="dxa"/>
            <w:vAlign w:val="bottom"/>
            <w:gridSpan w:val="5"/>
          </w:tcPr>
          <w:p>
            <w:pPr>
              <w:ind w:left="4580"/>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1" w:right="2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EXHIBIT</w:t>
            </w: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60" w:type="dxa"/>
            <w:vAlign w:val="bottom"/>
            <w:gridSpan w:val="28"/>
            <w:vMerge w:val="restart"/>
          </w:tcPr>
          <w:p>
            <w:pPr>
              <w:ind w:left="440"/>
              <w:spacing w:after="0"/>
              <w:rPr>
                <w:sz w:val="20"/>
                <w:szCs w:val="20"/>
                <w:color w:val="auto"/>
              </w:rPr>
            </w:pPr>
            <w:r>
              <w:rPr>
                <w:rFonts w:ascii="Arial" w:cs="Arial" w:eastAsia="Arial" w:hAnsi="Arial"/>
                <w:sz w:val="14"/>
                <w:szCs w:val="14"/>
                <w:b w:val="1"/>
                <w:bCs w:val="1"/>
                <w:color w:val="auto"/>
              </w:rPr>
              <w:t>ITEM TITLE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NO.</w:t>
            </w: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60" w:type="dxa"/>
            <w:vAlign w:val="bottom"/>
            <w:gridSpan w:val="28"/>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10.13*</w:t>
            </w:r>
          </w:p>
        </w:tc>
        <w:tc>
          <w:tcPr>
            <w:tcW w:w="100" w:type="dxa"/>
            <w:vAlign w:val="bottom"/>
          </w:tcPr>
          <w:p>
            <w:pPr>
              <w:spacing w:after="0"/>
              <w:rPr>
                <w:sz w:val="14"/>
                <w:szCs w:val="14"/>
                <w:color w:val="auto"/>
              </w:rPr>
            </w:pPr>
          </w:p>
        </w:tc>
        <w:tc>
          <w:tcPr>
            <w:tcW w:w="10380" w:type="dxa"/>
            <w:vAlign w:val="bottom"/>
            <w:tcBorders>
              <w:top w:val="single" w:sz="8" w:color="auto"/>
            </w:tcBorders>
            <w:gridSpan w:val="33"/>
          </w:tcPr>
          <w:p>
            <w:pPr>
              <w:spacing w:after="0" w:line="170" w:lineRule="exact"/>
              <w:rPr>
                <w:rFonts w:ascii="Arial" w:cs="Arial" w:eastAsia="Arial" w:hAnsi="Arial"/>
                <w:sz w:val="18"/>
                <w:szCs w:val="18"/>
                <w:color w:val="0000EE"/>
                <w:w w:val="94"/>
              </w:rPr>
            </w:pPr>
            <w:hyperlink r:id="rId114">
              <w:r>
                <w:rPr>
                  <w:rFonts w:ascii="Arial" w:cs="Arial" w:eastAsia="Arial" w:hAnsi="Arial"/>
                  <w:sz w:val="18"/>
                  <w:szCs w:val="18"/>
                  <w:color w:val="0000EE"/>
                  <w:w w:val="94"/>
                </w:rPr>
                <w:t>Form of Nonqualified Stock Option Award Agreement (2010 Long</w:t>
              </w:r>
              <w:r>
                <w:rPr>
                  <w:rFonts w:ascii="MS PGothic" w:cs="MS PGothic" w:eastAsia="MS PGothic" w:hAnsi="MS PGothic"/>
                  <w:sz w:val="18"/>
                  <w:szCs w:val="18"/>
                  <w:color w:val="0000EE"/>
                  <w:w w:val="94"/>
                </w:rPr>
                <w:t>‑</w:t>
              </w:r>
              <w:r>
                <w:rPr>
                  <w:rFonts w:ascii="Arial" w:cs="Arial" w:eastAsia="Arial" w:hAnsi="Arial"/>
                  <w:sz w:val="18"/>
                  <w:szCs w:val="18"/>
                  <w:color w:val="0000EE"/>
                  <w:w w:val="94"/>
                </w:rPr>
                <w:t>Term Incentive Plan) (incorporated by reference to the Current Report of</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MTR Gaming Group, Inc. on Form 8</w:t>
              </w:r>
              <w:r>
                <w:rPr>
                  <w:rFonts w:ascii="MS PGothic" w:cs="MS PGothic" w:eastAsia="MS PGothic" w:hAnsi="MS PGothic"/>
                  <w:sz w:val="18"/>
                  <w:szCs w:val="18"/>
                  <w:color w:val="0000EE"/>
                  <w:w w:val="92"/>
                </w:rPr>
                <w:t>‑</w:t>
              </w:r>
              <w:r>
                <w:rPr>
                  <w:rFonts w:ascii="Arial" w:cs="Arial" w:eastAsia="Arial" w:hAnsi="Arial"/>
                  <w:sz w:val="18"/>
                  <w:szCs w:val="18"/>
                  <w:color w:val="0000EE"/>
                  <w:w w:val="92"/>
                </w:rPr>
                <w:t>K filed on February 3, 2011).</w:t>
              </w:r>
            </w:hyperlink>
          </w:p>
        </w:tc>
        <w:tc>
          <w:tcPr>
            <w:tcW w:w="5280" w:type="dxa"/>
            <w:vAlign w:val="bottom"/>
            <w:tcBorders>
              <w:top w:val="single" w:sz="8" w:color="0000EE"/>
            </w:tcBorders>
            <w:gridSpan w:val="18"/>
          </w:tcPr>
          <w:p>
            <w:pPr>
              <w:spacing w:after="0"/>
              <w:rPr>
                <w:sz w:val="17"/>
                <w:szCs w:val="17"/>
                <w:color w:val="auto"/>
              </w:rPr>
            </w:pPr>
          </w:p>
        </w:tc>
        <w:tc>
          <w:tcPr>
            <w:tcW w:w="24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4"/>
                <w:szCs w:val="24"/>
                <w:color w:val="auto"/>
              </w:rPr>
            </w:pPr>
          </w:p>
        </w:tc>
        <w:tc>
          <w:tcPr>
            <w:tcW w:w="10380" w:type="dxa"/>
            <w:vAlign w:val="bottom"/>
            <w:gridSpan w:val="33"/>
          </w:tcPr>
          <w:p>
            <w:pPr>
              <w:spacing w:after="0"/>
              <w:rPr>
                <w:rFonts w:ascii="Arial" w:cs="Arial" w:eastAsia="Arial" w:hAnsi="Arial"/>
                <w:sz w:val="18"/>
                <w:szCs w:val="18"/>
                <w:color w:val="0000EE"/>
                <w:w w:val="92"/>
              </w:rPr>
            </w:pPr>
            <w:hyperlink r:id="rId115">
              <w:r>
                <w:rPr>
                  <w:rFonts w:ascii="Arial" w:cs="Arial" w:eastAsia="Arial" w:hAnsi="Arial"/>
                  <w:sz w:val="18"/>
                  <w:szCs w:val="18"/>
                  <w:color w:val="0000EE"/>
                  <w:w w:val="92"/>
                </w:rPr>
                <w:t>Eldorado Resorts, Inc. 2015 Equity Incentive Plan (incorporated herein by reference to Exhibit 4.3 to the Registration Statement on Form S-8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filed by Eldorado Resorts, Inc. on April 3, 2015 (File No. 333-203227)).</w:t>
              </w:r>
            </w:hyperlink>
          </w:p>
        </w:tc>
        <w:tc>
          <w:tcPr>
            <w:tcW w:w="18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4"/>
                <w:szCs w:val="24"/>
                <w:color w:val="auto"/>
              </w:rPr>
            </w:pPr>
          </w:p>
        </w:tc>
        <w:tc>
          <w:tcPr>
            <w:tcW w:w="10380" w:type="dxa"/>
            <w:vAlign w:val="bottom"/>
            <w:gridSpan w:val="33"/>
          </w:tcPr>
          <w:p>
            <w:pPr>
              <w:spacing w:after="0"/>
              <w:rPr>
                <w:rFonts w:ascii="Arial" w:cs="Arial" w:eastAsia="Arial" w:hAnsi="Arial"/>
                <w:sz w:val="18"/>
                <w:szCs w:val="18"/>
                <w:color w:val="0000EE"/>
                <w:w w:val="94"/>
              </w:rPr>
            </w:pPr>
            <w:hyperlink r:id="rId116">
              <w:r>
                <w:rPr>
                  <w:rFonts w:ascii="Arial" w:cs="Arial" w:eastAsia="Arial" w:hAnsi="Arial"/>
                  <w:sz w:val="18"/>
                  <w:szCs w:val="18"/>
                  <w:color w:val="0000EE"/>
                  <w:w w:val="94"/>
                </w:rPr>
                <w:t>Form of Director Non-Deferred Restricted Stock Unit Award Agreement pursuant to the Eldorado Resorts, Inc. 2015 Equity Incentive Plan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(incorporated herein by reference to Exhibit 10.28 to the Registration Statement on Form S-1 filed by Eldorado Resorts, Inc. on July 14, 2015</w:t>
              </w:r>
            </w:hyperlink>
          </w:p>
        </w:tc>
        <w:tc>
          <w:tcPr>
            <w:tcW w:w="16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(File No. 333-205654)).</w:t>
              </w:r>
            </w:hyperlink>
          </w:p>
        </w:tc>
        <w:tc>
          <w:tcPr>
            <w:tcW w:w="8640" w:type="dxa"/>
            <w:vAlign w:val="bottom"/>
            <w:gridSpan w:val="3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4"/>
                <w:szCs w:val="24"/>
                <w:color w:val="auto"/>
              </w:rPr>
            </w:pPr>
          </w:p>
        </w:tc>
        <w:tc>
          <w:tcPr>
            <w:tcW w:w="9660" w:type="dxa"/>
            <w:vAlign w:val="bottom"/>
            <w:tcBorders>
              <w:bottom w:val="single" w:sz="8" w:color="0000EE"/>
            </w:tcBorders>
            <w:gridSpan w:val="17"/>
          </w:tcPr>
          <w:p>
            <w:pPr>
              <w:spacing w:after="0"/>
              <w:rPr>
                <w:rFonts w:ascii="Arial" w:cs="Arial" w:eastAsia="Arial" w:hAnsi="Arial"/>
                <w:sz w:val="18"/>
                <w:szCs w:val="18"/>
                <w:color w:val="0000EE"/>
                <w:w w:val="91"/>
              </w:rPr>
            </w:pPr>
            <w:hyperlink r:id="rId117">
              <w:r>
                <w:rPr>
                  <w:rFonts w:ascii="Arial" w:cs="Arial" w:eastAsia="Arial" w:hAnsi="Arial"/>
                  <w:sz w:val="18"/>
                  <w:szCs w:val="18"/>
                  <w:color w:val="0000EE"/>
                  <w:w w:val="91"/>
                </w:rPr>
                <w:t>Form of Director Deferred Restricted Stock Unit Award Agreement pursuant to the Eldorado Resorts, Inc. 2015 Equity Incentive Plan</w:t>
              </w:r>
            </w:hyperlink>
          </w:p>
        </w:tc>
        <w:tc>
          <w:tcPr>
            <w:tcW w:w="720" w:type="dxa"/>
            <w:vAlign w:val="bottom"/>
            <w:gridSpan w:val="1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(incorporated herein by reference to Exhibit 10.29 to the Registration Statement on Form S-1 filed by Eldorado Resorts, Inc. on July 14, 2015</w:t>
              </w:r>
            </w:hyperlink>
          </w:p>
        </w:tc>
        <w:tc>
          <w:tcPr>
            <w:tcW w:w="16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(File No. 333-205654)).</w:t>
              </w:r>
            </w:hyperlink>
          </w:p>
        </w:tc>
        <w:tc>
          <w:tcPr>
            <w:tcW w:w="8640" w:type="dxa"/>
            <w:vAlign w:val="bottom"/>
            <w:gridSpan w:val="3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4"/>
                <w:szCs w:val="24"/>
                <w:color w:val="auto"/>
              </w:rPr>
            </w:pPr>
          </w:p>
        </w:tc>
        <w:tc>
          <w:tcPr>
            <w:tcW w:w="974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135">
              <w:r>
                <w:rPr>
                  <w:rFonts w:ascii="Arial" w:cs="Arial" w:eastAsia="Arial" w:hAnsi="Arial"/>
                  <w:sz w:val="18"/>
                  <w:szCs w:val="18"/>
                  <w:color w:val="0000EE"/>
                  <w:w w:val="91"/>
                </w:rPr>
                <w:t>Form of Performance Stock Unit Award Agreement pursuant to the Eldorado Resorts, Inc. 2015 Equity Incentive Plan (filed herewith).</w:t>
              </w:r>
            </w:hyperlink>
          </w:p>
        </w:tc>
        <w:tc>
          <w:tcPr>
            <w:tcW w:w="640" w:type="dxa"/>
            <w:vAlign w:val="bottom"/>
            <w:gridSpan w:val="1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4"/>
                <w:szCs w:val="24"/>
                <w:color w:val="auto"/>
              </w:rPr>
            </w:pPr>
          </w:p>
        </w:tc>
        <w:tc>
          <w:tcPr>
            <w:tcW w:w="10380" w:type="dxa"/>
            <w:vAlign w:val="bottom"/>
            <w:gridSpan w:val="33"/>
          </w:tcPr>
          <w:p>
            <w:pPr>
              <w:spacing w:after="0"/>
              <w:rPr>
                <w:rFonts w:ascii="Arial" w:cs="Arial" w:eastAsia="Arial" w:hAnsi="Arial"/>
                <w:sz w:val="18"/>
                <w:szCs w:val="18"/>
                <w:color w:val="0000EE"/>
                <w:w w:val="94"/>
              </w:rPr>
            </w:pPr>
            <w:hyperlink r:id="rId118">
              <w:r>
                <w:rPr>
                  <w:rFonts w:ascii="Arial" w:cs="Arial" w:eastAsia="Arial" w:hAnsi="Arial"/>
                  <w:sz w:val="18"/>
                  <w:szCs w:val="18"/>
                  <w:color w:val="0000EE"/>
                  <w:w w:val="94"/>
                </w:rPr>
                <w:t>Ground Lease dated as of May 19, 1999 between City of Shreveport, as landlord, and Eldorado Casino Shreveport Joint Venture (formerly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known as QNOV) as tenant (incorporated by reference to our Annual Report on Form 10</w:t>
              </w:r>
              <w:r>
                <w:rPr>
                  <w:rFonts w:ascii="MS PGothic" w:cs="MS PGothic" w:eastAsia="MS PGothic" w:hAnsi="MS PGothic"/>
                  <w:sz w:val="18"/>
                  <w:szCs w:val="18"/>
                  <w:color w:val="0000EE"/>
                </w:rPr>
                <w:t>‑</w:t>
              </w:r>
              <w:r>
                <w:rPr>
                  <w:rFonts w:ascii="Arial" w:cs="Arial" w:eastAsia="Arial" w:hAnsi="Arial"/>
                  <w:sz w:val="18"/>
                  <w:szCs w:val="18"/>
                  <w:color w:val="0000EE"/>
                </w:rPr>
                <w:t>K filed on March 16, 2015).</w:t>
              </w:r>
            </w:hyperlink>
          </w:p>
        </w:tc>
        <w:tc>
          <w:tcPr>
            <w:tcW w:w="36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4"/>
                <w:szCs w:val="24"/>
                <w:color w:val="auto"/>
              </w:rPr>
            </w:pPr>
          </w:p>
        </w:tc>
        <w:tc>
          <w:tcPr>
            <w:tcW w:w="9880" w:type="dxa"/>
            <w:vAlign w:val="bottom"/>
            <w:tcBorders>
              <w:bottom w:val="single" w:sz="8" w:color="0000EE"/>
            </w:tcBorders>
            <w:gridSpan w:val="20"/>
          </w:tcPr>
          <w:p>
            <w:pPr>
              <w:spacing w:after="0"/>
              <w:rPr>
                <w:rFonts w:ascii="Arial" w:cs="Arial" w:eastAsia="Arial" w:hAnsi="Arial"/>
                <w:sz w:val="18"/>
                <w:szCs w:val="18"/>
                <w:color w:val="0000EE"/>
                <w:w w:val="90"/>
              </w:rPr>
            </w:pPr>
            <w:hyperlink r:id="rId119">
              <w:r>
                <w:rPr>
                  <w:rFonts w:ascii="Arial" w:cs="Arial" w:eastAsia="Arial" w:hAnsi="Arial"/>
                  <w:sz w:val="18"/>
                  <w:szCs w:val="18"/>
                  <w:color w:val="0000EE"/>
                  <w:w w:val="90"/>
                </w:rPr>
                <w:t>First Amendment to Lease Agreement made and entered into as of August 13, 2012, by and between City of Shreveport, as landlord, and</w:t>
              </w:r>
            </w:hyperlink>
          </w:p>
        </w:tc>
        <w:tc>
          <w:tcPr>
            <w:tcW w:w="50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8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Eldorado Casino Shreveport Joint Venture (formerly known as QNOV) as tenant (incorporated by reference to our Annual Report on</w:t>
              </w:r>
            </w:hyperlink>
          </w:p>
        </w:tc>
        <w:tc>
          <w:tcPr>
            <w:tcW w:w="80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80" w:type="dxa"/>
            <w:vAlign w:val="bottom"/>
            <w:gridSpan w:val="33"/>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Form 10</w:t>
              </w:r>
              <w:r>
                <w:rPr>
                  <w:rFonts w:ascii="MS PGothic" w:cs="MS PGothic" w:eastAsia="MS PGothic" w:hAnsi="MS PGothic"/>
                  <w:sz w:val="18"/>
                  <w:szCs w:val="18"/>
                  <w:color w:val="0000EE"/>
                </w:rPr>
                <w:t>‑</w:t>
              </w:r>
              <w:r>
                <w:rPr>
                  <w:rFonts w:ascii="Arial" w:cs="Arial" w:eastAsia="Arial" w:hAnsi="Arial"/>
                  <w:sz w:val="18"/>
                  <w:szCs w:val="18"/>
                  <w:color w:val="0000EE"/>
                </w:rPr>
                <w:t>K filed on March 16, 2015).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4"/>
                <w:szCs w:val="24"/>
                <w:color w:val="auto"/>
              </w:rPr>
            </w:pPr>
          </w:p>
        </w:tc>
        <w:tc>
          <w:tcPr>
            <w:tcW w:w="10360" w:type="dxa"/>
            <w:vAlign w:val="bottom"/>
            <w:tcBorders>
              <w:bottom w:val="single" w:sz="8" w:color="0000EE"/>
            </w:tcBorders>
            <w:gridSpan w:val="32"/>
          </w:tcPr>
          <w:p>
            <w:pPr>
              <w:spacing w:after="0"/>
              <w:rPr>
                <w:rFonts w:ascii="Arial" w:cs="Arial" w:eastAsia="Arial" w:hAnsi="Arial"/>
                <w:sz w:val="18"/>
                <w:szCs w:val="18"/>
                <w:color w:val="0000EE"/>
                <w:w w:val="89"/>
              </w:rPr>
            </w:pPr>
            <w:hyperlink r:id="rId120">
              <w:r>
                <w:rPr>
                  <w:rFonts w:ascii="Arial" w:cs="Arial" w:eastAsia="Arial" w:hAnsi="Arial"/>
                  <w:sz w:val="18"/>
                  <w:szCs w:val="18"/>
                  <w:color w:val="0000EE"/>
                  <w:w w:val="89"/>
                </w:rPr>
                <w:t>Lease between C, S &amp; Y Associates, as lessor, and Eldorado Hotel Associates, as lessee, dated as of July 21, 1972 (incorporated by reference to</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80" w:type="dxa"/>
            <w:vAlign w:val="bottom"/>
            <w:gridSpan w:val="33"/>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our Annual Report on Form 10</w:t>
              </w:r>
              <w:r>
                <w:rPr>
                  <w:rFonts w:ascii="MS PGothic" w:cs="MS PGothic" w:eastAsia="MS PGothic" w:hAnsi="MS PGothic"/>
                  <w:sz w:val="18"/>
                  <w:szCs w:val="18"/>
                  <w:color w:val="0000EE"/>
                </w:rPr>
                <w:t>‑</w:t>
              </w:r>
              <w:r>
                <w:rPr>
                  <w:rFonts w:ascii="Arial" w:cs="Arial" w:eastAsia="Arial" w:hAnsi="Arial"/>
                  <w:sz w:val="18"/>
                  <w:szCs w:val="18"/>
                  <w:color w:val="0000EE"/>
                </w:rPr>
                <w:t>K filed on March 16, 2015).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4"/>
                <w:szCs w:val="24"/>
                <w:color w:val="auto"/>
              </w:rPr>
            </w:pPr>
          </w:p>
        </w:tc>
        <w:tc>
          <w:tcPr>
            <w:tcW w:w="10380" w:type="dxa"/>
            <w:vAlign w:val="bottom"/>
            <w:gridSpan w:val="33"/>
          </w:tcPr>
          <w:p>
            <w:pPr>
              <w:spacing w:after="0"/>
              <w:rPr>
                <w:rFonts w:ascii="Arial" w:cs="Arial" w:eastAsia="Arial" w:hAnsi="Arial"/>
                <w:sz w:val="18"/>
                <w:szCs w:val="18"/>
                <w:color w:val="0000EE"/>
                <w:w w:val="89"/>
              </w:rPr>
            </w:pPr>
            <w:hyperlink r:id="rId121">
              <w:r>
                <w:rPr>
                  <w:rFonts w:ascii="Arial" w:cs="Arial" w:eastAsia="Arial" w:hAnsi="Arial"/>
                  <w:sz w:val="18"/>
                  <w:szCs w:val="18"/>
                  <w:color w:val="0000EE"/>
                  <w:w w:val="89"/>
                </w:rPr>
                <w:t>Addendum, dated as of March 20, 1973, to lease between C. S &amp; Y Associates, as lessor, and Eldorado Hotel Associates, as lessee, dated as of</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July 21, 1972 (incorporated by reference to our Annual Report on Form 10</w:t>
              </w:r>
              <w:r>
                <w:rPr>
                  <w:rFonts w:ascii="MS PGothic" w:cs="MS PGothic" w:eastAsia="MS PGothic" w:hAnsi="MS PGothic"/>
                  <w:sz w:val="18"/>
                  <w:szCs w:val="18"/>
                  <w:color w:val="0000EE"/>
                </w:rPr>
                <w:t>‑</w:t>
              </w:r>
              <w:r>
                <w:rPr>
                  <w:rFonts w:ascii="Arial" w:cs="Arial" w:eastAsia="Arial" w:hAnsi="Arial"/>
                  <w:sz w:val="18"/>
                  <w:szCs w:val="18"/>
                  <w:color w:val="0000EE"/>
                </w:rPr>
                <w:t>K filed on March 16, 2015).</w:t>
              </w:r>
            </w:hyperlink>
          </w:p>
        </w:tc>
        <w:tc>
          <w:tcPr>
            <w:tcW w:w="36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160" w:type="dxa"/>
            <w:vAlign w:val="bottom"/>
            <w:gridSpan w:val="4"/>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4"/>
                <w:szCs w:val="24"/>
                <w:color w:val="auto"/>
              </w:rPr>
            </w:pPr>
          </w:p>
        </w:tc>
        <w:tc>
          <w:tcPr>
            <w:tcW w:w="10240" w:type="dxa"/>
            <w:vAlign w:val="bottom"/>
            <w:tcBorders>
              <w:bottom w:val="single" w:sz="8" w:color="0000EE"/>
            </w:tcBorders>
            <w:gridSpan w:val="28"/>
          </w:tcPr>
          <w:p>
            <w:pPr>
              <w:spacing w:after="0"/>
              <w:rPr>
                <w:rFonts w:ascii="Arial" w:cs="Arial" w:eastAsia="Arial" w:hAnsi="Arial"/>
                <w:sz w:val="18"/>
                <w:szCs w:val="18"/>
                <w:color w:val="0000EE"/>
                <w:w w:val="88"/>
              </w:rPr>
            </w:pPr>
            <w:hyperlink r:id="rId122">
              <w:r>
                <w:rPr>
                  <w:rFonts w:ascii="Arial" w:cs="Arial" w:eastAsia="Arial" w:hAnsi="Arial"/>
                  <w:sz w:val="18"/>
                  <w:szCs w:val="18"/>
                  <w:color w:val="0000EE"/>
                  <w:w w:val="88"/>
                </w:rPr>
                <w:t>Amendment, dated as of January 1, 1978, to lease between C. S. &amp; Y. Associates, as lessor, and Eldorado Hotel Associates, as lessee, dated as</w:t>
              </w:r>
            </w:hyperlink>
          </w:p>
        </w:tc>
        <w:tc>
          <w:tcPr>
            <w:tcW w:w="14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80" w:type="dxa"/>
            <w:vAlign w:val="bottom"/>
            <w:gridSpan w:val="33"/>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of July 21, 1972 (incorporated by reference to our Annual Report on Form 10</w:t>
              </w:r>
              <w:r>
                <w:rPr>
                  <w:rFonts w:ascii="MS PGothic" w:cs="MS PGothic" w:eastAsia="MS PGothic" w:hAnsi="MS PGothic"/>
                  <w:sz w:val="18"/>
                  <w:szCs w:val="18"/>
                  <w:color w:val="0000EE"/>
                </w:rPr>
                <w:t>‑</w:t>
              </w:r>
              <w:r>
                <w:rPr>
                  <w:rFonts w:ascii="Arial" w:cs="Arial" w:eastAsia="Arial" w:hAnsi="Arial"/>
                  <w:sz w:val="18"/>
                  <w:szCs w:val="18"/>
                  <w:color w:val="0000EE"/>
                </w:rPr>
                <w:t>K filed on March 16, 2015).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160" w:type="dxa"/>
            <w:vAlign w:val="bottom"/>
            <w:gridSpan w:val="4"/>
            <w:shd w:val="clear" w:color="auto" w:fill="0000EE"/>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4"/>
                <w:szCs w:val="24"/>
                <w:color w:val="auto"/>
              </w:rPr>
            </w:pPr>
          </w:p>
        </w:tc>
        <w:tc>
          <w:tcPr>
            <w:tcW w:w="10340" w:type="dxa"/>
            <w:vAlign w:val="bottom"/>
            <w:tcBorders>
              <w:bottom w:val="single" w:sz="8" w:color="0000EE"/>
            </w:tcBorders>
            <w:gridSpan w:val="31"/>
          </w:tcPr>
          <w:p>
            <w:pPr>
              <w:spacing w:after="0"/>
              <w:rPr>
                <w:rFonts w:ascii="Arial" w:cs="Arial" w:eastAsia="Arial" w:hAnsi="Arial"/>
                <w:sz w:val="18"/>
                <w:szCs w:val="18"/>
                <w:color w:val="0000EE"/>
                <w:w w:val="88"/>
              </w:rPr>
            </w:pPr>
            <w:hyperlink r:id="rId123">
              <w:r>
                <w:rPr>
                  <w:rFonts w:ascii="Arial" w:cs="Arial" w:eastAsia="Arial" w:hAnsi="Arial"/>
                  <w:sz w:val="18"/>
                  <w:szCs w:val="18"/>
                  <w:color w:val="0000EE"/>
                  <w:w w:val="88"/>
                </w:rPr>
                <w:t>Amendment, dated as of January 31, 1985, to lease between C. S. &amp; Y. Associates, as lessor, and Eldorado Hotel Associates, as lessee, dated as</w:t>
              </w:r>
            </w:hyperlink>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80" w:type="dxa"/>
            <w:vAlign w:val="bottom"/>
            <w:gridSpan w:val="33"/>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of July 21, 1972 (incorporated by reference to our Annual Report on Form 10</w:t>
              </w:r>
              <w:r>
                <w:rPr>
                  <w:rFonts w:ascii="MS PGothic" w:cs="MS PGothic" w:eastAsia="MS PGothic" w:hAnsi="MS PGothic"/>
                  <w:sz w:val="18"/>
                  <w:szCs w:val="18"/>
                  <w:color w:val="0000EE"/>
                </w:rPr>
                <w:t>‑</w:t>
              </w:r>
              <w:r>
                <w:rPr>
                  <w:rFonts w:ascii="Arial" w:cs="Arial" w:eastAsia="Arial" w:hAnsi="Arial"/>
                  <w:sz w:val="18"/>
                  <w:szCs w:val="18"/>
                  <w:color w:val="0000EE"/>
                </w:rPr>
                <w:t>K filed on March 16, 2015).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160" w:type="dxa"/>
            <w:vAlign w:val="bottom"/>
            <w:gridSpan w:val="4"/>
            <w:shd w:val="clear" w:color="auto" w:fill="0000EE"/>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4"/>
                <w:szCs w:val="24"/>
                <w:color w:val="auto"/>
              </w:rPr>
            </w:pPr>
          </w:p>
        </w:tc>
        <w:tc>
          <w:tcPr>
            <w:tcW w:w="10380" w:type="dxa"/>
            <w:vAlign w:val="bottom"/>
            <w:gridSpan w:val="33"/>
          </w:tcPr>
          <w:p>
            <w:pPr>
              <w:spacing w:after="0"/>
              <w:rPr>
                <w:rFonts w:ascii="Arial" w:cs="Arial" w:eastAsia="Arial" w:hAnsi="Arial"/>
                <w:sz w:val="18"/>
                <w:szCs w:val="18"/>
                <w:color w:val="0000EE"/>
                <w:w w:val="89"/>
              </w:rPr>
            </w:pPr>
            <w:hyperlink r:id="rId124">
              <w:r>
                <w:rPr>
                  <w:rFonts w:ascii="Arial" w:cs="Arial" w:eastAsia="Arial" w:hAnsi="Arial"/>
                  <w:sz w:val="18"/>
                  <w:szCs w:val="18"/>
                  <w:color w:val="0000EE"/>
                  <w:w w:val="89"/>
                </w:rPr>
                <w:t>Amendment, dated as of December 24, 1987, to lease between C. S. &amp; Y. Associates, as lessor, and Eldorado Hotel Associates, as lessee, dated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as of July 21, 1972 (incorporated by reference to our Annual Report on Form 10</w:t>
              </w:r>
              <w:r>
                <w:rPr>
                  <w:rFonts w:ascii="MS PGothic" w:cs="MS PGothic" w:eastAsia="MS PGothic" w:hAnsi="MS PGothic"/>
                  <w:sz w:val="18"/>
                  <w:szCs w:val="18"/>
                  <w:color w:val="0000EE"/>
                  <w:w w:val="91"/>
                </w:rPr>
                <w:t>‑</w:t>
              </w:r>
              <w:r>
                <w:rPr>
                  <w:rFonts w:ascii="Arial" w:cs="Arial" w:eastAsia="Arial" w:hAnsi="Arial"/>
                  <w:sz w:val="18"/>
                  <w:szCs w:val="18"/>
                  <w:color w:val="0000EE"/>
                  <w:w w:val="91"/>
                </w:rPr>
                <w:t>K filed on March 16, 2015).</w:t>
              </w:r>
            </w:hyperlink>
          </w:p>
        </w:tc>
        <w:tc>
          <w:tcPr>
            <w:tcW w:w="2420" w:type="dxa"/>
            <w:vAlign w:val="bottom"/>
            <w:tcBorders>
              <w:top w:val="single" w:sz="8" w:color="0000EE"/>
            </w:tcBorders>
            <w:gridSpan w:val="18"/>
          </w:tcPr>
          <w:p>
            <w:pPr>
              <w:spacing w:after="0"/>
              <w:rPr>
                <w:sz w:val="17"/>
                <w:szCs w:val="17"/>
                <w:color w:val="auto"/>
              </w:rPr>
            </w:pPr>
          </w:p>
        </w:tc>
        <w:tc>
          <w:tcPr>
            <w:tcW w:w="8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4"/>
                <w:szCs w:val="24"/>
                <w:color w:val="auto"/>
              </w:rPr>
            </w:pPr>
          </w:p>
        </w:tc>
        <w:tc>
          <w:tcPr>
            <w:tcW w:w="10380" w:type="dxa"/>
            <w:vAlign w:val="bottom"/>
            <w:gridSpan w:val="33"/>
          </w:tcPr>
          <w:p>
            <w:pPr>
              <w:spacing w:after="0"/>
              <w:rPr>
                <w:rFonts w:ascii="Arial" w:cs="Arial" w:eastAsia="Arial" w:hAnsi="Arial"/>
                <w:sz w:val="18"/>
                <w:szCs w:val="18"/>
                <w:color w:val="0000EE"/>
                <w:w w:val="93"/>
              </w:rPr>
            </w:pPr>
            <w:hyperlink r:id="rId125">
              <w:r>
                <w:rPr>
                  <w:rFonts w:ascii="Arial" w:cs="Arial" w:eastAsia="Arial" w:hAnsi="Arial"/>
                  <w:sz w:val="18"/>
                  <w:szCs w:val="18"/>
                  <w:color w:val="0000EE"/>
                  <w:w w:val="93"/>
                </w:rPr>
                <w:t>Reimbursement and Indemnification Agreement and Lease Amendment, entered into as of March 24, 1994, by and between Eldorado Hotel</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Borders>
              <w:top w:val="single" w:sz="8" w:color="0000EE"/>
            </w:tcBorders>
            <w:gridSpan w:val="23"/>
          </w:tcPr>
          <w:p>
            <w:pPr>
              <w:spacing w:after="0" w:line="196" w:lineRule="exact"/>
              <w:rPr>
                <w:rFonts w:ascii="Arial" w:cs="Arial" w:eastAsia="Arial" w:hAnsi="Arial"/>
                <w:sz w:val="18"/>
                <w:szCs w:val="18"/>
                <w:color w:val="0000EE"/>
                <w:w w:val="92"/>
              </w:rPr>
            </w:pPr>
            <w:hyperlink r:id="rId125">
              <w:r>
                <w:rPr>
                  <w:rFonts w:ascii="Arial" w:cs="Arial" w:eastAsia="Arial" w:hAnsi="Arial"/>
                  <w:sz w:val="18"/>
                  <w:szCs w:val="18"/>
                  <w:color w:val="0000EE"/>
                  <w:w w:val="92"/>
                </w:rPr>
                <w:t>Associates Limited Partnership, and CS&amp;Y Associates (incorporated by reference to our Annual Report on Form 10</w:t>
              </w:r>
              <w:r>
                <w:rPr>
                  <w:rFonts w:ascii="MS PGothic" w:cs="MS PGothic" w:eastAsia="MS PGothic" w:hAnsi="MS PGothic"/>
                  <w:sz w:val="18"/>
                  <w:szCs w:val="18"/>
                  <w:color w:val="0000EE"/>
                  <w:w w:val="92"/>
                </w:rPr>
                <w:t>‑</w:t>
              </w:r>
              <w:r>
                <w:rPr>
                  <w:rFonts w:ascii="Arial" w:cs="Arial" w:eastAsia="Arial" w:hAnsi="Arial"/>
                  <w:sz w:val="18"/>
                  <w:szCs w:val="18"/>
                  <w:color w:val="0000EE"/>
                  <w:w w:val="92"/>
                </w:rPr>
                <w:t>K filed on March 16,</w:t>
              </w:r>
            </w:hyperlink>
          </w:p>
        </w:tc>
        <w:tc>
          <w:tcPr>
            <w:tcW w:w="30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25">
              <w:r>
                <w:rPr>
                  <w:rFonts w:ascii="Arial" w:cs="Arial" w:eastAsia="Arial" w:hAnsi="Arial"/>
                  <w:sz w:val="18"/>
                  <w:szCs w:val="18"/>
                  <w:color w:val="0000EE"/>
                  <w:w w:val="90"/>
                </w:rPr>
                <w:t>2015).</w:t>
              </w:r>
            </w:hyperlink>
          </w:p>
        </w:tc>
        <w:tc>
          <w:tcPr>
            <w:tcW w:w="1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4"/>
                <w:szCs w:val="24"/>
                <w:color w:val="auto"/>
              </w:rPr>
            </w:pPr>
          </w:p>
        </w:tc>
        <w:tc>
          <w:tcPr>
            <w:tcW w:w="9520" w:type="dxa"/>
            <w:vAlign w:val="bottom"/>
            <w:tcBorders>
              <w:bottom w:val="single" w:sz="8" w:color="0000EE"/>
            </w:tcBorders>
            <w:gridSpan w:val="15"/>
          </w:tcPr>
          <w:p>
            <w:pPr>
              <w:spacing w:after="0"/>
              <w:rPr>
                <w:rFonts w:ascii="Arial" w:cs="Arial" w:eastAsia="Arial" w:hAnsi="Arial"/>
                <w:sz w:val="18"/>
                <w:szCs w:val="18"/>
                <w:color w:val="0000EE"/>
                <w:w w:val="90"/>
              </w:rPr>
            </w:pPr>
            <w:hyperlink r:id="rId126">
              <w:r>
                <w:rPr>
                  <w:rFonts w:ascii="Arial" w:cs="Arial" w:eastAsia="Arial" w:hAnsi="Arial"/>
                  <w:sz w:val="18"/>
                  <w:szCs w:val="18"/>
                  <w:color w:val="0000EE"/>
                  <w:w w:val="90"/>
                </w:rPr>
                <w:t>Fourth Amendment, dated as of June 1, 2011, by and between Eldorado Resorts LLC and CS&amp;Y Associates, to Reimbursement and</w:t>
              </w:r>
            </w:hyperlink>
          </w:p>
        </w:tc>
        <w:tc>
          <w:tcPr>
            <w:tcW w:w="860" w:type="dxa"/>
            <w:vAlign w:val="bottom"/>
            <w:gridSpan w:val="1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80" w:type="dxa"/>
            <w:vAlign w:val="bottom"/>
            <w:gridSpan w:val="33"/>
          </w:tcPr>
          <w:p>
            <w:pPr>
              <w:spacing w:after="0" w:line="196" w:lineRule="exact"/>
              <w:rPr>
                <w:rFonts w:ascii="Arial" w:cs="Arial" w:eastAsia="Arial" w:hAnsi="Arial"/>
                <w:sz w:val="18"/>
                <w:szCs w:val="18"/>
                <w:color w:val="0000EE"/>
                <w:w w:val="94"/>
              </w:rPr>
            </w:pPr>
            <w:hyperlink r:id="rId126">
              <w:r>
                <w:rPr>
                  <w:rFonts w:ascii="Arial" w:cs="Arial" w:eastAsia="Arial" w:hAnsi="Arial"/>
                  <w:sz w:val="18"/>
                  <w:szCs w:val="18"/>
                  <w:color w:val="0000EE"/>
                  <w:w w:val="94"/>
                </w:rPr>
                <w:t>Indemnification Agreement and Lease Amendment, entered into as of March 24, 1994, by and between Eldorado Hotel Associates Limited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Partnership, and CS&amp;Y Associates (incorporated by reference to our Annual Report on Form 10</w:t>
              </w:r>
              <w:r>
                <w:rPr>
                  <w:rFonts w:ascii="MS PGothic" w:cs="MS PGothic" w:eastAsia="MS PGothic" w:hAnsi="MS PGothic"/>
                  <w:sz w:val="18"/>
                  <w:szCs w:val="18"/>
                  <w:color w:val="0000EE"/>
                  <w:w w:val="91"/>
                </w:rPr>
                <w:t>‑</w:t>
              </w:r>
              <w:r>
                <w:rPr>
                  <w:rFonts w:ascii="Arial" w:cs="Arial" w:eastAsia="Arial" w:hAnsi="Arial"/>
                  <w:sz w:val="18"/>
                  <w:szCs w:val="18"/>
                  <w:color w:val="0000EE"/>
                  <w:w w:val="91"/>
                </w:rPr>
                <w:t>K filed on March 16, 2015).</w:t>
              </w:r>
            </w:hyperlink>
          </w:p>
        </w:tc>
        <w:tc>
          <w:tcPr>
            <w:tcW w:w="980" w:type="dxa"/>
            <w:vAlign w:val="bottom"/>
            <w:tcBorders>
              <w:top w:val="single" w:sz="8" w:color="0000EE"/>
            </w:tcBorders>
            <w:gridSpan w:val="8"/>
          </w:tcPr>
          <w:p>
            <w:pPr>
              <w:spacing w:after="0"/>
              <w:rPr>
                <w:sz w:val="17"/>
                <w:szCs w:val="17"/>
                <w:color w:val="auto"/>
              </w:rPr>
            </w:pPr>
          </w:p>
        </w:tc>
        <w:tc>
          <w:tcPr>
            <w:tcW w:w="36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4"/>
                <w:szCs w:val="24"/>
                <w:color w:val="auto"/>
              </w:rPr>
            </w:pPr>
          </w:p>
        </w:tc>
        <w:tc>
          <w:tcPr>
            <w:tcW w:w="10380" w:type="dxa"/>
            <w:vAlign w:val="bottom"/>
            <w:gridSpan w:val="33"/>
          </w:tcPr>
          <w:p>
            <w:pPr>
              <w:spacing w:after="0"/>
              <w:rPr>
                <w:rFonts w:ascii="Arial" w:cs="Arial" w:eastAsia="Arial" w:hAnsi="Arial"/>
                <w:sz w:val="18"/>
                <w:szCs w:val="18"/>
                <w:color w:val="0000EE"/>
                <w:w w:val="98"/>
              </w:rPr>
            </w:pPr>
            <w:hyperlink r:id="rId127">
              <w:r>
                <w:rPr>
                  <w:rFonts w:ascii="Arial" w:cs="Arial" w:eastAsia="Arial" w:hAnsi="Arial"/>
                  <w:sz w:val="18"/>
                  <w:szCs w:val="18"/>
                  <w:color w:val="0000EE"/>
                  <w:w w:val="98"/>
                </w:rPr>
                <w:t>Credit Agreement, dated as of April 17, 2017, by and among Isle of Capri Casinos LLC (f/k/a Eagle II Acquisition Company LLC), the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3160" w:type="dxa"/>
            <w:vAlign w:val="bottom"/>
            <w:gridSpan w:val="4"/>
            <w:shd w:val="clear" w:color="auto" w:fill="0000EE"/>
          </w:tcPr>
          <w:p>
            <w:pPr>
              <w:spacing w:after="0" w:line="20" w:lineRule="exact"/>
              <w:rPr>
                <w:sz w:val="1"/>
                <w:szCs w:val="1"/>
                <w:color w:val="auto"/>
              </w:rPr>
            </w:pPr>
          </w:p>
        </w:tc>
        <w:tc>
          <w:tcPr>
            <w:tcW w:w="3380" w:type="dxa"/>
            <w:vAlign w:val="bottom"/>
            <w:gridSpan w:val="5"/>
            <w:shd w:val="clear" w:color="auto" w:fill="0000EE"/>
          </w:tcPr>
          <w:p>
            <w:pPr>
              <w:spacing w:after="0" w:line="20" w:lineRule="exact"/>
              <w:rPr>
                <w:sz w:val="1"/>
                <w:szCs w:val="1"/>
                <w:color w:val="auto"/>
              </w:rPr>
            </w:pPr>
          </w:p>
        </w:tc>
        <w:tc>
          <w:tcPr>
            <w:tcW w:w="1460" w:type="dxa"/>
            <w:vAlign w:val="bottom"/>
            <w:gridSpan w:val="7"/>
            <w:shd w:val="clear" w:color="auto" w:fill="0000EE"/>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2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Lenders party thereto, and JPMorgan Chase Bank, N.A., as administrative agent (incorporated by reference to our Current Report on Form 8-K</w:t>
              </w:r>
            </w:hyperlink>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80" w:type="dxa"/>
            <w:vAlign w:val="bottom"/>
            <w:gridSpan w:val="33"/>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filed on April 17,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1860" w:type="dxa"/>
            <w:vAlign w:val="bottom"/>
            <w:gridSpan w:val="1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4"/>
                <w:szCs w:val="24"/>
                <w:color w:val="auto"/>
              </w:rPr>
            </w:pPr>
          </w:p>
        </w:tc>
        <w:tc>
          <w:tcPr>
            <w:tcW w:w="10380" w:type="dxa"/>
            <w:vAlign w:val="bottom"/>
            <w:gridSpan w:val="33"/>
          </w:tcPr>
          <w:p>
            <w:pPr>
              <w:spacing w:after="0"/>
              <w:rPr>
                <w:rFonts w:ascii="Arial" w:cs="Arial" w:eastAsia="Arial" w:hAnsi="Arial"/>
                <w:sz w:val="18"/>
                <w:szCs w:val="18"/>
                <w:color w:val="0000EE"/>
                <w:w w:val="92"/>
              </w:rPr>
            </w:pPr>
            <w:hyperlink r:id="rId128">
              <w:r>
                <w:rPr>
                  <w:rFonts w:ascii="Arial" w:cs="Arial" w:eastAsia="Arial" w:hAnsi="Arial"/>
                  <w:sz w:val="18"/>
                  <w:szCs w:val="18"/>
                  <w:color w:val="0000EE"/>
                  <w:w w:val="92"/>
                </w:rPr>
                <w:t>Borrower Joinder and Assumption Agreement, dated as of May 1, 2017, by and among Eldorado Resorts, Inc., Isle of Capri Casinos LLC and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JPMorgan Chase Bank, N.A. (incorporated by reference to our Current Report on Form 8-K filed on May 1, 2017).</w:t>
              </w:r>
            </w:hyperlink>
          </w:p>
        </w:tc>
        <w:tc>
          <w:tcPr>
            <w:tcW w:w="1920" w:type="dxa"/>
            <w:vAlign w:val="bottom"/>
            <w:tcBorders>
              <w:top w:val="single" w:sz="8" w:color="0000EE"/>
            </w:tcBorders>
            <w:gridSpan w:val="15"/>
          </w:tcPr>
          <w:p>
            <w:pPr>
              <w:spacing w:after="0"/>
              <w:rPr>
                <w:sz w:val="17"/>
                <w:szCs w:val="17"/>
                <w:color w:val="auto"/>
              </w:rPr>
            </w:pPr>
          </w:p>
        </w:tc>
        <w:tc>
          <w:tcPr>
            <w:tcW w:w="16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4"/>
                <w:szCs w:val="24"/>
                <w:color w:val="auto"/>
              </w:rPr>
            </w:pPr>
          </w:p>
        </w:tc>
        <w:tc>
          <w:tcPr>
            <w:tcW w:w="10380" w:type="dxa"/>
            <w:vAlign w:val="bottom"/>
            <w:gridSpan w:val="33"/>
          </w:tcPr>
          <w:p>
            <w:pPr>
              <w:spacing w:after="0"/>
              <w:rPr>
                <w:rFonts w:ascii="Arial" w:cs="Arial" w:eastAsia="Arial" w:hAnsi="Arial"/>
                <w:sz w:val="18"/>
                <w:szCs w:val="18"/>
                <w:color w:val="0000EE"/>
                <w:w w:val="91"/>
              </w:rPr>
            </w:pPr>
            <w:hyperlink r:id="rId129">
              <w:r>
                <w:rPr>
                  <w:rFonts w:ascii="Arial" w:cs="Arial" w:eastAsia="Arial" w:hAnsi="Arial"/>
                  <w:sz w:val="18"/>
                  <w:szCs w:val="18"/>
                  <w:color w:val="0000EE"/>
                  <w:w w:val="91"/>
                </w:rPr>
                <w:t>Guaranty Agreement, dated as of May 1, 2017, by and among the guarantors party thereto and JPMorgan Chase Bank, N.A. (incorporated by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reference to our Current Report on Form 8-K filed on May 1, 2017).</w:t>
              </w:r>
            </w:hyperlink>
          </w:p>
        </w:tc>
        <w:tc>
          <w:tcPr>
            <w:tcW w:w="22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tcBorders>
              <w:top w:val="single" w:sz="8" w:color="0000EE"/>
            </w:tcBorders>
            <w:gridSpan w:val="6"/>
          </w:tcPr>
          <w:p>
            <w:pPr>
              <w:ind w:left="4580"/>
              <w:spacing w:after="0"/>
              <w:rPr>
                <w:sz w:val="20"/>
                <w:szCs w:val="20"/>
                <w:color w:val="auto"/>
              </w:rPr>
            </w:pPr>
            <w:r>
              <w:rPr>
                <w:rFonts w:ascii="Arial" w:cs="Arial" w:eastAsia="Arial" w:hAnsi="Arial"/>
                <w:sz w:val="18"/>
                <w:szCs w:val="18"/>
                <w:color w:val="auto"/>
              </w:rPr>
              <w:t>68</w:t>
            </w:r>
          </w:p>
        </w:tc>
        <w:tc>
          <w:tcPr>
            <w:tcW w:w="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0" w:right="21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EXHIBIT</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380" w:type="dxa"/>
            <w:vAlign w:val="bottom"/>
            <w:gridSpan w:val="25"/>
            <w:vMerge w:val="restart"/>
          </w:tcPr>
          <w:p>
            <w:pPr>
              <w:ind w:left="760"/>
              <w:spacing w:after="0"/>
              <w:rPr>
                <w:sz w:val="20"/>
                <w:szCs w:val="20"/>
                <w:color w:val="auto"/>
              </w:rPr>
            </w:pPr>
            <w:r>
              <w:rPr>
                <w:rFonts w:ascii="Arial" w:cs="Arial" w:eastAsia="Arial" w:hAnsi="Arial"/>
                <w:sz w:val="14"/>
                <w:szCs w:val="14"/>
                <w:b w:val="1"/>
                <w:bCs w:val="1"/>
                <w:color w:val="auto"/>
              </w:rPr>
              <w:t>ITEM TITLE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NO.</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380" w:type="dxa"/>
            <w:vAlign w:val="bottom"/>
            <w:gridSpan w:val="25"/>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10.32</w:t>
            </w:r>
          </w:p>
        </w:tc>
        <w:tc>
          <w:tcPr>
            <w:tcW w:w="100" w:type="dxa"/>
            <w:vAlign w:val="bottom"/>
          </w:tcPr>
          <w:p>
            <w:pPr>
              <w:spacing w:after="0"/>
              <w:rPr>
                <w:sz w:val="14"/>
                <w:szCs w:val="14"/>
                <w:color w:val="auto"/>
              </w:rPr>
            </w:pPr>
          </w:p>
        </w:tc>
        <w:tc>
          <w:tcPr>
            <w:tcW w:w="10380" w:type="dxa"/>
            <w:vAlign w:val="bottom"/>
            <w:tcBorders>
              <w:top w:val="single" w:sz="8" w:color="auto"/>
            </w:tcBorders>
            <w:gridSpan w:val="35"/>
          </w:tcPr>
          <w:p>
            <w:pPr>
              <w:spacing w:after="0" w:line="170"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Amendment Agreement, dated as of August 15, 2017, by and between the Eldorado Resorts, Inc. and JPMorgan Chase, N.A. as Administrative</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color w:val="0000EE"/>
                <w:w w:val="91"/>
              </w:rPr>
            </w:pPr>
            <w:hyperlink r:id="rId132">
              <w:r>
                <w:rPr>
                  <w:rFonts w:ascii="Arial" w:cs="Arial" w:eastAsia="Arial" w:hAnsi="Arial"/>
                  <w:sz w:val="18"/>
                  <w:szCs w:val="18"/>
                  <w:color w:val="0000EE"/>
                  <w:w w:val="91"/>
                </w:rPr>
                <w:t>Agent in connection with the Credit Agreement, dated as of April 17, 2017 (incorporated by reference to our Quarterly Report on Form 10-Q</w:t>
              </w:r>
            </w:hyperlink>
          </w:p>
        </w:tc>
        <w:tc>
          <w:tcPr>
            <w:tcW w:w="140" w:type="dxa"/>
            <w:vAlign w:val="bottom"/>
            <w:tcBorders>
              <w:top w:val="single" w:sz="8" w:color="0000EE"/>
            </w:tcBorders>
            <w:gridSpan w:val="6"/>
          </w:tcPr>
          <w:p>
            <w:pPr>
              <w:spacing w:after="0"/>
              <w:rPr>
                <w:sz w:val="17"/>
                <w:szCs w:val="17"/>
                <w:color w:val="auto"/>
              </w:rPr>
            </w:pPr>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32">
              <w:r>
                <w:rPr>
                  <w:rFonts w:ascii="Arial" w:cs="Arial" w:eastAsia="Arial" w:hAnsi="Arial"/>
                  <w:sz w:val="18"/>
                  <w:szCs w:val="18"/>
                  <w:color w:val="0000EE"/>
                  <w:w w:val="91"/>
                </w:rPr>
                <w:t>filed on November 7, 2017).</w:t>
              </w:r>
            </w:hyperlink>
          </w:p>
        </w:tc>
        <w:tc>
          <w:tcPr>
            <w:tcW w:w="8320" w:type="dxa"/>
            <w:vAlign w:val="bottom"/>
            <w:gridSpan w:val="2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4"/>
                <w:szCs w:val="24"/>
                <w:color w:val="auto"/>
              </w:rPr>
            </w:pPr>
          </w:p>
        </w:tc>
        <w:tc>
          <w:tcPr>
            <w:tcW w:w="10360" w:type="dxa"/>
            <w:vAlign w:val="bottom"/>
            <w:tcBorders>
              <w:bottom w:val="single" w:sz="8" w:color="0000EE"/>
            </w:tcBorders>
            <w:gridSpan w:val="34"/>
          </w:tcPr>
          <w:p>
            <w:pPr>
              <w:spacing w:after="0"/>
              <w:rPr>
                <w:rFonts w:ascii="Arial" w:cs="Arial" w:eastAsia="Arial" w:hAnsi="Arial"/>
                <w:sz w:val="18"/>
                <w:szCs w:val="18"/>
                <w:color w:val="0000EE"/>
                <w:w w:val="89"/>
              </w:rPr>
            </w:pPr>
            <w:hyperlink r:id="rId133">
              <w:r>
                <w:rPr>
                  <w:rFonts w:ascii="Arial" w:cs="Arial" w:eastAsia="Arial" w:hAnsi="Arial"/>
                  <w:sz w:val="18"/>
                  <w:szCs w:val="18"/>
                  <w:color w:val="0000EE"/>
                  <w:w w:val="89"/>
                </w:rPr>
                <w:t>Amendment Agreement No. 2, dated June 6, 2018 by and between Eldorado Resorts, Inc. and JPMorgan Chase N.A., as administrative agent in</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6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connection with the Credit Agreement dated as of April 17, 2017 (incorporated by reference to our Quarterly Report on Form 10-Q filed on</w:t>
              </w:r>
            </w:hyperlink>
          </w:p>
        </w:tc>
        <w:tc>
          <w:tcPr>
            <w:tcW w:w="32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33">
              <w:r>
                <w:rPr>
                  <w:rFonts w:ascii="Arial" w:cs="Arial" w:eastAsia="Arial" w:hAnsi="Arial"/>
                  <w:sz w:val="18"/>
                  <w:szCs w:val="18"/>
                  <w:color w:val="0000EE"/>
                  <w:w w:val="90"/>
                </w:rPr>
                <w:t>August 7, 2018).</w:t>
              </w:r>
            </w:hyperlink>
          </w:p>
        </w:tc>
        <w:tc>
          <w:tcPr>
            <w:tcW w:w="9160" w:type="dxa"/>
            <w:vAlign w:val="bottom"/>
            <w:gridSpan w:val="3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4"/>
                <w:szCs w:val="24"/>
                <w:color w:val="auto"/>
              </w:rPr>
            </w:pPr>
          </w:p>
        </w:tc>
        <w:tc>
          <w:tcPr>
            <w:tcW w:w="10380" w:type="dxa"/>
            <w:vAlign w:val="bottom"/>
            <w:gridSpan w:val="35"/>
          </w:tcPr>
          <w:p>
            <w:pPr>
              <w:spacing w:after="0"/>
              <w:rPr>
                <w:rFonts w:ascii="Arial" w:cs="Arial" w:eastAsia="Arial" w:hAnsi="Arial"/>
                <w:sz w:val="18"/>
                <w:szCs w:val="18"/>
                <w:color w:val="0000EE"/>
                <w:w w:val="93"/>
              </w:rPr>
            </w:pPr>
            <w:hyperlink r:id="rId134">
              <w:r>
                <w:rPr>
                  <w:rFonts w:ascii="Arial" w:cs="Arial" w:eastAsia="Arial" w:hAnsi="Arial"/>
                  <w:sz w:val="18"/>
                  <w:szCs w:val="18"/>
                  <w:color w:val="0000EE"/>
                  <w:w w:val="93"/>
                </w:rPr>
                <w:t>Amendment Agreement No. 3, dated October 1, 2018 by and between Eldorado Resorts, Inc. and JPMorgan Chase N.A., as administrative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80" w:type="dxa"/>
            <w:vAlign w:val="bottom"/>
            <w:gridSpan w:val="35"/>
          </w:tcPr>
          <w:p>
            <w:pPr>
              <w:spacing w:after="0" w:line="196" w:lineRule="exact"/>
              <w:rPr>
                <w:rFonts w:ascii="Arial" w:cs="Arial" w:eastAsia="Arial" w:hAnsi="Arial"/>
                <w:sz w:val="18"/>
                <w:szCs w:val="18"/>
                <w:color w:val="0000EE"/>
                <w:w w:val="93"/>
              </w:rPr>
            </w:pPr>
            <w:hyperlink r:id="rId134">
              <w:r>
                <w:rPr>
                  <w:rFonts w:ascii="Arial" w:cs="Arial" w:eastAsia="Arial" w:hAnsi="Arial"/>
                  <w:sz w:val="18"/>
                  <w:szCs w:val="18"/>
                  <w:color w:val="0000EE"/>
                  <w:w w:val="93"/>
                </w:rPr>
                <w:t>agent in connection with the Credit Agreement dated as of April 17, 2017 (incorporated by reference to our Current Report on Form 8-K filed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on October 1, 2018).</w:t>
              </w:r>
            </w:hyperlink>
          </w:p>
        </w:tc>
        <w:tc>
          <w:tcPr>
            <w:tcW w:w="16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4"/>
                <w:szCs w:val="24"/>
                <w:color w:val="auto"/>
              </w:rPr>
            </w:pPr>
          </w:p>
        </w:tc>
        <w:tc>
          <w:tcPr>
            <w:tcW w:w="10380" w:type="dxa"/>
            <w:vAlign w:val="bottom"/>
            <w:gridSpan w:val="35"/>
          </w:tcPr>
          <w:p>
            <w:pPr>
              <w:spacing w:after="0"/>
              <w:rPr>
                <w:rFonts w:ascii="Arial" w:cs="Arial" w:eastAsia="Arial" w:hAnsi="Arial"/>
                <w:sz w:val="18"/>
                <w:szCs w:val="18"/>
                <w:color w:val="0000EE"/>
                <w:w w:val="90"/>
              </w:rPr>
            </w:pPr>
            <w:hyperlink r:id="rId135">
              <w:r>
                <w:rPr>
                  <w:rFonts w:ascii="Arial" w:cs="Arial" w:eastAsia="Arial" w:hAnsi="Arial"/>
                  <w:sz w:val="18"/>
                  <w:szCs w:val="18"/>
                  <w:color w:val="0000EE"/>
                  <w:w w:val="90"/>
                </w:rPr>
                <w:t>Loan Agreement, dated as of October 1, 2018, by and among Eldorado Resorts and GLP Capital, L.P. (incorporated by reference to our Current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135">
              <w:r>
                <w:rPr>
                  <w:rFonts w:ascii="Arial" w:cs="Arial" w:eastAsia="Arial" w:hAnsi="Arial"/>
                  <w:sz w:val="18"/>
                  <w:szCs w:val="18"/>
                  <w:color w:val="0000EE"/>
                  <w:w w:val="92"/>
                </w:rPr>
                <w:t>Report on Form 8-K filed on October 1, 2018).</w:t>
              </w:r>
            </w:hyperlink>
          </w:p>
        </w:tc>
        <w:tc>
          <w:tcPr>
            <w:tcW w:w="6940" w:type="dxa"/>
            <w:vAlign w:val="bottom"/>
            <w:tcBorders>
              <w:top w:val="single" w:sz="8" w:color="0000EE"/>
            </w:tcBorders>
            <w:gridSpan w:val="24"/>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4"/>
                <w:szCs w:val="24"/>
                <w:color w:val="auto"/>
              </w:rPr>
            </w:pPr>
          </w:p>
        </w:tc>
        <w:tc>
          <w:tcPr>
            <w:tcW w:w="9820" w:type="dxa"/>
            <w:vAlign w:val="bottom"/>
            <w:tcBorders>
              <w:bottom w:val="single" w:sz="8" w:color="0000EE"/>
            </w:tcBorders>
            <w:gridSpan w:val="17"/>
          </w:tcPr>
          <w:p>
            <w:pPr>
              <w:spacing w:after="0"/>
              <w:rPr>
                <w:rFonts w:ascii="Arial" w:cs="Arial" w:eastAsia="Arial" w:hAnsi="Arial"/>
                <w:sz w:val="18"/>
                <w:szCs w:val="18"/>
                <w:color w:val="0000EE"/>
                <w:w w:val="89"/>
              </w:rPr>
            </w:pPr>
            <w:hyperlink r:id="rId136">
              <w:r>
                <w:rPr>
                  <w:rFonts w:ascii="Arial" w:cs="Arial" w:eastAsia="Arial" w:hAnsi="Arial"/>
                  <w:sz w:val="18"/>
                  <w:szCs w:val="18"/>
                  <w:color w:val="0000EE"/>
                  <w:w w:val="89"/>
                </w:rPr>
                <w:t>Master Lease, dated as of October 1, 2018, by and among Eldorado Resorts, Inc. and GLP Capital L.P. (incorporated by reference to our</w:t>
              </w:r>
            </w:hyperlink>
          </w:p>
        </w:tc>
        <w:tc>
          <w:tcPr>
            <w:tcW w:w="560" w:type="dxa"/>
            <w:vAlign w:val="bottom"/>
            <w:gridSpan w:val="1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Current Report on Form 8-K filed on October 1, 2018).</w:t>
              </w:r>
            </w:hyperlink>
          </w:p>
        </w:tc>
        <w:tc>
          <w:tcPr>
            <w:tcW w:w="6380" w:type="dxa"/>
            <w:vAlign w:val="bottom"/>
            <w:gridSpan w:val="2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gridSpan w:val="2"/>
          </w:tcPr>
          <w:p>
            <w:pPr>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4"/>
                <w:szCs w:val="24"/>
                <w:color w:val="auto"/>
              </w:rPr>
            </w:pPr>
          </w:p>
        </w:tc>
        <w:tc>
          <w:tcPr>
            <w:tcW w:w="10380" w:type="dxa"/>
            <w:vAlign w:val="bottom"/>
            <w:gridSpan w:val="35"/>
          </w:tcPr>
          <w:p>
            <w:pPr>
              <w:spacing w:after="0"/>
              <w:rPr>
                <w:rFonts w:ascii="Arial" w:cs="Arial" w:eastAsia="Arial" w:hAnsi="Arial"/>
                <w:sz w:val="18"/>
                <w:szCs w:val="18"/>
                <w:color w:val="0000EE"/>
                <w:w w:val="91"/>
              </w:rPr>
            </w:pPr>
            <w:hyperlink r:id="rId137">
              <w:r>
                <w:rPr>
                  <w:rFonts w:ascii="Arial" w:cs="Arial" w:eastAsia="Arial" w:hAnsi="Arial"/>
                  <w:sz w:val="18"/>
                  <w:szCs w:val="18"/>
                  <w:color w:val="0000EE"/>
                  <w:w w:val="91"/>
                </w:rPr>
                <w:t>Registration Rights Agreement, dated as of May 1, 2017, by and among Eldorado Resorts, Inc., Recreational Enterprises, Inc., GFIL Holdings,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r:id="rId137">
              <w:r>
                <w:rPr>
                  <w:rFonts w:ascii="Arial" w:cs="Arial" w:eastAsia="Arial" w:hAnsi="Arial"/>
                  <w:sz w:val="18"/>
                  <w:szCs w:val="18"/>
                  <w:color w:val="0000EE"/>
                  <w:w w:val="92"/>
                </w:rPr>
                <w:t>LLC and certain of its affiliates (incorporated by reference to our Current Report on Form 8-K filed on May 1, 2017).</w:t>
              </w:r>
            </w:hyperlink>
          </w:p>
        </w:tc>
        <w:tc>
          <w:tcPr>
            <w:tcW w:w="1820" w:type="dxa"/>
            <w:vAlign w:val="bottom"/>
            <w:tcBorders>
              <w:top w:val="single" w:sz="8" w:color="0000EE"/>
            </w:tcBorders>
            <w:gridSpan w:val="17"/>
          </w:tcPr>
          <w:p>
            <w:pPr>
              <w:spacing w:after="0"/>
              <w:rPr>
                <w:sz w:val="17"/>
                <w:szCs w:val="17"/>
                <w:color w:val="auto"/>
              </w:rPr>
            </w:pPr>
          </w:p>
        </w:tc>
        <w:tc>
          <w:tcPr>
            <w:tcW w:w="8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4"/>
                <w:szCs w:val="24"/>
                <w:color w:val="auto"/>
              </w:rPr>
            </w:pPr>
          </w:p>
        </w:tc>
        <w:tc>
          <w:tcPr>
            <w:tcW w:w="10380" w:type="dxa"/>
            <w:vAlign w:val="bottom"/>
            <w:gridSpan w:val="35"/>
          </w:tcPr>
          <w:p>
            <w:pPr>
              <w:spacing w:after="0"/>
              <w:rPr>
                <w:rFonts w:ascii="Arial" w:cs="Arial" w:eastAsia="Arial" w:hAnsi="Arial"/>
                <w:sz w:val="18"/>
                <w:szCs w:val="18"/>
                <w:color w:val="0000EE"/>
                <w:w w:val="93"/>
              </w:rPr>
            </w:pPr>
            <w:hyperlink r:id="rId138">
              <w:r>
                <w:rPr>
                  <w:rFonts w:ascii="Arial" w:cs="Arial" w:eastAsia="Arial" w:hAnsi="Arial"/>
                  <w:sz w:val="18"/>
                  <w:szCs w:val="18"/>
                  <w:color w:val="0000EE"/>
                  <w:w w:val="93"/>
                </w:rPr>
                <w:t>Isle of Capri Casinos, Inc. Second Amended and Restated 2009 Long-Term Stock Incentive Plan (incorporated by reference to Isle of Capri</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Casinos, Inc.’s Current Report on Form 8-K filed on October 9, 2015).</w:t>
              </w:r>
            </w:hyperlink>
          </w:p>
        </w:tc>
        <w:tc>
          <w:tcPr>
            <w:tcW w:w="4960" w:type="dxa"/>
            <w:vAlign w:val="bottom"/>
            <w:tcBorders>
              <w:top w:val="single" w:sz="8" w:color="0000EE"/>
            </w:tcBorders>
            <w:gridSpan w:val="10"/>
          </w:tcPr>
          <w:p>
            <w:pPr>
              <w:spacing w:after="0"/>
              <w:rPr>
                <w:sz w:val="17"/>
                <w:szCs w:val="17"/>
                <w:color w:val="auto"/>
              </w:rPr>
            </w:pPr>
          </w:p>
        </w:tc>
        <w:tc>
          <w:tcPr>
            <w:tcW w:w="32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4"/>
                <w:szCs w:val="24"/>
                <w:color w:val="auto"/>
              </w:rPr>
            </w:pPr>
          </w:p>
        </w:tc>
        <w:tc>
          <w:tcPr>
            <w:tcW w:w="10380" w:type="dxa"/>
            <w:vAlign w:val="bottom"/>
            <w:gridSpan w:val="35"/>
          </w:tcPr>
          <w:p>
            <w:pPr>
              <w:spacing w:after="0"/>
              <w:rPr>
                <w:rFonts w:ascii="Arial" w:cs="Arial" w:eastAsia="Arial" w:hAnsi="Arial"/>
                <w:sz w:val="18"/>
                <w:szCs w:val="18"/>
                <w:color w:val="0000EE"/>
                <w:w w:val="94"/>
              </w:rPr>
            </w:pPr>
            <w:hyperlink r:id="rId139">
              <w:r>
                <w:rPr>
                  <w:rFonts w:ascii="Arial" w:cs="Arial" w:eastAsia="Arial" w:hAnsi="Arial"/>
                  <w:sz w:val="18"/>
                  <w:szCs w:val="18"/>
                  <w:color w:val="0000EE"/>
                  <w:w w:val="94"/>
                </w:rPr>
                <w:t>Isle of Capri Casino, Inc. Form of Non-Qualified Stock Option Agreement (incorporated by reference to Isle of Capri Casinos, Inc.’s Annual</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Report on Form 10-K filed on June 17, 2015).</w:t>
              </w:r>
            </w:hyperlink>
          </w:p>
        </w:tc>
        <w:tc>
          <w:tcPr>
            <w:tcW w:w="24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7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24"/>
                <w:szCs w:val="24"/>
                <w:color w:val="auto"/>
              </w:rPr>
            </w:pPr>
          </w:p>
        </w:tc>
        <w:tc>
          <w:tcPr>
            <w:tcW w:w="10380" w:type="dxa"/>
            <w:vAlign w:val="bottom"/>
            <w:gridSpan w:val="35"/>
          </w:tcPr>
          <w:p>
            <w:pPr>
              <w:spacing w:after="0"/>
              <w:rPr>
                <w:rFonts w:ascii="Arial" w:cs="Arial" w:eastAsia="Arial" w:hAnsi="Arial"/>
                <w:sz w:val="18"/>
                <w:szCs w:val="18"/>
                <w:color w:val="0000EE"/>
                <w:w w:val="91"/>
              </w:rPr>
            </w:pPr>
            <w:hyperlink r:id="rId140">
              <w:r>
                <w:rPr>
                  <w:rFonts w:ascii="Arial" w:cs="Arial" w:eastAsia="Arial" w:hAnsi="Arial"/>
                  <w:sz w:val="18"/>
                  <w:szCs w:val="18"/>
                  <w:color w:val="0000EE"/>
                  <w:w w:val="91"/>
                </w:rPr>
                <w:t>Isle of Capri Casino, Inc. Form of Performance Stock Unit Agreement (incorporated by reference to Isle of Capri Casinos, Inc.’s Annual Report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on Form 10-K filed on June 17, 2015).</w:t>
              </w:r>
            </w:hyperlink>
          </w:p>
        </w:tc>
        <w:tc>
          <w:tcPr>
            <w:tcW w:w="7560" w:type="dxa"/>
            <w:vAlign w:val="bottom"/>
            <w:tcBorders>
              <w:top w:val="single" w:sz="8" w:color="0000EE"/>
            </w:tcBorders>
            <w:gridSpan w:val="27"/>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24"/>
                <w:szCs w:val="24"/>
                <w:color w:val="auto"/>
              </w:rPr>
            </w:pPr>
          </w:p>
        </w:tc>
        <w:tc>
          <w:tcPr>
            <w:tcW w:w="10380" w:type="dxa"/>
            <w:vAlign w:val="bottom"/>
            <w:gridSpan w:val="35"/>
          </w:tcPr>
          <w:p>
            <w:pPr>
              <w:spacing w:after="0"/>
              <w:rPr>
                <w:rFonts w:ascii="Arial" w:cs="Arial" w:eastAsia="Arial" w:hAnsi="Arial"/>
                <w:sz w:val="18"/>
                <w:szCs w:val="18"/>
                <w:color w:val="0000EE"/>
                <w:w w:val="93"/>
              </w:rPr>
            </w:pPr>
            <w:hyperlink r:id="rId141">
              <w:r>
                <w:rPr>
                  <w:rFonts w:ascii="Arial" w:cs="Arial" w:eastAsia="Arial" w:hAnsi="Arial"/>
                  <w:sz w:val="18"/>
                  <w:szCs w:val="18"/>
                  <w:color w:val="0000EE"/>
                  <w:w w:val="93"/>
                </w:rPr>
                <w:t>Isle of Capri Casino, Inc. Form of Restricted Stock Unit Agreement (incorporated by reference to Isle of Capri Casinos, Inc.’s Annual Report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on Form 10-K filed on June 17, 2015).</w:t>
              </w:r>
            </w:hyperlink>
          </w:p>
        </w:tc>
        <w:tc>
          <w:tcPr>
            <w:tcW w:w="7380" w:type="dxa"/>
            <w:vAlign w:val="bottom"/>
            <w:tcBorders>
              <w:top w:val="single" w:sz="8" w:color="0000EE"/>
            </w:tcBorders>
            <w:gridSpan w:val="19"/>
          </w:tcPr>
          <w:p>
            <w:pPr>
              <w:spacing w:after="0"/>
              <w:rPr>
                <w:sz w:val="17"/>
                <w:szCs w:val="17"/>
                <w:color w:val="auto"/>
              </w:rPr>
            </w:pPr>
          </w:p>
        </w:tc>
        <w:tc>
          <w:tcPr>
            <w:tcW w:w="20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4"/>
                <w:szCs w:val="24"/>
                <w:color w:val="auto"/>
              </w:rPr>
            </w:pPr>
          </w:p>
        </w:tc>
        <w:tc>
          <w:tcPr>
            <w:tcW w:w="10000" w:type="dxa"/>
            <w:vAlign w:val="bottom"/>
            <w:tcBorders>
              <w:bottom w:val="single" w:sz="8" w:color="0000EE"/>
            </w:tcBorders>
            <w:gridSpan w:val="20"/>
          </w:tcPr>
          <w:p>
            <w:pPr>
              <w:spacing w:after="0"/>
              <w:rPr>
                <w:rFonts w:ascii="Arial" w:cs="Arial" w:eastAsia="Arial" w:hAnsi="Arial"/>
                <w:sz w:val="18"/>
                <w:szCs w:val="18"/>
                <w:color w:val="0000EE"/>
                <w:w w:val="89"/>
              </w:rPr>
            </w:pPr>
            <w:hyperlink r:id="rId142">
              <w:r>
                <w:rPr>
                  <w:rFonts w:ascii="Arial" w:cs="Arial" w:eastAsia="Arial" w:hAnsi="Arial"/>
                  <w:sz w:val="18"/>
                  <w:szCs w:val="18"/>
                  <w:color w:val="0000EE"/>
                  <w:w w:val="89"/>
                </w:rPr>
                <w:t>Amended and Restated Lease, dated as of April 19, 1999, among Port Resources, Inc. and CRU, Inc., as landlords and St. Charles Gaming</w:t>
              </w:r>
            </w:hyperlink>
          </w:p>
        </w:tc>
        <w:tc>
          <w:tcPr>
            <w:tcW w:w="380" w:type="dxa"/>
            <w:vAlign w:val="bottom"/>
            <w:gridSpan w:val="1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80" w:type="dxa"/>
            <w:vAlign w:val="bottom"/>
            <w:gridSpan w:val="35"/>
          </w:tcPr>
          <w:p>
            <w:pPr>
              <w:spacing w:after="0" w:line="196" w:lineRule="exact"/>
              <w:rPr>
                <w:rFonts w:ascii="Arial" w:cs="Arial" w:eastAsia="Arial" w:hAnsi="Arial"/>
                <w:sz w:val="18"/>
                <w:szCs w:val="18"/>
                <w:color w:val="0000EE"/>
                <w:w w:val="92"/>
              </w:rPr>
            </w:pPr>
            <w:hyperlink r:id="rId142">
              <w:r>
                <w:rPr>
                  <w:rFonts w:ascii="Arial" w:cs="Arial" w:eastAsia="Arial" w:hAnsi="Arial"/>
                  <w:sz w:val="18"/>
                  <w:szCs w:val="18"/>
                  <w:color w:val="0000EE"/>
                  <w:w w:val="92"/>
                </w:rPr>
                <w:t>Company, Inc., as tenant (St. Charles) (incorporated by reference to Isle of Capri Casinos, Inc.’s Annual Report on Form 10-K filed on July 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1999).</w:t>
              </w:r>
            </w:hyperlink>
          </w:p>
        </w:tc>
        <w:tc>
          <w:tcPr>
            <w:tcW w:w="6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29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4"/>
                <w:szCs w:val="24"/>
                <w:color w:val="auto"/>
              </w:rPr>
            </w:pPr>
          </w:p>
        </w:tc>
        <w:tc>
          <w:tcPr>
            <w:tcW w:w="10200" w:type="dxa"/>
            <w:vAlign w:val="bottom"/>
            <w:tcBorders>
              <w:bottom w:val="single" w:sz="8" w:color="0000EE"/>
            </w:tcBorders>
            <w:gridSpan w:val="27"/>
          </w:tcPr>
          <w:p>
            <w:pPr>
              <w:spacing w:after="0"/>
              <w:rPr>
                <w:rFonts w:ascii="Arial" w:cs="Arial" w:eastAsia="Arial" w:hAnsi="Arial"/>
                <w:sz w:val="18"/>
                <w:szCs w:val="18"/>
                <w:color w:val="0000EE"/>
                <w:w w:val="90"/>
              </w:rPr>
            </w:pPr>
            <w:hyperlink r:id="rId143">
              <w:r>
                <w:rPr>
                  <w:rFonts w:ascii="Arial" w:cs="Arial" w:eastAsia="Arial" w:hAnsi="Arial"/>
                  <w:sz w:val="18"/>
                  <w:szCs w:val="18"/>
                  <w:color w:val="0000EE"/>
                  <w:w w:val="90"/>
                </w:rPr>
                <w:t>Lease of property in Coahoma, Mississippi, dated as of November 16, 1993, by and among Roger Allen Johnson, Jr., Charles Bryant Johnson</w:t>
              </w:r>
            </w:hyperlink>
          </w:p>
        </w:tc>
        <w:tc>
          <w:tcPr>
            <w:tcW w:w="18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and Magnolia Lady, Inc. (incorporated by reference to Isle of Capri Casinos, Inc.’s Form S-4/A filed on June 19, 2002).</w:t>
              </w:r>
            </w:hyperlink>
          </w:p>
        </w:tc>
        <w:tc>
          <w:tcPr>
            <w:tcW w:w="1760" w:type="dxa"/>
            <w:vAlign w:val="bottom"/>
            <w:gridSpan w:val="2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24"/>
                <w:szCs w:val="24"/>
                <w:color w:val="auto"/>
              </w:rPr>
            </w:pPr>
          </w:p>
        </w:tc>
        <w:tc>
          <w:tcPr>
            <w:tcW w:w="10380" w:type="dxa"/>
            <w:vAlign w:val="bottom"/>
            <w:gridSpan w:val="35"/>
          </w:tcPr>
          <w:p>
            <w:pPr>
              <w:spacing w:after="0"/>
              <w:rPr>
                <w:rFonts w:ascii="Arial" w:cs="Arial" w:eastAsia="Arial" w:hAnsi="Arial"/>
                <w:sz w:val="18"/>
                <w:szCs w:val="18"/>
                <w:color w:val="0000EE"/>
                <w:w w:val="93"/>
              </w:rPr>
            </w:pPr>
            <w:hyperlink r:id="rId144">
              <w:r>
                <w:rPr>
                  <w:rFonts w:ascii="Arial" w:cs="Arial" w:eastAsia="Arial" w:hAnsi="Arial"/>
                  <w:sz w:val="18"/>
                  <w:szCs w:val="18"/>
                  <w:color w:val="0000EE"/>
                  <w:w w:val="93"/>
                </w:rPr>
                <w:t>Addendum to Lease, dated as of June 22, 1994, by and among Roger Allen Johnson, Jr., Charles Bryant Johnson and Magnolia Lady, Inc.</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(incorporated by reference to Isle of Capri Casinos, Inc.’s Annual Report on Form 10-K filed on July 28, 2000).</w:t>
              </w:r>
            </w:hyperlink>
          </w:p>
        </w:tc>
        <w:tc>
          <w:tcPr>
            <w:tcW w:w="1920" w:type="dxa"/>
            <w:vAlign w:val="bottom"/>
            <w:tcBorders>
              <w:top w:val="single" w:sz="8" w:color="0000EE"/>
            </w:tcBorders>
            <w:gridSpan w:val="7"/>
          </w:tcPr>
          <w:p>
            <w:pPr>
              <w:spacing w:after="0"/>
              <w:rPr>
                <w:sz w:val="17"/>
                <w:szCs w:val="17"/>
                <w:color w:val="auto"/>
              </w:rPr>
            </w:pPr>
          </w:p>
        </w:tc>
        <w:tc>
          <w:tcPr>
            <w:tcW w:w="40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4"/>
                <w:szCs w:val="24"/>
                <w:color w:val="auto"/>
              </w:rPr>
            </w:pPr>
          </w:p>
        </w:tc>
        <w:tc>
          <w:tcPr>
            <w:tcW w:w="10380" w:type="dxa"/>
            <w:vAlign w:val="bottom"/>
            <w:tcBorders>
              <w:bottom w:val="single" w:sz="8" w:color="0000EE"/>
            </w:tcBorders>
            <w:gridSpan w:val="35"/>
          </w:tcPr>
          <w:p>
            <w:pPr>
              <w:spacing w:after="0"/>
              <w:rPr>
                <w:rFonts w:ascii="Arial" w:cs="Arial" w:eastAsia="Arial" w:hAnsi="Arial"/>
                <w:sz w:val="18"/>
                <w:szCs w:val="18"/>
                <w:color w:val="0000EE"/>
                <w:w w:val="89"/>
              </w:rPr>
            </w:pPr>
            <w:hyperlink r:id="rId145">
              <w:r>
                <w:rPr>
                  <w:rFonts w:ascii="Arial" w:cs="Arial" w:eastAsia="Arial" w:hAnsi="Arial"/>
                  <w:sz w:val="18"/>
                  <w:szCs w:val="18"/>
                  <w:color w:val="0000EE"/>
                  <w:w w:val="89"/>
                </w:rPr>
                <w:t>Second addendum to Lease, dated as of October 17, 1995, by and among Roger Allen Johnson, Jr., Charles Bryant Johnson and Magnolia Lady,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Inc. (incorporated by reference to Isle of Capri Casinos, Inc.’s Annual Report on Form 10-K filed on July 28, 2000).</w:t>
              </w:r>
            </w:hyperlink>
          </w:p>
        </w:tc>
        <w:tc>
          <w:tcPr>
            <w:tcW w:w="2000" w:type="dxa"/>
            <w:vAlign w:val="bottom"/>
            <w:gridSpan w:val="2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24"/>
                <w:szCs w:val="24"/>
                <w:color w:val="auto"/>
              </w:rPr>
            </w:pPr>
          </w:p>
        </w:tc>
        <w:tc>
          <w:tcPr>
            <w:tcW w:w="10380" w:type="dxa"/>
            <w:vAlign w:val="bottom"/>
            <w:gridSpan w:val="35"/>
          </w:tcPr>
          <w:p>
            <w:pPr>
              <w:spacing w:after="0"/>
              <w:rPr>
                <w:rFonts w:ascii="Arial" w:cs="Arial" w:eastAsia="Arial" w:hAnsi="Arial"/>
                <w:sz w:val="18"/>
                <w:szCs w:val="18"/>
                <w:color w:val="0000EE"/>
                <w:w w:val="94"/>
              </w:rPr>
            </w:pPr>
            <w:hyperlink r:id="rId146">
              <w:r>
                <w:rPr>
                  <w:rFonts w:ascii="Arial" w:cs="Arial" w:eastAsia="Arial" w:hAnsi="Arial"/>
                  <w:sz w:val="18"/>
                  <w:szCs w:val="18"/>
                  <w:color w:val="0000EE"/>
                  <w:w w:val="94"/>
                </w:rPr>
                <w:t>Master Lease, dated as of July 18, 1997, by and between The City of Boonville, Missouri and IOC-Boonville, Inc. formerly known as Davis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r:id="rId146">
              <w:r>
                <w:rPr>
                  <w:rFonts w:ascii="Arial" w:cs="Arial" w:eastAsia="Arial" w:hAnsi="Arial"/>
                  <w:sz w:val="18"/>
                  <w:szCs w:val="18"/>
                  <w:color w:val="0000EE"/>
                  <w:w w:val="92"/>
                </w:rPr>
                <w:t>Gaming Boonville, Inc. (incorporated by reference to Isle of Capri Casinos, Inc.’s Annual Report on Form 10-K filed on July 11, 2008).</w:t>
              </w:r>
            </w:hyperlink>
          </w:p>
        </w:tc>
        <w:tc>
          <w:tcPr>
            <w:tcW w:w="300" w:type="dxa"/>
            <w:vAlign w:val="bottom"/>
            <w:tcBorders>
              <w:top w:val="single" w:sz="8" w:color="0000EE"/>
            </w:tcBorders>
            <w:gridSpan w:val="7"/>
          </w:tcPr>
          <w:p>
            <w:pPr>
              <w:spacing w:after="0"/>
              <w:rPr>
                <w:sz w:val="17"/>
                <w:szCs w:val="17"/>
                <w:color w:val="auto"/>
              </w:rPr>
            </w:pPr>
          </w:p>
        </w:tc>
        <w:tc>
          <w:tcPr>
            <w:tcW w:w="28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24"/>
                <w:szCs w:val="24"/>
                <w:color w:val="auto"/>
              </w:rPr>
            </w:pPr>
          </w:p>
        </w:tc>
        <w:tc>
          <w:tcPr>
            <w:tcW w:w="10120" w:type="dxa"/>
            <w:vAlign w:val="bottom"/>
            <w:tcBorders>
              <w:bottom w:val="single" w:sz="8" w:color="0000EE"/>
            </w:tcBorders>
            <w:gridSpan w:val="24"/>
          </w:tcPr>
          <w:p>
            <w:pPr>
              <w:spacing w:after="0"/>
              <w:rPr>
                <w:rFonts w:ascii="Arial" w:cs="Arial" w:eastAsia="Arial" w:hAnsi="Arial"/>
                <w:sz w:val="18"/>
                <w:szCs w:val="18"/>
                <w:color w:val="0000EE"/>
                <w:w w:val="92"/>
              </w:rPr>
            </w:pPr>
            <w:hyperlink r:id="rId147">
              <w:r>
                <w:rPr>
                  <w:rFonts w:ascii="Arial" w:cs="Arial" w:eastAsia="Arial" w:hAnsi="Arial"/>
                  <w:sz w:val="18"/>
                  <w:szCs w:val="18"/>
                  <w:color w:val="0000EE"/>
                  <w:w w:val="92"/>
                </w:rPr>
                <w:t>Amendment to Master Lease, dated as of April 19, 1999, by and between The City of Boonville, Missouri and IOC-Boonville, Inc. formerly</w:t>
              </w:r>
            </w:hyperlink>
          </w:p>
        </w:tc>
        <w:tc>
          <w:tcPr>
            <w:tcW w:w="26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8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47">
              <w:r>
                <w:rPr>
                  <w:rFonts w:ascii="Arial" w:cs="Arial" w:eastAsia="Arial" w:hAnsi="Arial"/>
                  <w:sz w:val="18"/>
                  <w:szCs w:val="18"/>
                  <w:color w:val="0000EE"/>
                  <w:w w:val="92"/>
                </w:rPr>
                <w:t>known as Davis Gaming Boonville, Inc. (incorporated by reference to Isle of Capri Casinos, Inc.’s Annual Report on Form 10-K filed on</w:t>
              </w:r>
            </w:hyperlink>
          </w:p>
        </w:tc>
        <w:tc>
          <w:tcPr>
            <w:tcW w:w="50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80" w:type="dxa"/>
            <w:vAlign w:val="bottom"/>
            <w:gridSpan w:val="35"/>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July 11, 2008).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400" w:type="dxa"/>
            <w:vAlign w:val="bottom"/>
            <w:gridSpan w:val="17"/>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4"/>
                <w:szCs w:val="24"/>
                <w:color w:val="auto"/>
              </w:rPr>
            </w:pPr>
          </w:p>
        </w:tc>
        <w:tc>
          <w:tcPr>
            <w:tcW w:w="10380" w:type="dxa"/>
            <w:vAlign w:val="bottom"/>
            <w:gridSpan w:val="35"/>
          </w:tcPr>
          <w:p>
            <w:pPr>
              <w:spacing w:after="0"/>
              <w:rPr>
                <w:rFonts w:ascii="Arial" w:cs="Arial" w:eastAsia="Arial" w:hAnsi="Arial"/>
                <w:sz w:val="18"/>
                <w:szCs w:val="18"/>
                <w:color w:val="0000EE"/>
                <w:w w:val="93"/>
              </w:rPr>
            </w:pPr>
            <w:hyperlink r:id="rId148">
              <w:r>
                <w:rPr>
                  <w:rFonts w:ascii="Arial" w:cs="Arial" w:eastAsia="Arial" w:hAnsi="Arial"/>
                  <w:sz w:val="18"/>
                  <w:szCs w:val="18"/>
                  <w:color w:val="0000EE"/>
                  <w:w w:val="93"/>
                </w:rPr>
                <w:t>Second Amendment to Master Lease, dated as of September 17, 2001, by and between The City of Boonville, Missouri and IOC-Boonville,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5"/>
            <w:shd w:val="clear" w:color="auto" w:fill="0000EE"/>
          </w:tcPr>
          <w:p>
            <w:pPr>
              <w:spacing w:after="0" w:line="20" w:lineRule="exact"/>
              <w:rPr>
                <w:sz w:val="1"/>
                <w:szCs w:val="1"/>
                <w:color w:val="auto"/>
              </w:rPr>
            </w:pPr>
          </w:p>
        </w:tc>
        <w:tc>
          <w:tcPr>
            <w:tcW w:w="8400" w:type="dxa"/>
            <w:vAlign w:val="bottom"/>
            <w:gridSpan w:val="17"/>
            <w:shd w:val="clear" w:color="auto" w:fill="0000EE"/>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80" w:type="dxa"/>
            <w:vAlign w:val="bottom"/>
            <w:gridSpan w:val="35"/>
          </w:tcPr>
          <w:p>
            <w:pPr>
              <w:spacing w:after="0" w:line="196" w:lineRule="exact"/>
              <w:rPr>
                <w:rFonts w:ascii="Arial" w:cs="Arial" w:eastAsia="Arial" w:hAnsi="Arial"/>
                <w:sz w:val="18"/>
                <w:szCs w:val="18"/>
                <w:color w:val="0000EE"/>
                <w:w w:val="93"/>
              </w:rPr>
            </w:pPr>
            <w:hyperlink r:id="rId148">
              <w:r>
                <w:rPr>
                  <w:rFonts w:ascii="Arial" w:cs="Arial" w:eastAsia="Arial" w:hAnsi="Arial"/>
                  <w:sz w:val="18"/>
                  <w:szCs w:val="18"/>
                  <w:color w:val="0000EE"/>
                  <w:w w:val="93"/>
                </w:rPr>
                <w:t>Inc. formerly known as Davis Gaming Boonville, Inc. (incorporated by reference to Isle of Capri Casinos, Inc.’s Annual Report on Form 10-K</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6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filed on July 11, 2008).</w:t>
              </w:r>
            </w:hyperlink>
          </w:p>
        </w:tc>
        <w:tc>
          <w:tcPr>
            <w:tcW w:w="12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Borders>
              <w:top w:val="single" w:sz="8" w:color="0000EE"/>
            </w:tcBorders>
            <w:gridSpan w:val="5"/>
          </w:tcPr>
          <w:p>
            <w:pPr>
              <w:spacing w:after="0"/>
              <w:rPr>
                <w:sz w:val="24"/>
                <w:szCs w:val="24"/>
                <w:color w:val="auto"/>
              </w:rPr>
            </w:pPr>
          </w:p>
        </w:tc>
        <w:tc>
          <w:tcPr>
            <w:tcW w:w="3420" w:type="dxa"/>
            <w:vAlign w:val="bottom"/>
            <w:gridSpan w:val="6"/>
          </w:tcPr>
          <w:p>
            <w:pPr>
              <w:jc w:val="right"/>
              <w:ind w:right="268"/>
              <w:spacing w:after="0"/>
              <w:rPr>
                <w:sz w:val="20"/>
                <w:szCs w:val="20"/>
                <w:color w:val="auto"/>
              </w:rPr>
            </w:pPr>
            <w:r>
              <w:rPr>
                <w:rFonts w:ascii="Arial" w:cs="Arial" w:eastAsia="Arial" w:hAnsi="Arial"/>
                <w:sz w:val="18"/>
                <w:szCs w:val="18"/>
                <w:color w:val="auto"/>
              </w:rPr>
              <w:t>69</w:t>
            </w:r>
          </w:p>
        </w:tc>
        <w:tc>
          <w:tcPr>
            <w:tcW w:w="2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0" w:right="2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EXHIBIT</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080" w:type="dxa"/>
            <w:vAlign w:val="bottom"/>
            <w:gridSpan w:val="23"/>
            <w:vMerge w:val="restart"/>
          </w:tcPr>
          <w:p>
            <w:pPr>
              <w:ind w:left="460"/>
              <w:spacing w:after="0"/>
              <w:rPr>
                <w:sz w:val="20"/>
                <w:szCs w:val="20"/>
                <w:color w:val="auto"/>
              </w:rPr>
            </w:pPr>
            <w:r>
              <w:rPr>
                <w:rFonts w:ascii="Arial" w:cs="Arial" w:eastAsia="Arial" w:hAnsi="Arial"/>
                <w:sz w:val="14"/>
                <w:szCs w:val="14"/>
                <w:b w:val="1"/>
                <w:bCs w:val="1"/>
                <w:color w:val="auto"/>
              </w:rPr>
              <w:t>ITEM TITLE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NO.</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080" w:type="dxa"/>
            <w:vAlign w:val="bottom"/>
            <w:gridSpan w:val="23"/>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Borders>
              <w:top w:val="single" w:sz="8" w:color="auto"/>
            </w:tcBorders>
          </w:tcPr>
          <w:p>
            <w:pPr>
              <w:jc w:val="right"/>
              <w:ind w:right="442"/>
              <w:spacing w:after="0" w:line="170" w:lineRule="exact"/>
              <w:rPr>
                <w:sz w:val="20"/>
                <w:szCs w:val="20"/>
                <w:color w:val="auto"/>
              </w:rPr>
            </w:pPr>
            <w:r>
              <w:rPr>
                <w:rFonts w:ascii="Arial" w:cs="Arial" w:eastAsia="Arial" w:hAnsi="Arial"/>
                <w:sz w:val="18"/>
                <w:szCs w:val="18"/>
                <w:color w:val="auto"/>
                <w:w w:val="84"/>
              </w:rPr>
              <w:t>10.51</w:t>
            </w:r>
          </w:p>
        </w:tc>
        <w:tc>
          <w:tcPr>
            <w:tcW w:w="100" w:type="dxa"/>
            <w:vAlign w:val="bottom"/>
          </w:tcPr>
          <w:p>
            <w:pPr>
              <w:spacing w:after="0"/>
              <w:rPr>
                <w:sz w:val="14"/>
                <w:szCs w:val="14"/>
                <w:color w:val="auto"/>
              </w:rPr>
            </w:pPr>
          </w:p>
        </w:tc>
        <w:tc>
          <w:tcPr>
            <w:tcW w:w="10380" w:type="dxa"/>
            <w:vAlign w:val="bottom"/>
            <w:tcBorders>
              <w:top w:val="single" w:sz="8" w:color="auto"/>
            </w:tcBorders>
            <w:gridSpan w:val="28"/>
          </w:tcPr>
          <w:p>
            <w:pPr>
              <w:spacing w:after="0" w:line="170" w:lineRule="exact"/>
              <w:rPr>
                <w:rFonts w:ascii="Arial" w:cs="Arial" w:eastAsia="Arial" w:hAnsi="Arial"/>
                <w:sz w:val="18"/>
                <w:szCs w:val="18"/>
                <w:color w:val="0000EE"/>
                <w:w w:val="93"/>
              </w:rPr>
            </w:pPr>
            <w:hyperlink r:id="rId151">
              <w:r>
                <w:rPr>
                  <w:rFonts w:ascii="Arial" w:cs="Arial" w:eastAsia="Arial" w:hAnsi="Arial"/>
                  <w:sz w:val="18"/>
                  <w:szCs w:val="18"/>
                  <w:color w:val="0000EE"/>
                  <w:w w:val="93"/>
                </w:rPr>
                <w:t>Third Amendment to Master Lease, dated as of November 19, 2001, by and between The City of Boonville, Missouri and IOC-Boonville, Inc.</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4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2"/>
              </w:rPr>
            </w:pPr>
            <w:hyperlink r:id="rId151">
              <w:r>
                <w:rPr>
                  <w:rFonts w:ascii="Arial" w:cs="Arial" w:eastAsia="Arial" w:hAnsi="Arial"/>
                  <w:sz w:val="18"/>
                  <w:szCs w:val="18"/>
                  <w:color w:val="0000EE"/>
                  <w:w w:val="92"/>
                </w:rPr>
                <w:t>formerly known as Gold River's Boonville Resort, Inc. and Davis Gaming Boonville, Inc. (incorporated by reference to Isle of Capri Casinos,</w:t>
              </w:r>
            </w:hyperlink>
          </w:p>
        </w:tc>
        <w:tc>
          <w:tcPr>
            <w:tcW w:w="20" w:type="dxa"/>
            <w:vAlign w:val="bottom"/>
            <w:tcBorders>
              <w:top w:val="single" w:sz="8" w:color="0000EE"/>
            </w:tcBorders>
          </w:tcPr>
          <w:p>
            <w:pPr>
              <w:spacing w:after="0"/>
              <w:rPr>
                <w:sz w:val="17"/>
                <w:szCs w:val="17"/>
                <w:color w:val="auto"/>
              </w:rPr>
            </w:pPr>
          </w:p>
        </w:tc>
        <w:tc>
          <w:tcPr>
            <w:tcW w:w="12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80" w:type="dxa"/>
            <w:vAlign w:val="bottom"/>
            <w:gridSpan w:val="28"/>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Inc.’s Annual Report on Form 10-K filed on July 11, 2008).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2"/>
          </w:tcPr>
          <w:p>
            <w:pPr>
              <w:jc w:val="right"/>
              <w:ind w:right="442"/>
              <w:spacing w:after="0"/>
              <w:rPr>
                <w:sz w:val="20"/>
                <w:szCs w:val="20"/>
                <w:color w:val="auto"/>
              </w:rPr>
            </w:pPr>
            <w:r>
              <w:rPr>
                <w:rFonts w:ascii="Arial" w:cs="Arial" w:eastAsia="Arial" w:hAnsi="Arial"/>
                <w:sz w:val="18"/>
                <w:szCs w:val="18"/>
                <w:color w:val="auto"/>
                <w:w w:val="88"/>
              </w:rPr>
              <w:t>10.52</w:t>
            </w:r>
          </w:p>
        </w:tc>
        <w:tc>
          <w:tcPr>
            <w:tcW w:w="100" w:type="dxa"/>
            <w:vAlign w:val="bottom"/>
          </w:tcPr>
          <w:p>
            <w:pPr>
              <w:spacing w:after="0"/>
              <w:rPr>
                <w:sz w:val="24"/>
                <w:szCs w:val="24"/>
                <w:color w:val="auto"/>
              </w:rPr>
            </w:pPr>
          </w:p>
        </w:tc>
        <w:tc>
          <w:tcPr>
            <w:tcW w:w="10380" w:type="dxa"/>
            <w:vAlign w:val="bottom"/>
            <w:gridSpan w:val="28"/>
          </w:tcPr>
          <w:p>
            <w:pPr>
              <w:spacing w:after="0"/>
              <w:rPr>
                <w:rFonts w:ascii="Arial" w:cs="Arial" w:eastAsia="Arial" w:hAnsi="Arial"/>
                <w:sz w:val="18"/>
                <w:szCs w:val="18"/>
                <w:color w:val="0000EE"/>
                <w:w w:val="90"/>
              </w:rPr>
            </w:pPr>
            <w:hyperlink r:id="rId152">
              <w:r>
                <w:rPr>
                  <w:rFonts w:ascii="Arial" w:cs="Arial" w:eastAsia="Arial" w:hAnsi="Arial"/>
                  <w:sz w:val="18"/>
                  <w:szCs w:val="18"/>
                  <w:color w:val="0000EE"/>
                  <w:w w:val="90"/>
                </w:rPr>
                <w:t>Amended and Restated Lease Agreement, dated as of August 21, 1995, by and between the Port Authority of Kansas City, Missouri and Tenant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(incorporated by reference to Isle of Capri Casinos, Inc.’s Annual Report on Form 10-K filed on June 25, 2009).</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7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2"/>
          </w:tcPr>
          <w:p>
            <w:pPr>
              <w:jc w:val="right"/>
              <w:ind w:right="442"/>
              <w:spacing w:after="0"/>
              <w:rPr>
                <w:sz w:val="20"/>
                <w:szCs w:val="20"/>
                <w:color w:val="auto"/>
              </w:rPr>
            </w:pPr>
            <w:r>
              <w:rPr>
                <w:rFonts w:ascii="Arial" w:cs="Arial" w:eastAsia="Arial" w:hAnsi="Arial"/>
                <w:sz w:val="18"/>
                <w:szCs w:val="18"/>
                <w:color w:val="auto"/>
                <w:w w:val="88"/>
              </w:rPr>
              <w:t>10.53</w:t>
            </w:r>
          </w:p>
        </w:tc>
        <w:tc>
          <w:tcPr>
            <w:tcW w:w="100" w:type="dxa"/>
            <w:vAlign w:val="bottom"/>
          </w:tcPr>
          <w:p>
            <w:pPr>
              <w:spacing w:after="0"/>
              <w:rPr>
                <w:sz w:val="24"/>
                <w:szCs w:val="24"/>
                <w:color w:val="auto"/>
              </w:rPr>
            </w:pPr>
          </w:p>
        </w:tc>
        <w:tc>
          <w:tcPr>
            <w:tcW w:w="10380" w:type="dxa"/>
            <w:vAlign w:val="bottom"/>
            <w:tcBorders>
              <w:bottom w:val="single" w:sz="8" w:color="0000EE"/>
            </w:tcBorders>
            <w:gridSpan w:val="28"/>
          </w:tcPr>
          <w:p>
            <w:pPr>
              <w:spacing w:after="0"/>
              <w:rPr>
                <w:rFonts w:ascii="Arial" w:cs="Arial" w:eastAsia="Arial" w:hAnsi="Arial"/>
                <w:sz w:val="18"/>
                <w:szCs w:val="18"/>
                <w:color w:val="0000EE"/>
                <w:w w:val="90"/>
              </w:rPr>
            </w:pPr>
            <w:hyperlink r:id="rId153">
              <w:r>
                <w:rPr>
                  <w:rFonts w:ascii="Arial" w:cs="Arial" w:eastAsia="Arial" w:hAnsi="Arial"/>
                  <w:sz w:val="18"/>
                  <w:szCs w:val="18"/>
                  <w:color w:val="0000EE"/>
                  <w:w w:val="90"/>
                </w:rPr>
                <w:t>First Amendment to Amended and Restated Lease Agreement, dated as of October 31, 1995, by and between the Port Authority of Kansas City,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80" w:type="dxa"/>
            <w:vAlign w:val="bottom"/>
            <w:gridSpan w:val="28"/>
          </w:tcPr>
          <w:p>
            <w:pPr>
              <w:spacing w:after="0" w:line="196" w:lineRule="exact"/>
              <w:rPr>
                <w:rFonts w:ascii="Arial" w:cs="Arial" w:eastAsia="Arial" w:hAnsi="Arial"/>
                <w:sz w:val="18"/>
                <w:szCs w:val="18"/>
                <w:color w:val="0000EE"/>
                <w:w w:val="98"/>
              </w:rPr>
            </w:pPr>
            <w:hyperlink r:id="rId153">
              <w:r>
                <w:rPr>
                  <w:rFonts w:ascii="Arial" w:cs="Arial" w:eastAsia="Arial" w:hAnsi="Arial"/>
                  <w:sz w:val="18"/>
                  <w:szCs w:val="18"/>
                  <w:color w:val="0000EE"/>
                  <w:w w:val="98"/>
                </w:rPr>
                <w:t>Missouri and Tenant (incorporated by reference to Isle of Capri Casinos, Inc.’s Annual Report on Form 10-K filed on June 25, 2009).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7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2"/>
          </w:tcPr>
          <w:p>
            <w:pPr>
              <w:jc w:val="right"/>
              <w:ind w:right="442"/>
              <w:spacing w:after="0"/>
              <w:rPr>
                <w:sz w:val="20"/>
                <w:szCs w:val="20"/>
                <w:color w:val="auto"/>
              </w:rPr>
            </w:pPr>
            <w:r>
              <w:rPr>
                <w:rFonts w:ascii="Arial" w:cs="Arial" w:eastAsia="Arial" w:hAnsi="Arial"/>
                <w:sz w:val="18"/>
                <w:szCs w:val="18"/>
                <w:color w:val="auto"/>
                <w:w w:val="88"/>
              </w:rPr>
              <w:t>10.54</w:t>
            </w:r>
          </w:p>
        </w:tc>
        <w:tc>
          <w:tcPr>
            <w:tcW w:w="100" w:type="dxa"/>
            <w:vAlign w:val="bottom"/>
          </w:tcPr>
          <w:p>
            <w:pPr>
              <w:spacing w:after="0"/>
              <w:rPr>
                <w:sz w:val="24"/>
                <w:szCs w:val="24"/>
                <w:color w:val="auto"/>
              </w:rPr>
            </w:pPr>
          </w:p>
        </w:tc>
        <w:tc>
          <w:tcPr>
            <w:tcW w:w="10380" w:type="dxa"/>
            <w:vAlign w:val="bottom"/>
            <w:gridSpan w:val="28"/>
          </w:tcPr>
          <w:p>
            <w:pPr>
              <w:spacing w:after="0"/>
              <w:rPr>
                <w:rFonts w:ascii="Arial" w:cs="Arial" w:eastAsia="Arial" w:hAnsi="Arial"/>
                <w:sz w:val="18"/>
                <w:szCs w:val="18"/>
                <w:color w:val="0000EE"/>
                <w:w w:val="90"/>
              </w:rPr>
            </w:pPr>
            <w:hyperlink r:id="rId154">
              <w:r>
                <w:rPr>
                  <w:rFonts w:ascii="Arial" w:cs="Arial" w:eastAsia="Arial" w:hAnsi="Arial"/>
                  <w:sz w:val="18"/>
                  <w:szCs w:val="18"/>
                  <w:color w:val="0000EE"/>
                  <w:w w:val="90"/>
                </w:rPr>
                <w:t>Second Amendment to Amended and Restated Lease Agreement, dated as of June 10, 1996, by and between the Port Authority of Kansas City,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20" w:type="dxa"/>
            <w:vAlign w:val="bottom"/>
            <w:tcBorders>
              <w:top w:val="single" w:sz="8" w:color="0000EE"/>
            </w:tcBorders>
            <w:gridSpan w:val="26"/>
          </w:tcPr>
          <w:p>
            <w:pPr>
              <w:spacing w:after="0" w:line="196" w:lineRule="exact"/>
              <w:rPr>
                <w:rFonts w:ascii="Arial" w:cs="Arial" w:eastAsia="Arial" w:hAnsi="Arial"/>
                <w:sz w:val="18"/>
                <w:szCs w:val="18"/>
                <w:color w:val="0000EE"/>
                <w:w w:val="98"/>
              </w:rPr>
            </w:pPr>
            <w:hyperlink r:id="rId154">
              <w:r>
                <w:rPr>
                  <w:rFonts w:ascii="Arial" w:cs="Arial" w:eastAsia="Arial" w:hAnsi="Arial"/>
                  <w:sz w:val="18"/>
                  <w:szCs w:val="18"/>
                  <w:color w:val="0000EE"/>
                  <w:w w:val="98"/>
                </w:rPr>
                <w:t>Missouri and Tenant (incorporated by reference to Isle of Capri Casinos, Inc.’s Annual Report on Form 10-K filed on June 25, 2009).</w:t>
              </w:r>
            </w:hyperlink>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7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2"/>
          </w:tcPr>
          <w:p>
            <w:pPr>
              <w:jc w:val="right"/>
              <w:ind w:right="442"/>
              <w:spacing w:after="0"/>
              <w:rPr>
                <w:sz w:val="20"/>
                <w:szCs w:val="20"/>
                <w:color w:val="auto"/>
              </w:rPr>
            </w:pPr>
            <w:r>
              <w:rPr>
                <w:rFonts w:ascii="Arial" w:cs="Arial" w:eastAsia="Arial" w:hAnsi="Arial"/>
                <w:sz w:val="18"/>
                <w:szCs w:val="18"/>
                <w:color w:val="auto"/>
                <w:w w:val="88"/>
              </w:rPr>
              <w:t>10.55</w:t>
            </w:r>
          </w:p>
        </w:tc>
        <w:tc>
          <w:tcPr>
            <w:tcW w:w="100" w:type="dxa"/>
            <w:vAlign w:val="bottom"/>
          </w:tcPr>
          <w:p>
            <w:pPr>
              <w:spacing w:after="0"/>
              <w:rPr>
                <w:sz w:val="24"/>
                <w:szCs w:val="24"/>
                <w:color w:val="auto"/>
              </w:rPr>
            </w:pPr>
          </w:p>
        </w:tc>
        <w:tc>
          <w:tcPr>
            <w:tcW w:w="10380" w:type="dxa"/>
            <w:vAlign w:val="bottom"/>
            <w:gridSpan w:val="28"/>
          </w:tcPr>
          <w:p>
            <w:pPr>
              <w:spacing w:after="0"/>
              <w:rPr>
                <w:rFonts w:ascii="Arial" w:cs="Arial" w:eastAsia="Arial" w:hAnsi="Arial"/>
                <w:sz w:val="18"/>
                <w:szCs w:val="18"/>
                <w:color w:val="0000EE"/>
                <w:w w:val="92"/>
              </w:rPr>
            </w:pPr>
            <w:hyperlink r:id="rId155">
              <w:r>
                <w:rPr>
                  <w:rFonts w:ascii="Arial" w:cs="Arial" w:eastAsia="Arial" w:hAnsi="Arial"/>
                  <w:sz w:val="18"/>
                  <w:szCs w:val="18"/>
                  <w:color w:val="0000EE"/>
                  <w:w w:val="92"/>
                </w:rPr>
                <w:t>Assignment and Assumption Agreement (Lease Agreement), dated as of June 6, 2000, by and among Flamingo Hilton Riverboat Casino, LP,</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7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80" w:type="dxa"/>
            <w:vAlign w:val="bottom"/>
            <w:gridSpan w:val="28"/>
          </w:tcPr>
          <w:p>
            <w:pPr>
              <w:spacing w:after="0" w:line="196" w:lineRule="exact"/>
              <w:rPr>
                <w:rFonts w:ascii="Arial" w:cs="Arial" w:eastAsia="Arial" w:hAnsi="Arial"/>
                <w:sz w:val="18"/>
                <w:szCs w:val="18"/>
                <w:color w:val="0000EE"/>
                <w:w w:val="93"/>
              </w:rPr>
            </w:pPr>
            <w:hyperlink r:id="rId155">
              <w:r>
                <w:rPr>
                  <w:rFonts w:ascii="Arial" w:cs="Arial" w:eastAsia="Arial" w:hAnsi="Arial"/>
                  <w:sz w:val="18"/>
                  <w:szCs w:val="18"/>
                  <w:color w:val="0000EE"/>
                  <w:w w:val="93"/>
                </w:rPr>
                <w:t>Isle of Capri Casinos, Inc. and IOC-Kansas City, Inc. (incorporated by reference to Isle of Capri Casinos, Inc.’s Annual Report on Form 10-K</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filed on July 11, 2008).</w:t>
              </w:r>
            </w:hyperlink>
          </w:p>
        </w:tc>
        <w:tc>
          <w:tcPr>
            <w:tcW w:w="18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2"/>
          </w:tcPr>
          <w:p>
            <w:pPr>
              <w:jc w:val="right"/>
              <w:ind w:right="442"/>
              <w:spacing w:after="0"/>
              <w:rPr>
                <w:sz w:val="20"/>
                <w:szCs w:val="20"/>
                <w:color w:val="auto"/>
              </w:rPr>
            </w:pPr>
            <w:r>
              <w:rPr>
                <w:rFonts w:ascii="Arial" w:cs="Arial" w:eastAsia="Arial" w:hAnsi="Arial"/>
                <w:sz w:val="18"/>
                <w:szCs w:val="18"/>
                <w:color w:val="auto"/>
                <w:w w:val="88"/>
              </w:rPr>
              <w:t>10.56</w:t>
            </w:r>
          </w:p>
        </w:tc>
        <w:tc>
          <w:tcPr>
            <w:tcW w:w="100" w:type="dxa"/>
            <w:vAlign w:val="bottom"/>
          </w:tcPr>
          <w:p>
            <w:pPr>
              <w:spacing w:after="0"/>
              <w:rPr>
                <w:sz w:val="24"/>
                <w:szCs w:val="24"/>
                <w:color w:val="auto"/>
              </w:rPr>
            </w:pPr>
          </w:p>
        </w:tc>
        <w:tc>
          <w:tcPr>
            <w:tcW w:w="10100" w:type="dxa"/>
            <w:vAlign w:val="bottom"/>
            <w:tcBorders>
              <w:bottom w:val="single" w:sz="8" w:color="0000EE"/>
            </w:tcBorders>
            <w:gridSpan w:val="18"/>
          </w:tcPr>
          <w:p>
            <w:pPr>
              <w:spacing w:after="0"/>
              <w:rPr>
                <w:rFonts w:ascii="Arial" w:cs="Arial" w:eastAsia="Arial" w:hAnsi="Arial"/>
                <w:sz w:val="18"/>
                <w:szCs w:val="18"/>
                <w:color w:val="0000EE"/>
                <w:w w:val="91"/>
              </w:rPr>
            </w:pPr>
            <w:hyperlink r:id="rId156">
              <w:r>
                <w:rPr>
                  <w:rFonts w:ascii="Arial" w:cs="Arial" w:eastAsia="Arial" w:hAnsi="Arial"/>
                  <w:sz w:val="18"/>
                  <w:szCs w:val="18"/>
                  <w:color w:val="0000EE"/>
                  <w:w w:val="91"/>
                </w:rPr>
                <w:t>Lease and Agreement-Spring 1995, dated as of August 15, 1995, by and between Andrianakos Limited Liability Company and Isle of Capri</w:t>
              </w:r>
            </w:hyperlink>
          </w:p>
        </w:tc>
        <w:tc>
          <w:tcPr>
            <w:tcW w:w="28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56">
              <w:r>
                <w:rPr>
                  <w:rFonts w:ascii="Arial" w:cs="Arial" w:eastAsia="Arial" w:hAnsi="Arial"/>
                  <w:sz w:val="18"/>
                  <w:szCs w:val="18"/>
                  <w:color w:val="0000EE"/>
                  <w:w w:val="92"/>
                </w:rPr>
                <w:t>Black Hawk, L.L.C. (incorporated by reference to Isle of Capri Casinos, Inc.’s Annual Report on Form 10-K filed on July 11, 2008).</w:t>
              </w:r>
            </w:hyperlink>
          </w:p>
        </w:tc>
        <w:tc>
          <w:tcPr>
            <w:tcW w:w="78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jc w:val="right"/>
              <w:ind w:right="442"/>
              <w:spacing w:after="0"/>
              <w:rPr>
                <w:sz w:val="20"/>
                <w:szCs w:val="20"/>
                <w:color w:val="auto"/>
              </w:rPr>
            </w:pPr>
            <w:r>
              <w:rPr>
                <w:rFonts w:ascii="Arial" w:cs="Arial" w:eastAsia="Arial" w:hAnsi="Arial"/>
                <w:sz w:val="18"/>
                <w:szCs w:val="18"/>
                <w:color w:val="auto"/>
                <w:w w:val="88"/>
              </w:rPr>
              <w:t>10.57</w:t>
            </w:r>
          </w:p>
        </w:tc>
        <w:tc>
          <w:tcPr>
            <w:tcW w:w="100" w:type="dxa"/>
            <w:vAlign w:val="bottom"/>
          </w:tcPr>
          <w:p>
            <w:pPr>
              <w:spacing w:after="0"/>
              <w:rPr>
                <w:sz w:val="24"/>
                <w:szCs w:val="24"/>
                <w:color w:val="auto"/>
              </w:rPr>
            </w:pPr>
          </w:p>
        </w:tc>
        <w:tc>
          <w:tcPr>
            <w:tcW w:w="10220" w:type="dxa"/>
            <w:vAlign w:val="bottom"/>
            <w:tcBorders>
              <w:bottom w:val="single" w:sz="8" w:color="0000EE"/>
            </w:tcBorders>
            <w:gridSpan w:val="22"/>
          </w:tcPr>
          <w:p>
            <w:pPr>
              <w:spacing w:after="0"/>
              <w:rPr>
                <w:rFonts w:ascii="Arial" w:cs="Arial" w:eastAsia="Arial" w:hAnsi="Arial"/>
                <w:sz w:val="18"/>
                <w:szCs w:val="18"/>
                <w:color w:val="0000EE"/>
                <w:w w:val="91"/>
              </w:rPr>
            </w:pPr>
            <w:hyperlink r:id="rId157">
              <w:r>
                <w:rPr>
                  <w:rFonts w:ascii="Arial" w:cs="Arial" w:eastAsia="Arial" w:hAnsi="Arial"/>
                  <w:sz w:val="18"/>
                  <w:szCs w:val="18"/>
                  <w:color w:val="0000EE"/>
                  <w:w w:val="91"/>
                </w:rPr>
                <w:t>Addendum to the Lease and Agreement-Spring 1995, dated as of April 4, 1996, by and between Andrianakos Limited Liability Company and</w:t>
              </w:r>
            </w:hyperlink>
          </w:p>
        </w:tc>
        <w:tc>
          <w:tcPr>
            <w:tcW w:w="16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80" w:type="dxa"/>
            <w:vAlign w:val="bottom"/>
            <w:gridSpan w:val="28"/>
          </w:tcPr>
          <w:p>
            <w:pPr>
              <w:spacing w:after="0" w:line="196" w:lineRule="exact"/>
              <w:rPr>
                <w:rFonts w:ascii="Arial" w:cs="Arial" w:eastAsia="Arial" w:hAnsi="Arial"/>
                <w:sz w:val="18"/>
                <w:szCs w:val="18"/>
                <w:color w:val="0000EE"/>
                <w:w w:val="96"/>
              </w:rPr>
            </w:pPr>
            <w:hyperlink r:id="rId157">
              <w:r>
                <w:rPr>
                  <w:rFonts w:ascii="Arial" w:cs="Arial" w:eastAsia="Arial" w:hAnsi="Arial"/>
                  <w:sz w:val="18"/>
                  <w:szCs w:val="18"/>
                  <w:color w:val="0000EE"/>
                  <w:w w:val="96"/>
                </w:rPr>
                <w:t>Isle of Capri Black Hawk, L.L.C. (incorporated by reference to Isle of Capri Casinos, Inc.’s Annual Report on Form 10-K filed on July 11,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57">
              <w:r>
                <w:rPr>
                  <w:rFonts w:ascii="Arial" w:cs="Arial" w:eastAsia="Arial" w:hAnsi="Arial"/>
                  <w:sz w:val="18"/>
                  <w:szCs w:val="18"/>
                  <w:color w:val="0000EE"/>
                  <w:w w:val="90"/>
                </w:rPr>
                <w:t>2008).</w:t>
              </w:r>
            </w:hyperlink>
          </w:p>
        </w:tc>
        <w:tc>
          <w:tcPr>
            <w:tcW w:w="8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62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1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jc w:val="right"/>
              <w:ind w:right="442"/>
              <w:spacing w:after="0"/>
              <w:rPr>
                <w:sz w:val="20"/>
                <w:szCs w:val="20"/>
                <w:color w:val="auto"/>
              </w:rPr>
            </w:pPr>
            <w:r>
              <w:rPr>
                <w:rFonts w:ascii="Arial" w:cs="Arial" w:eastAsia="Arial" w:hAnsi="Arial"/>
                <w:sz w:val="18"/>
                <w:szCs w:val="18"/>
                <w:color w:val="auto"/>
                <w:w w:val="88"/>
              </w:rPr>
              <w:t>10.58</w:t>
            </w:r>
          </w:p>
        </w:tc>
        <w:tc>
          <w:tcPr>
            <w:tcW w:w="100" w:type="dxa"/>
            <w:vAlign w:val="bottom"/>
          </w:tcPr>
          <w:p>
            <w:pPr>
              <w:spacing w:after="0"/>
              <w:rPr>
                <w:sz w:val="24"/>
                <w:szCs w:val="24"/>
                <w:color w:val="auto"/>
              </w:rPr>
            </w:pPr>
          </w:p>
        </w:tc>
        <w:tc>
          <w:tcPr>
            <w:tcW w:w="9920" w:type="dxa"/>
            <w:vAlign w:val="bottom"/>
            <w:tcBorders>
              <w:bottom w:val="single" w:sz="8" w:color="0000EE"/>
            </w:tcBorders>
            <w:gridSpan w:val="15"/>
          </w:tcPr>
          <w:p>
            <w:pPr>
              <w:spacing w:after="0"/>
              <w:rPr>
                <w:rFonts w:ascii="Arial" w:cs="Arial" w:eastAsia="Arial" w:hAnsi="Arial"/>
                <w:sz w:val="18"/>
                <w:szCs w:val="18"/>
                <w:color w:val="0000EE"/>
                <w:w w:val="91"/>
              </w:rPr>
            </w:pPr>
            <w:hyperlink r:id="rId158">
              <w:r>
                <w:rPr>
                  <w:rFonts w:ascii="Arial" w:cs="Arial" w:eastAsia="Arial" w:hAnsi="Arial"/>
                  <w:sz w:val="18"/>
                  <w:szCs w:val="18"/>
                  <w:color w:val="0000EE"/>
                  <w:w w:val="91"/>
                </w:rPr>
                <w:t>Second Addendum to the Lease and Agreement-Spring 1995, dated as of March 21, 2003, by and between Andrianakos Limited Liability</w:t>
              </w:r>
            </w:hyperlink>
          </w:p>
        </w:tc>
        <w:tc>
          <w:tcPr>
            <w:tcW w:w="46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80" w:type="dxa"/>
            <w:vAlign w:val="bottom"/>
            <w:gridSpan w:val="28"/>
          </w:tcPr>
          <w:p>
            <w:pPr>
              <w:spacing w:after="0" w:line="196" w:lineRule="exact"/>
              <w:rPr>
                <w:rFonts w:ascii="Arial" w:cs="Arial" w:eastAsia="Arial" w:hAnsi="Arial"/>
                <w:sz w:val="18"/>
                <w:szCs w:val="18"/>
                <w:color w:val="0000EE"/>
                <w:w w:val="93"/>
              </w:rPr>
            </w:pPr>
            <w:hyperlink r:id="rId158">
              <w:r>
                <w:rPr>
                  <w:rFonts w:ascii="Arial" w:cs="Arial" w:eastAsia="Arial" w:hAnsi="Arial"/>
                  <w:sz w:val="18"/>
                  <w:szCs w:val="18"/>
                  <w:color w:val="0000EE"/>
                  <w:w w:val="93"/>
                </w:rPr>
                <w:t>Company and Isle of Capri Black Hawk, L.L.C. (incorporated by reference to Isle of Capri Casinos, Inc.’s Annual Report on Form 10-K filed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on July 11, 2008).</w:t>
              </w:r>
            </w:hyperlink>
          </w:p>
        </w:tc>
        <w:tc>
          <w:tcPr>
            <w:tcW w:w="18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2"/>
          </w:tcPr>
          <w:p>
            <w:pPr>
              <w:jc w:val="right"/>
              <w:ind w:right="442"/>
              <w:spacing w:after="0"/>
              <w:rPr>
                <w:sz w:val="20"/>
                <w:szCs w:val="20"/>
                <w:color w:val="auto"/>
              </w:rPr>
            </w:pPr>
            <w:r>
              <w:rPr>
                <w:rFonts w:ascii="Arial" w:cs="Arial" w:eastAsia="Arial" w:hAnsi="Arial"/>
                <w:sz w:val="18"/>
                <w:szCs w:val="18"/>
                <w:color w:val="auto"/>
                <w:w w:val="88"/>
              </w:rPr>
              <w:t>10.59</w:t>
            </w:r>
          </w:p>
        </w:tc>
        <w:tc>
          <w:tcPr>
            <w:tcW w:w="100" w:type="dxa"/>
            <w:vAlign w:val="bottom"/>
          </w:tcPr>
          <w:p>
            <w:pPr>
              <w:spacing w:after="0"/>
              <w:rPr>
                <w:sz w:val="24"/>
                <w:szCs w:val="24"/>
                <w:color w:val="auto"/>
              </w:rPr>
            </w:pPr>
          </w:p>
        </w:tc>
        <w:tc>
          <w:tcPr>
            <w:tcW w:w="9700" w:type="dxa"/>
            <w:vAlign w:val="bottom"/>
            <w:tcBorders>
              <w:bottom w:val="single" w:sz="8" w:color="0000EE"/>
            </w:tcBorders>
            <w:gridSpan w:val="12"/>
          </w:tcPr>
          <w:p>
            <w:pPr>
              <w:spacing w:after="0"/>
              <w:rPr>
                <w:rFonts w:ascii="Arial" w:cs="Arial" w:eastAsia="Arial" w:hAnsi="Arial"/>
                <w:sz w:val="18"/>
                <w:szCs w:val="18"/>
                <w:color w:val="0000EE"/>
                <w:w w:val="91"/>
              </w:rPr>
            </w:pPr>
            <w:hyperlink r:id="rId159">
              <w:r>
                <w:rPr>
                  <w:rFonts w:ascii="Arial" w:cs="Arial" w:eastAsia="Arial" w:hAnsi="Arial"/>
                  <w:sz w:val="18"/>
                  <w:szCs w:val="18"/>
                  <w:color w:val="0000EE"/>
                  <w:w w:val="91"/>
                </w:rPr>
                <w:t>Third Addendum to the Lease and Agreement-Spring 1995, dated as of April 22, 2003, by and between Andrianakos Limited Liability</w:t>
              </w:r>
            </w:hyperlink>
          </w:p>
        </w:tc>
        <w:tc>
          <w:tcPr>
            <w:tcW w:w="680" w:type="dxa"/>
            <w:vAlign w:val="bottom"/>
            <w:gridSpan w:val="1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80" w:type="dxa"/>
            <w:vAlign w:val="bottom"/>
            <w:gridSpan w:val="28"/>
          </w:tcPr>
          <w:p>
            <w:pPr>
              <w:spacing w:after="0" w:line="196" w:lineRule="exact"/>
              <w:rPr>
                <w:rFonts w:ascii="Arial" w:cs="Arial" w:eastAsia="Arial" w:hAnsi="Arial"/>
                <w:sz w:val="18"/>
                <w:szCs w:val="18"/>
                <w:color w:val="0000EE"/>
                <w:w w:val="93"/>
              </w:rPr>
            </w:pPr>
            <w:hyperlink r:id="rId159">
              <w:r>
                <w:rPr>
                  <w:rFonts w:ascii="Arial" w:cs="Arial" w:eastAsia="Arial" w:hAnsi="Arial"/>
                  <w:sz w:val="18"/>
                  <w:szCs w:val="18"/>
                  <w:color w:val="0000EE"/>
                  <w:w w:val="93"/>
                </w:rPr>
                <w:t>Company and Isle of Capri Black Hawk, L.L.C. (incorporated by reference to Isle of Capri Casinos, Inc.’s Annual Report on Form 10-K filed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on July 11, 2008).</w:t>
              </w:r>
            </w:hyperlink>
          </w:p>
        </w:tc>
        <w:tc>
          <w:tcPr>
            <w:tcW w:w="18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2"/>
          </w:tcPr>
          <w:p>
            <w:pPr>
              <w:jc w:val="right"/>
              <w:ind w:right="442"/>
              <w:spacing w:after="0"/>
              <w:rPr>
                <w:sz w:val="20"/>
                <w:szCs w:val="20"/>
                <w:color w:val="auto"/>
              </w:rPr>
            </w:pPr>
            <w:r>
              <w:rPr>
                <w:rFonts w:ascii="Arial" w:cs="Arial" w:eastAsia="Arial" w:hAnsi="Arial"/>
                <w:sz w:val="18"/>
                <w:szCs w:val="18"/>
                <w:color w:val="auto"/>
                <w:w w:val="88"/>
              </w:rPr>
              <w:t>10.60</w:t>
            </w:r>
          </w:p>
        </w:tc>
        <w:tc>
          <w:tcPr>
            <w:tcW w:w="100" w:type="dxa"/>
            <w:vAlign w:val="bottom"/>
          </w:tcPr>
          <w:p>
            <w:pPr>
              <w:spacing w:after="0"/>
              <w:rPr>
                <w:sz w:val="24"/>
                <w:szCs w:val="24"/>
                <w:color w:val="auto"/>
              </w:rPr>
            </w:pPr>
          </w:p>
        </w:tc>
        <w:tc>
          <w:tcPr>
            <w:tcW w:w="10380" w:type="dxa"/>
            <w:vAlign w:val="bottom"/>
            <w:gridSpan w:val="28"/>
          </w:tcPr>
          <w:p>
            <w:pPr>
              <w:spacing w:after="0"/>
              <w:rPr>
                <w:rFonts w:ascii="Arial" w:cs="Arial" w:eastAsia="Arial" w:hAnsi="Arial"/>
                <w:sz w:val="18"/>
                <w:szCs w:val="18"/>
                <w:color w:val="0000EE"/>
                <w:w w:val="93"/>
              </w:rPr>
            </w:pPr>
            <w:hyperlink r:id="rId160">
              <w:r>
                <w:rPr>
                  <w:rFonts w:ascii="Arial" w:cs="Arial" w:eastAsia="Arial" w:hAnsi="Arial"/>
                  <w:sz w:val="18"/>
                  <w:szCs w:val="18"/>
                  <w:color w:val="0000EE"/>
                  <w:w w:val="93"/>
                </w:rPr>
                <w:t>Fourth Addendum to the Lease and Agreement-Spring 1995, dated as of December 11, 2013, by and between Andrianakos Limited Liability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410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80" w:type="dxa"/>
            <w:vAlign w:val="bottom"/>
            <w:gridSpan w:val="28"/>
          </w:tcPr>
          <w:p>
            <w:pPr>
              <w:spacing w:after="0" w:line="196" w:lineRule="exact"/>
              <w:rPr>
                <w:rFonts w:ascii="Arial" w:cs="Arial" w:eastAsia="Arial" w:hAnsi="Arial"/>
                <w:sz w:val="18"/>
                <w:szCs w:val="18"/>
                <w:color w:val="0000EE"/>
                <w:w w:val="93"/>
              </w:rPr>
            </w:pPr>
            <w:hyperlink r:id="rId160">
              <w:r>
                <w:rPr>
                  <w:rFonts w:ascii="Arial" w:cs="Arial" w:eastAsia="Arial" w:hAnsi="Arial"/>
                  <w:sz w:val="18"/>
                  <w:szCs w:val="18"/>
                  <w:color w:val="0000EE"/>
                  <w:w w:val="93"/>
                </w:rPr>
                <w:t>Company and Isle of Capri Black Hawk, L.L.C. (incorporated by reference to Isle of Capri Casinos, Inc.’s Annual Report on Form 10-K filed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on June 23, 2014).</w:t>
              </w:r>
            </w:hyperlink>
          </w:p>
        </w:tc>
        <w:tc>
          <w:tcPr>
            <w:tcW w:w="18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2"/>
          </w:tcPr>
          <w:p>
            <w:pPr>
              <w:jc w:val="right"/>
              <w:ind w:right="442"/>
              <w:spacing w:after="0"/>
              <w:rPr>
                <w:sz w:val="20"/>
                <w:szCs w:val="20"/>
                <w:color w:val="auto"/>
              </w:rPr>
            </w:pPr>
            <w:r>
              <w:rPr>
                <w:rFonts w:ascii="Arial" w:cs="Arial" w:eastAsia="Arial" w:hAnsi="Arial"/>
                <w:sz w:val="18"/>
                <w:szCs w:val="18"/>
                <w:color w:val="auto"/>
                <w:w w:val="88"/>
              </w:rPr>
              <w:t>10.61</w:t>
            </w:r>
          </w:p>
        </w:tc>
        <w:tc>
          <w:tcPr>
            <w:tcW w:w="100" w:type="dxa"/>
            <w:vAlign w:val="bottom"/>
          </w:tcPr>
          <w:p>
            <w:pPr>
              <w:spacing w:after="0"/>
              <w:rPr>
                <w:sz w:val="24"/>
                <w:szCs w:val="24"/>
                <w:color w:val="auto"/>
              </w:rPr>
            </w:pPr>
          </w:p>
        </w:tc>
        <w:tc>
          <w:tcPr>
            <w:tcW w:w="10380" w:type="dxa"/>
            <w:vAlign w:val="bottom"/>
            <w:gridSpan w:val="28"/>
          </w:tcPr>
          <w:p>
            <w:pPr>
              <w:spacing w:after="0"/>
              <w:rPr>
                <w:rFonts w:ascii="Arial" w:cs="Arial" w:eastAsia="Arial" w:hAnsi="Arial"/>
                <w:sz w:val="18"/>
                <w:szCs w:val="18"/>
                <w:color w:val="0000EE"/>
                <w:w w:val="92"/>
              </w:rPr>
            </w:pPr>
            <w:hyperlink r:id="rId161">
              <w:r>
                <w:rPr>
                  <w:rFonts w:ascii="Arial" w:cs="Arial" w:eastAsia="Arial" w:hAnsi="Arial"/>
                  <w:sz w:val="18"/>
                  <w:szCs w:val="18"/>
                  <w:color w:val="0000EE"/>
                  <w:w w:val="92"/>
                </w:rPr>
                <w:t>Development Agreement, dated as of October 4, 2010, by and between IOC-Cape Girardeau, LLC and the City of Cape Girardeau, Missouri</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(incorporated by reference to Isle of Capri Casinos, Inc.’s Quarterly Report on Form 10-Q filed on December 3, 2010).</w:t>
              </w:r>
            </w:hyperlink>
          </w:p>
        </w:tc>
        <w:tc>
          <w:tcPr>
            <w:tcW w:w="26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40" w:type="dxa"/>
            <w:vAlign w:val="bottom"/>
            <w:gridSpan w:val="6"/>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2"/>
          </w:tcPr>
          <w:p>
            <w:pPr>
              <w:jc w:val="right"/>
              <w:ind w:right="442"/>
              <w:spacing w:after="0"/>
              <w:rPr>
                <w:sz w:val="20"/>
                <w:szCs w:val="20"/>
                <w:color w:val="auto"/>
              </w:rPr>
            </w:pPr>
            <w:r>
              <w:rPr>
                <w:rFonts w:ascii="Arial" w:cs="Arial" w:eastAsia="Arial" w:hAnsi="Arial"/>
                <w:sz w:val="18"/>
                <w:szCs w:val="18"/>
                <w:color w:val="auto"/>
                <w:w w:val="88"/>
              </w:rPr>
              <w:t>10.62</w:t>
            </w:r>
          </w:p>
        </w:tc>
        <w:tc>
          <w:tcPr>
            <w:tcW w:w="100" w:type="dxa"/>
            <w:vAlign w:val="bottom"/>
          </w:tcPr>
          <w:p>
            <w:pPr>
              <w:spacing w:after="0"/>
              <w:rPr>
                <w:sz w:val="24"/>
                <w:szCs w:val="24"/>
                <w:color w:val="auto"/>
              </w:rPr>
            </w:pPr>
          </w:p>
        </w:tc>
        <w:tc>
          <w:tcPr>
            <w:tcW w:w="10380" w:type="dxa"/>
            <w:vAlign w:val="bottom"/>
            <w:gridSpan w:val="28"/>
          </w:tcPr>
          <w:p>
            <w:pPr>
              <w:spacing w:after="0"/>
              <w:rPr>
                <w:rFonts w:ascii="Arial" w:cs="Arial" w:eastAsia="Arial" w:hAnsi="Arial"/>
                <w:sz w:val="18"/>
                <w:szCs w:val="18"/>
                <w:color w:val="0000EE"/>
                <w:w w:val="90"/>
              </w:rPr>
            </w:pPr>
            <w:hyperlink r:id="rId162">
              <w:r>
                <w:rPr>
                  <w:rFonts w:ascii="Arial" w:cs="Arial" w:eastAsia="Arial" w:hAnsi="Arial"/>
                  <w:sz w:val="18"/>
                  <w:szCs w:val="18"/>
                  <w:color w:val="0000EE"/>
                  <w:w w:val="90"/>
                </w:rPr>
                <w:t>Amended and Restated Operator’s Contract, dated as of November 9, 2004, by and between Black Hawk County Gaming Association and IOC</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1"/>
              </w:rPr>
            </w:pPr>
            <w:hyperlink r:id="rId162">
              <w:r>
                <w:rPr>
                  <w:rFonts w:ascii="Arial" w:cs="Arial" w:eastAsia="Arial" w:hAnsi="Arial"/>
                  <w:sz w:val="18"/>
                  <w:szCs w:val="18"/>
                  <w:color w:val="0000EE"/>
                  <w:w w:val="91"/>
                </w:rPr>
                <w:t>Black Hawk County, Inc. (incorporated by reference to Isle of Capri Casinos, Inc.’s Annual Report on Form 10-K filed on June 23, 2014).</w:t>
              </w:r>
            </w:hyperlink>
          </w:p>
        </w:tc>
        <w:tc>
          <w:tcPr>
            <w:tcW w:w="360" w:type="dxa"/>
            <w:vAlign w:val="bottom"/>
            <w:tcBorders>
              <w:top w:val="single" w:sz="8" w:color="0000EE"/>
            </w:tcBorders>
            <w:gridSpan w:val="10"/>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jc w:val="right"/>
              <w:ind w:right="442"/>
              <w:spacing w:after="0"/>
              <w:rPr>
                <w:sz w:val="20"/>
                <w:szCs w:val="20"/>
                <w:color w:val="auto"/>
              </w:rPr>
            </w:pPr>
            <w:r>
              <w:rPr>
                <w:rFonts w:ascii="Arial" w:cs="Arial" w:eastAsia="Arial" w:hAnsi="Arial"/>
                <w:sz w:val="18"/>
                <w:szCs w:val="18"/>
                <w:color w:val="auto"/>
                <w:w w:val="88"/>
              </w:rPr>
              <w:t>10.63</w:t>
            </w:r>
          </w:p>
        </w:tc>
        <w:tc>
          <w:tcPr>
            <w:tcW w:w="100" w:type="dxa"/>
            <w:vAlign w:val="bottom"/>
          </w:tcPr>
          <w:p>
            <w:pPr>
              <w:spacing w:after="0"/>
              <w:rPr>
                <w:sz w:val="24"/>
                <w:szCs w:val="24"/>
                <w:color w:val="auto"/>
              </w:rPr>
            </w:pPr>
          </w:p>
        </w:tc>
        <w:tc>
          <w:tcPr>
            <w:tcW w:w="10380" w:type="dxa"/>
            <w:vAlign w:val="bottom"/>
            <w:gridSpan w:val="28"/>
          </w:tcPr>
          <w:p>
            <w:pPr>
              <w:spacing w:after="0"/>
              <w:rPr>
                <w:rFonts w:ascii="Arial" w:cs="Arial" w:eastAsia="Arial" w:hAnsi="Arial"/>
                <w:sz w:val="18"/>
                <w:szCs w:val="18"/>
                <w:color w:val="0000EE"/>
                <w:w w:val="95"/>
              </w:rPr>
            </w:pPr>
            <w:hyperlink r:id="rId163">
              <w:r>
                <w:rPr>
                  <w:rFonts w:ascii="Arial" w:cs="Arial" w:eastAsia="Arial" w:hAnsi="Arial"/>
                  <w:sz w:val="18"/>
                  <w:szCs w:val="18"/>
                  <w:color w:val="0000EE"/>
                  <w:w w:val="95"/>
                </w:rPr>
                <w:t>Operator's Contract, dated as of August 11, 1994, by and between the Riverbend Regional Authority, Green Bridge Company, Bettendorf</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40" w:type="dxa"/>
            <w:vAlign w:val="bottom"/>
            <w:gridSpan w:val="6"/>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58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80" w:type="dxa"/>
            <w:vAlign w:val="bottom"/>
            <w:gridSpan w:val="28"/>
          </w:tcPr>
          <w:p>
            <w:pPr>
              <w:spacing w:after="0" w:line="196" w:lineRule="exact"/>
              <w:rPr>
                <w:rFonts w:ascii="Arial" w:cs="Arial" w:eastAsia="Arial" w:hAnsi="Arial"/>
                <w:sz w:val="18"/>
                <w:szCs w:val="18"/>
                <w:color w:val="0000EE"/>
                <w:w w:val="92"/>
              </w:rPr>
            </w:pPr>
            <w:hyperlink r:id="rId163">
              <w:r>
                <w:rPr>
                  <w:rFonts w:ascii="Arial" w:cs="Arial" w:eastAsia="Arial" w:hAnsi="Arial"/>
                  <w:sz w:val="18"/>
                  <w:szCs w:val="18"/>
                  <w:color w:val="0000EE"/>
                  <w:w w:val="92"/>
                </w:rPr>
                <w:t>Riverfront Development Company, L.C., Lady Luck Gaming Corporation and Lady Luck Bettendorf, L.C. (incorporated by reference to Isle of</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2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Capri Casinos, Inc.’s Annual Report on Form 10-K filed on June 23, 2014).</w:t>
              </w:r>
            </w:hyperlink>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40" w:type="dxa"/>
            <w:vAlign w:val="bottom"/>
            <w:gridSpan w:val="6"/>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2"/>
          </w:tcPr>
          <w:p>
            <w:pPr>
              <w:jc w:val="right"/>
              <w:ind w:right="442"/>
              <w:spacing w:after="0"/>
              <w:rPr>
                <w:sz w:val="20"/>
                <w:szCs w:val="20"/>
                <w:color w:val="auto"/>
              </w:rPr>
            </w:pPr>
            <w:r>
              <w:rPr>
                <w:rFonts w:ascii="Arial" w:cs="Arial" w:eastAsia="Arial" w:hAnsi="Arial"/>
                <w:sz w:val="18"/>
                <w:szCs w:val="18"/>
                <w:color w:val="auto"/>
                <w:w w:val="88"/>
              </w:rPr>
              <w:t>10.64</w:t>
            </w:r>
          </w:p>
        </w:tc>
        <w:tc>
          <w:tcPr>
            <w:tcW w:w="100" w:type="dxa"/>
            <w:vAlign w:val="bottom"/>
          </w:tcPr>
          <w:p>
            <w:pPr>
              <w:spacing w:after="0"/>
              <w:rPr>
                <w:sz w:val="24"/>
                <w:szCs w:val="24"/>
                <w:color w:val="auto"/>
              </w:rPr>
            </w:pPr>
          </w:p>
        </w:tc>
        <w:tc>
          <w:tcPr>
            <w:tcW w:w="10180" w:type="dxa"/>
            <w:vAlign w:val="bottom"/>
            <w:tcBorders>
              <w:bottom w:val="single" w:sz="8" w:color="0000EE"/>
            </w:tcBorders>
            <w:gridSpan w:val="20"/>
          </w:tcPr>
          <w:p>
            <w:pPr>
              <w:spacing w:after="0"/>
              <w:rPr>
                <w:rFonts w:ascii="Arial" w:cs="Arial" w:eastAsia="Arial" w:hAnsi="Arial"/>
                <w:sz w:val="18"/>
                <w:szCs w:val="18"/>
                <w:color w:val="0000EE"/>
                <w:w w:val="90"/>
              </w:rPr>
            </w:pPr>
            <w:hyperlink r:id="rId164">
              <w:r>
                <w:rPr>
                  <w:rFonts w:ascii="Arial" w:cs="Arial" w:eastAsia="Arial" w:hAnsi="Arial"/>
                  <w:sz w:val="18"/>
                  <w:szCs w:val="18"/>
                  <w:color w:val="0000EE"/>
                  <w:w w:val="90"/>
                </w:rPr>
                <w:t>Amendment to Operator's Contract, dated as of August 27, 1998, by and among Green Bridge Company, Bettendorf Riverfront Development</w:t>
              </w:r>
            </w:hyperlink>
          </w:p>
        </w:tc>
        <w:tc>
          <w:tcPr>
            <w:tcW w:w="20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164">
              <w:r>
                <w:rPr>
                  <w:rFonts w:ascii="Arial" w:cs="Arial" w:eastAsia="Arial" w:hAnsi="Arial"/>
                  <w:sz w:val="18"/>
                  <w:szCs w:val="18"/>
                  <w:color w:val="0000EE"/>
                  <w:w w:val="92"/>
                </w:rPr>
                <w:t>Company, L.C., Lady Luck Gaming Corporation, Lady Luck Bettendorf, L.C. and Riverbend Regional Authority (incorporated by reference to</w:t>
              </w:r>
            </w:hyperlink>
          </w:p>
        </w:tc>
        <w:tc>
          <w:tcPr>
            <w:tcW w:w="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80" w:type="dxa"/>
            <w:vAlign w:val="bottom"/>
            <w:gridSpan w:val="28"/>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Isle of Capri Casinos, Inc.’s Annual Report on Form 10-K filed on June 23, 2014).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40" w:type="dxa"/>
            <w:vAlign w:val="bottom"/>
            <w:gridSpan w:val="7"/>
            <w:shd w:val="clear" w:color="auto" w:fill="0000EE"/>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6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2"/>
          </w:tcPr>
          <w:p>
            <w:pPr>
              <w:jc w:val="right"/>
              <w:ind w:right="442"/>
              <w:spacing w:after="0"/>
              <w:rPr>
                <w:sz w:val="20"/>
                <w:szCs w:val="20"/>
                <w:color w:val="auto"/>
              </w:rPr>
            </w:pPr>
            <w:r>
              <w:rPr>
                <w:rFonts w:ascii="Arial" w:cs="Arial" w:eastAsia="Arial" w:hAnsi="Arial"/>
                <w:sz w:val="18"/>
                <w:szCs w:val="18"/>
                <w:color w:val="auto"/>
                <w:w w:val="88"/>
              </w:rPr>
              <w:t>10.65</w:t>
            </w:r>
          </w:p>
        </w:tc>
        <w:tc>
          <w:tcPr>
            <w:tcW w:w="100" w:type="dxa"/>
            <w:vAlign w:val="bottom"/>
          </w:tcPr>
          <w:p>
            <w:pPr>
              <w:spacing w:after="0"/>
              <w:rPr>
                <w:sz w:val="24"/>
                <w:szCs w:val="24"/>
                <w:color w:val="auto"/>
              </w:rPr>
            </w:pPr>
          </w:p>
        </w:tc>
        <w:tc>
          <w:tcPr>
            <w:tcW w:w="9720" w:type="dxa"/>
            <w:vAlign w:val="bottom"/>
            <w:tcBorders>
              <w:bottom w:val="single" w:sz="8" w:color="0000EE"/>
            </w:tcBorders>
            <w:gridSpan w:val="13"/>
          </w:tcPr>
          <w:p>
            <w:pPr>
              <w:spacing w:after="0"/>
              <w:rPr>
                <w:rFonts w:ascii="Arial" w:cs="Arial" w:eastAsia="Arial" w:hAnsi="Arial"/>
                <w:sz w:val="18"/>
                <w:szCs w:val="18"/>
                <w:color w:val="0000EE"/>
                <w:w w:val="90"/>
              </w:rPr>
            </w:pPr>
            <w:hyperlink r:id="rId165">
              <w:r>
                <w:rPr>
                  <w:rFonts w:ascii="Arial" w:cs="Arial" w:eastAsia="Arial" w:hAnsi="Arial"/>
                  <w:sz w:val="18"/>
                  <w:szCs w:val="18"/>
                  <w:color w:val="0000EE"/>
                  <w:w w:val="90"/>
                </w:rPr>
                <w:t>Second Amendment to Operator's Contract, dated as of June 30, 2004, by and between Isle of Capri Bettendorf, L.C. and Scott County</w:t>
              </w:r>
            </w:hyperlink>
          </w:p>
        </w:tc>
        <w:tc>
          <w:tcPr>
            <w:tcW w:w="660" w:type="dxa"/>
            <w:vAlign w:val="bottom"/>
            <w:gridSpan w:val="1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80" w:type="dxa"/>
            <w:vAlign w:val="bottom"/>
            <w:gridSpan w:val="28"/>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Regional Authority (incorporated by reference to Isle of Capri Casinos, Inc.’s Annual Report on Form 10-K filed on June 23, 2014).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40" w:type="dxa"/>
            <w:vAlign w:val="bottom"/>
            <w:tcBorders>
              <w:top w:val="single" w:sz="8" w:color="0000EE"/>
            </w:tcBorders>
            <w:gridSpan w:val="6"/>
          </w:tcPr>
          <w:p>
            <w:pPr>
              <w:ind w:left="4580"/>
              <w:spacing w:after="0"/>
              <w:rPr>
                <w:sz w:val="20"/>
                <w:szCs w:val="20"/>
                <w:color w:val="auto"/>
              </w:rPr>
            </w:pPr>
            <w:r>
              <w:rPr>
                <w:rFonts w:ascii="Arial" w:cs="Arial" w:eastAsia="Arial" w:hAnsi="Arial"/>
                <w:sz w:val="18"/>
                <w:szCs w:val="18"/>
                <w:color w:val="auto"/>
              </w:rPr>
              <w:t>70</w:t>
            </w:r>
          </w:p>
        </w:tc>
        <w:tc>
          <w:tcPr>
            <w:tcW w:w="500" w:type="dxa"/>
            <w:vAlign w:val="bottom"/>
            <w:tcBorders>
              <w:top w:val="single" w:sz="8" w:color="0000EE"/>
            </w:tcBorders>
          </w:tcPr>
          <w:p>
            <w:pPr>
              <w:spacing w:after="0"/>
              <w:rPr>
                <w:sz w:val="24"/>
                <w:szCs w:val="24"/>
                <w:color w:val="auto"/>
              </w:rPr>
            </w:pPr>
          </w:p>
        </w:tc>
        <w:tc>
          <w:tcPr>
            <w:tcW w:w="21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0" w:right="2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EXHIBIT</w:t>
            </w: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700" w:type="dxa"/>
            <w:vAlign w:val="bottom"/>
            <w:gridSpan w:val="15"/>
            <w:vMerge w:val="restart"/>
          </w:tcPr>
          <w:p>
            <w:pPr>
              <w:ind w:left="80"/>
              <w:spacing w:after="0"/>
              <w:rPr>
                <w:sz w:val="20"/>
                <w:szCs w:val="20"/>
                <w:color w:val="auto"/>
              </w:rPr>
            </w:pPr>
            <w:r>
              <w:rPr>
                <w:rFonts w:ascii="Arial" w:cs="Arial" w:eastAsia="Arial" w:hAnsi="Arial"/>
                <w:sz w:val="14"/>
                <w:szCs w:val="14"/>
                <w:b w:val="1"/>
                <w:bCs w:val="1"/>
                <w:color w:val="auto"/>
              </w:rPr>
              <w:t>ITEM TITLE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NO.</w:t>
            </w: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700" w:type="dxa"/>
            <w:vAlign w:val="bottom"/>
            <w:gridSpan w:val="1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10.66</w:t>
            </w:r>
          </w:p>
        </w:tc>
        <w:tc>
          <w:tcPr>
            <w:tcW w:w="100" w:type="dxa"/>
            <w:vAlign w:val="bottom"/>
          </w:tcPr>
          <w:p>
            <w:pPr>
              <w:spacing w:after="0"/>
              <w:rPr>
                <w:sz w:val="14"/>
                <w:szCs w:val="14"/>
                <w:color w:val="auto"/>
              </w:rPr>
            </w:pPr>
          </w:p>
        </w:tc>
        <w:tc>
          <w:tcPr>
            <w:tcW w:w="9840" w:type="dxa"/>
            <w:vAlign w:val="bottom"/>
            <w:tcBorders>
              <w:top w:val="single" w:sz="8" w:color="auto"/>
              <w:bottom w:val="single" w:sz="8" w:color="0000EE"/>
            </w:tcBorders>
            <w:gridSpan w:val="12"/>
          </w:tcPr>
          <w:p>
            <w:pPr>
              <w:spacing w:after="0" w:line="170" w:lineRule="exact"/>
              <w:rPr>
                <w:rFonts w:ascii="Arial" w:cs="Arial" w:eastAsia="Arial" w:hAnsi="Arial"/>
                <w:sz w:val="18"/>
                <w:szCs w:val="18"/>
                <w:color w:val="0000EE"/>
                <w:w w:val="90"/>
              </w:rPr>
            </w:pPr>
            <w:hyperlink r:id="rId168">
              <w:r>
                <w:rPr>
                  <w:rFonts w:ascii="Arial" w:cs="Arial" w:eastAsia="Arial" w:hAnsi="Arial"/>
                  <w:sz w:val="18"/>
                  <w:szCs w:val="18"/>
                  <w:color w:val="0000EE"/>
                  <w:w w:val="90"/>
                </w:rPr>
                <w:t>Third Amendment to Operator's Contract, dated as of October 30, 2007, by and between Isle of Capri Bettendorf, L.C. and Scott County</w:t>
              </w:r>
            </w:hyperlink>
          </w:p>
        </w:tc>
        <w:tc>
          <w:tcPr>
            <w:tcW w:w="540" w:type="dxa"/>
            <w:vAlign w:val="bottom"/>
            <w:tcBorders>
              <w:top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80" w:type="dxa"/>
            <w:vAlign w:val="bottom"/>
            <w:gridSpan w:val="18"/>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Regional Authority (incorporated by reference to Isle of Capri Casinos, Inc.’s Annual Report on Form 10-K filed on June 23, 2014).</w:t>
              </w:r>
            </w:hyperlink>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24"/>
                <w:szCs w:val="24"/>
                <w:color w:val="auto"/>
              </w:rPr>
            </w:pPr>
          </w:p>
        </w:tc>
        <w:tc>
          <w:tcPr>
            <w:tcW w:w="9800" w:type="dxa"/>
            <w:vAlign w:val="bottom"/>
            <w:tcBorders>
              <w:bottom w:val="single" w:sz="8" w:color="0000EE"/>
            </w:tcBorders>
            <w:gridSpan w:val="11"/>
          </w:tcPr>
          <w:p>
            <w:pPr>
              <w:spacing w:after="0"/>
              <w:rPr>
                <w:rFonts w:ascii="Arial" w:cs="Arial" w:eastAsia="Arial" w:hAnsi="Arial"/>
                <w:sz w:val="18"/>
                <w:szCs w:val="18"/>
                <w:color w:val="0000EE"/>
                <w:w w:val="90"/>
              </w:rPr>
            </w:pPr>
            <w:hyperlink r:id="rId169">
              <w:r>
                <w:rPr>
                  <w:rFonts w:ascii="Arial" w:cs="Arial" w:eastAsia="Arial" w:hAnsi="Arial"/>
                  <w:sz w:val="18"/>
                  <w:szCs w:val="18"/>
                  <w:color w:val="0000EE"/>
                  <w:w w:val="90"/>
                </w:rPr>
                <w:t>Fourth Amendment to Operator's Contract, dated as of March 11, 2015, by and between Isle of Capri Bettendorf, L.C. and Scott County</w:t>
              </w:r>
            </w:hyperlink>
          </w:p>
        </w:tc>
        <w:tc>
          <w:tcPr>
            <w:tcW w:w="5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80" w:type="dxa"/>
            <w:vAlign w:val="bottom"/>
            <w:gridSpan w:val="18"/>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Regional Authority (incorporated by reference to Isle of Capri Casinos, Inc.’s Annual Report on Form 10-K filed on June 17, 2015).</w:t>
              </w:r>
            </w:hyperlink>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24"/>
                <w:szCs w:val="24"/>
                <w:color w:val="auto"/>
              </w:rPr>
            </w:pPr>
          </w:p>
        </w:tc>
        <w:tc>
          <w:tcPr>
            <w:tcW w:w="10240" w:type="dxa"/>
            <w:vAlign w:val="bottom"/>
            <w:tcBorders>
              <w:bottom w:val="single" w:sz="8" w:color="0000EE"/>
            </w:tcBorders>
            <w:gridSpan w:val="16"/>
          </w:tcPr>
          <w:p>
            <w:pPr>
              <w:spacing w:after="0"/>
              <w:rPr>
                <w:rFonts w:ascii="Arial" w:cs="Arial" w:eastAsia="Arial" w:hAnsi="Arial"/>
                <w:sz w:val="18"/>
                <w:szCs w:val="18"/>
                <w:color w:val="0000EE"/>
                <w:w w:val="89"/>
              </w:rPr>
            </w:pPr>
            <w:hyperlink r:id="rId170">
              <w:r>
                <w:rPr>
                  <w:rFonts w:ascii="Arial" w:cs="Arial" w:eastAsia="Arial" w:hAnsi="Arial"/>
                  <w:sz w:val="18"/>
                  <w:szCs w:val="18"/>
                  <w:color w:val="0000EE"/>
                  <w:w w:val="89"/>
                </w:rPr>
                <w:t>Amended and Restated Net Lease Agreement by and between Park Cattle Co. and Desert Palace, Inc. dated January 1, 2000. (Incorporated by</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70">
              <w:r>
                <w:rPr>
                  <w:rFonts w:ascii="Arial" w:cs="Arial" w:eastAsia="Arial" w:hAnsi="Arial"/>
                  <w:sz w:val="18"/>
                  <w:szCs w:val="18"/>
                  <w:color w:val="0000EE"/>
                  <w:w w:val="90"/>
                </w:rPr>
                <w:t>reference to the Tropicana Entertainment, Inc.’s Current Report on Form 8-K dated March 11, 2010)</w:t>
              </w:r>
            </w:hyperlink>
          </w:p>
        </w:tc>
        <w:tc>
          <w:tcPr>
            <w:tcW w:w="31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24"/>
                <w:szCs w:val="24"/>
                <w:color w:val="auto"/>
              </w:rPr>
            </w:pPr>
          </w:p>
        </w:tc>
        <w:tc>
          <w:tcPr>
            <w:tcW w:w="10000" w:type="dxa"/>
            <w:vAlign w:val="bottom"/>
            <w:tcBorders>
              <w:bottom w:val="single" w:sz="8" w:color="0000EE"/>
            </w:tcBorders>
            <w:gridSpan w:val="14"/>
          </w:tcPr>
          <w:p>
            <w:pPr>
              <w:spacing w:after="0"/>
              <w:rPr>
                <w:rFonts w:ascii="Arial" w:cs="Arial" w:eastAsia="Arial" w:hAnsi="Arial"/>
                <w:sz w:val="18"/>
                <w:szCs w:val="18"/>
                <w:color w:val="0000EE"/>
                <w:w w:val="91"/>
              </w:rPr>
            </w:pPr>
            <w:hyperlink r:id="rId171">
              <w:r>
                <w:rPr>
                  <w:rFonts w:ascii="Arial" w:cs="Arial" w:eastAsia="Arial" w:hAnsi="Arial"/>
                  <w:sz w:val="18"/>
                  <w:szCs w:val="18"/>
                  <w:color w:val="0000EE"/>
                  <w:w w:val="91"/>
                </w:rPr>
                <w:t>Amendment and Reservation of Rights Regarding MontBleu dated April 2, 2008 by and between Park Cattle Co. and Columbia Properties</w:t>
              </w:r>
            </w:hyperlink>
          </w:p>
        </w:tc>
        <w:tc>
          <w:tcPr>
            <w:tcW w:w="3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1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71">
              <w:r>
                <w:rPr>
                  <w:rFonts w:ascii="Arial" w:cs="Arial" w:eastAsia="Arial" w:hAnsi="Arial"/>
                  <w:sz w:val="18"/>
                  <w:szCs w:val="18"/>
                  <w:color w:val="0000EE"/>
                  <w:w w:val="91"/>
                </w:rPr>
                <w:t>Tahoe, LLC. (Incorporated by reference to Tropicana Entertainment Inc.’s Current Report on Form 8-K dated March 11, 2010)</w:t>
              </w:r>
            </w:hyperlink>
          </w:p>
        </w:tc>
        <w:tc>
          <w:tcPr>
            <w:tcW w:w="12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24"/>
                <w:szCs w:val="24"/>
                <w:color w:val="auto"/>
              </w:rPr>
            </w:pPr>
          </w:p>
        </w:tc>
        <w:tc>
          <w:tcPr>
            <w:tcW w:w="10260" w:type="dxa"/>
            <w:vAlign w:val="bottom"/>
            <w:tcBorders>
              <w:bottom w:val="single" w:sz="8" w:color="0000EE"/>
            </w:tcBorders>
            <w:gridSpan w:val="17"/>
          </w:tcPr>
          <w:p>
            <w:pPr>
              <w:spacing w:after="0"/>
              <w:rPr>
                <w:rFonts w:ascii="Arial" w:cs="Arial" w:eastAsia="Arial" w:hAnsi="Arial"/>
                <w:sz w:val="18"/>
                <w:szCs w:val="18"/>
                <w:color w:val="0000EE"/>
                <w:w w:val="90"/>
              </w:rPr>
            </w:pPr>
            <w:hyperlink r:id="rId172">
              <w:r>
                <w:rPr>
                  <w:rFonts w:ascii="Arial" w:cs="Arial" w:eastAsia="Arial" w:hAnsi="Arial"/>
                  <w:sz w:val="18"/>
                  <w:szCs w:val="18"/>
                  <w:color w:val="0000EE"/>
                  <w:w w:val="90"/>
                </w:rPr>
                <w:t>MontBleu Lease Amendment No. 2 by and between Park Cattle Co. and Columbia Properties Tahoe, LLC, dated June 12, 2009. (Incorporated</w:t>
              </w:r>
            </w:hyperlink>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by reference to Tropicana Entertainment Inc.’s Current Report on Form 8-K dated March 11, 2010)</w:t>
              </w:r>
            </w:hyperlink>
          </w:p>
        </w:tc>
        <w:tc>
          <w:tcPr>
            <w:tcW w:w="31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4"/>
                <w:szCs w:val="24"/>
                <w:color w:val="auto"/>
              </w:rPr>
            </w:pPr>
          </w:p>
        </w:tc>
        <w:tc>
          <w:tcPr>
            <w:tcW w:w="10240" w:type="dxa"/>
            <w:vAlign w:val="bottom"/>
            <w:tcBorders>
              <w:bottom w:val="single" w:sz="8" w:color="0000EE"/>
            </w:tcBorders>
            <w:gridSpan w:val="16"/>
          </w:tcPr>
          <w:p>
            <w:pPr>
              <w:spacing w:after="0"/>
              <w:rPr>
                <w:rFonts w:ascii="Arial" w:cs="Arial" w:eastAsia="Arial" w:hAnsi="Arial"/>
                <w:sz w:val="18"/>
                <w:szCs w:val="18"/>
                <w:color w:val="0000EE"/>
                <w:w w:val="90"/>
              </w:rPr>
            </w:pPr>
            <w:hyperlink r:id="rId173">
              <w:r>
                <w:rPr>
                  <w:rFonts w:ascii="Arial" w:cs="Arial" w:eastAsia="Arial" w:hAnsi="Arial"/>
                  <w:sz w:val="18"/>
                  <w:szCs w:val="18"/>
                  <w:color w:val="0000EE"/>
                  <w:w w:val="90"/>
                </w:rPr>
                <w:t>MontBleu Lease Amendment No. 3 by and between the Edgewood Companies and Columbia Properties Tahoe, LLC, made effective May 10,</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80" w:type="dxa"/>
            <w:vAlign w:val="bottom"/>
            <w:gridSpan w:val="18"/>
          </w:tcPr>
          <w:p>
            <w:pPr>
              <w:spacing w:after="0" w:line="196" w:lineRule="exact"/>
              <w:rPr>
                <w:rFonts w:ascii="Arial" w:cs="Arial" w:eastAsia="Arial" w:hAnsi="Arial"/>
                <w:sz w:val="18"/>
                <w:szCs w:val="18"/>
                <w:color w:val="0000EE"/>
                <w:w w:val="95"/>
              </w:rPr>
            </w:pPr>
            <w:hyperlink r:id="rId173">
              <w:r>
                <w:rPr>
                  <w:rFonts w:ascii="Arial" w:cs="Arial" w:eastAsia="Arial" w:hAnsi="Arial"/>
                  <w:sz w:val="18"/>
                  <w:szCs w:val="18"/>
                  <w:color w:val="0000EE"/>
                  <w:w w:val="95"/>
                </w:rPr>
                <w:t>2010. (Incorporated by reference to Tropicana Entertainment Inc.’s Quarterly Report on Form 10-Q for the quarter ended June 30, 2010)</w:t>
              </w:r>
            </w:hyperlink>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000" w:type="dxa"/>
            <w:vAlign w:val="bottom"/>
            <w:gridSpan w:val="5"/>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24"/>
                <w:szCs w:val="24"/>
                <w:color w:val="auto"/>
              </w:rPr>
            </w:pPr>
          </w:p>
        </w:tc>
        <w:tc>
          <w:tcPr>
            <w:tcW w:w="10240" w:type="dxa"/>
            <w:vAlign w:val="bottom"/>
            <w:tcBorders>
              <w:bottom w:val="single" w:sz="8" w:color="0000EE"/>
            </w:tcBorders>
            <w:gridSpan w:val="16"/>
          </w:tcPr>
          <w:p>
            <w:pPr>
              <w:spacing w:after="0"/>
              <w:rPr>
                <w:rFonts w:ascii="Arial" w:cs="Arial" w:eastAsia="Arial" w:hAnsi="Arial"/>
                <w:sz w:val="18"/>
                <w:szCs w:val="18"/>
                <w:color w:val="0000EE"/>
                <w:w w:val="90"/>
              </w:rPr>
            </w:pPr>
            <w:hyperlink r:id="rId174">
              <w:r>
                <w:rPr>
                  <w:rFonts w:ascii="Arial" w:cs="Arial" w:eastAsia="Arial" w:hAnsi="Arial"/>
                  <w:sz w:val="18"/>
                  <w:szCs w:val="18"/>
                  <w:color w:val="0000EE"/>
                  <w:w w:val="90"/>
                </w:rPr>
                <w:t>MontBleu Lease Amendment No. 4 by and between the Edgewood Companies, a Nevada corporation formerly known as Park Cattle Co., and</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74">
              <w:r>
                <w:rPr>
                  <w:rFonts w:ascii="Arial" w:cs="Arial" w:eastAsia="Arial" w:hAnsi="Arial"/>
                  <w:sz w:val="18"/>
                  <w:szCs w:val="18"/>
                  <w:color w:val="0000EE"/>
                  <w:w w:val="91"/>
                </w:rPr>
                <w:t>Columbia Properties Tahoe, LLC, made effective October 1, 2014. (Incorporated by reference to Tropicana Entertainment Inc.’s Quarterly</w:t>
              </w:r>
            </w:hyperlink>
          </w:p>
        </w:tc>
        <w:tc>
          <w:tcPr>
            <w:tcW w:w="3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74">
              <w:r>
                <w:rPr>
                  <w:rFonts w:ascii="Arial" w:cs="Arial" w:eastAsia="Arial" w:hAnsi="Arial"/>
                  <w:sz w:val="18"/>
                  <w:szCs w:val="18"/>
                  <w:color w:val="0000EE"/>
                  <w:w w:val="89"/>
                </w:rPr>
                <w:t>Report on Form 10-Q for the quarter ended September 30, 2014)</w:t>
              </w:r>
            </w:hyperlink>
          </w:p>
        </w:tc>
        <w:tc>
          <w:tcPr>
            <w:tcW w:w="57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4"/>
                <w:szCs w:val="24"/>
                <w:color w:val="auto"/>
              </w:rPr>
            </w:pPr>
          </w:p>
        </w:tc>
        <w:tc>
          <w:tcPr>
            <w:tcW w:w="10380" w:type="dxa"/>
            <w:vAlign w:val="bottom"/>
            <w:gridSpan w:val="18"/>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Subsidiaries of the Registrant (filed herewith).</w:t>
              </w:r>
            </w:hyperlink>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5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4"/>
                <w:szCs w:val="24"/>
                <w:color w:val="auto"/>
              </w:rPr>
            </w:pPr>
          </w:p>
        </w:tc>
        <w:tc>
          <w:tcPr>
            <w:tcW w:w="350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144">
              <w:r>
                <w:rPr>
                  <w:rFonts w:ascii="Arial" w:cs="Arial" w:eastAsia="Arial" w:hAnsi="Arial"/>
                  <w:sz w:val="18"/>
                  <w:szCs w:val="18"/>
                  <w:color w:val="0000EE"/>
                  <w:w w:val="93"/>
                </w:rPr>
                <w:t>Consent of Ernst &amp; Young LLP (filed herewith).</w:t>
              </w:r>
            </w:hyperlink>
          </w:p>
        </w:tc>
        <w:tc>
          <w:tcPr>
            <w:tcW w:w="68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380" w:type="dxa"/>
            <w:vAlign w:val="bottom"/>
            <w:gridSpan w:val="18"/>
          </w:tcPr>
          <w:p>
            <w:pPr>
              <w:spacing w:after="0" w:line="207" w:lineRule="exact"/>
              <w:rPr>
                <w:rFonts w:ascii="Arial" w:cs="Arial" w:eastAsia="Arial" w:hAnsi="Arial"/>
                <w:sz w:val="18"/>
                <w:szCs w:val="18"/>
                <w:color w:val="0000EE"/>
              </w:rPr>
            </w:pPr>
            <w:hyperlink w:anchor="page145">
              <w:r>
                <w:rPr>
                  <w:rFonts w:ascii="Arial" w:cs="Arial" w:eastAsia="Arial" w:hAnsi="Arial"/>
                  <w:sz w:val="18"/>
                  <w:szCs w:val="18"/>
                  <w:color w:val="0000EE"/>
                </w:rPr>
                <w:t>Certification of Thomas R. Reeg pursuant to Section 906 of the Sarbanes</w:t>
              </w:r>
              <w:r>
                <w:rPr>
                  <w:rFonts w:ascii="MS PGothic" w:cs="MS PGothic" w:eastAsia="MS PGothic" w:hAnsi="MS PGothic"/>
                  <w:sz w:val="18"/>
                  <w:szCs w:val="18"/>
                  <w:color w:val="0000EE"/>
                </w:rPr>
                <w:t>‑</w:t>
              </w:r>
              <w:r>
                <w:rPr>
                  <w:rFonts w:ascii="Arial" w:cs="Arial" w:eastAsia="Arial" w:hAnsi="Arial"/>
                  <w:sz w:val="18"/>
                  <w:szCs w:val="18"/>
                  <w:color w:val="0000EE"/>
                </w:rPr>
                <w:t>Oxley Act of 2002 (filed herewith).</w:t>
              </w:r>
            </w:hyperlink>
          </w:p>
        </w:tc>
        <w:tc>
          <w:tcPr>
            <w:tcW w:w="0" w:type="dxa"/>
            <w:vAlign w:val="bottom"/>
          </w:tcPr>
          <w:p>
            <w:pPr>
              <w:spacing w:after="0"/>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7880" w:type="dxa"/>
            <w:vAlign w:val="bottom"/>
            <w:tcBorders>
              <w:top w:val="single" w:sz="8" w:color="0000EE"/>
            </w:tcBorders>
            <w:gridSpan w:val="8"/>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Certification of Thomas R. Reeg in accordance with 18 U.S.C. Section 1350 (filed herewith).</w:t>
              </w:r>
            </w:hyperlink>
          </w:p>
        </w:tc>
        <w:tc>
          <w:tcPr>
            <w:tcW w:w="25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53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147">
              <w:r>
                <w:rPr>
                  <w:rFonts w:ascii="Arial" w:cs="Arial" w:eastAsia="Arial" w:hAnsi="Arial"/>
                  <w:sz w:val="18"/>
                  <w:szCs w:val="18"/>
                  <w:color w:val="0000EE"/>
                  <w:w w:val="92"/>
                </w:rPr>
                <w:t>Description of Governmental Regulations and Licensing (filed herewith).</w:t>
              </w:r>
            </w:hyperlink>
          </w:p>
        </w:tc>
        <w:tc>
          <w:tcPr>
            <w:tcW w:w="1420" w:type="dxa"/>
            <w:vAlign w:val="bottom"/>
            <w:tcBorders>
              <w:top w:val="single" w:sz="8" w:color="0000EE"/>
            </w:tcBorders>
          </w:tcPr>
          <w:p>
            <w:pPr>
              <w:spacing w:after="0"/>
              <w:rPr>
                <w:sz w:val="24"/>
                <w:szCs w:val="24"/>
                <w:color w:val="auto"/>
              </w:rPr>
            </w:pPr>
          </w:p>
        </w:tc>
        <w:tc>
          <w:tcPr>
            <w:tcW w:w="36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940" w:type="dxa"/>
            <w:vAlign w:val="bottom"/>
            <w:gridSpan w:val="2"/>
          </w:tcPr>
          <w:p>
            <w:pPr>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4"/>
                <w:szCs w:val="24"/>
                <w:color w:val="auto"/>
              </w:rPr>
            </w:pPr>
          </w:p>
        </w:tc>
        <w:tc>
          <w:tcPr>
            <w:tcW w:w="10380" w:type="dxa"/>
            <w:vAlign w:val="bottom"/>
            <w:gridSpan w:val="18"/>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940" w:type="dxa"/>
            <w:vAlign w:val="bottom"/>
            <w:gridSpan w:val="2"/>
          </w:tcPr>
          <w:p>
            <w:pPr>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4"/>
                <w:szCs w:val="24"/>
                <w:color w:val="auto"/>
              </w:rPr>
            </w:pPr>
          </w:p>
        </w:tc>
        <w:tc>
          <w:tcPr>
            <w:tcW w:w="10380" w:type="dxa"/>
            <w:vAlign w:val="bottom"/>
            <w:gridSpan w:val="18"/>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940" w:type="dxa"/>
            <w:vAlign w:val="bottom"/>
            <w:gridSpan w:val="2"/>
          </w:tcPr>
          <w:p>
            <w:pPr>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4"/>
                <w:szCs w:val="24"/>
                <w:color w:val="auto"/>
              </w:rPr>
            </w:pPr>
          </w:p>
        </w:tc>
        <w:tc>
          <w:tcPr>
            <w:tcW w:w="10380" w:type="dxa"/>
            <w:vAlign w:val="bottom"/>
            <w:gridSpan w:val="1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940" w:type="dxa"/>
            <w:vAlign w:val="bottom"/>
            <w:gridSpan w:val="2"/>
          </w:tcPr>
          <w:p>
            <w:pPr>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4"/>
                <w:szCs w:val="24"/>
                <w:color w:val="auto"/>
              </w:rPr>
            </w:pPr>
          </w:p>
        </w:tc>
        <w:tc>
          <w:tcPr>
            <w:tcW w:w="10380" w:type="dxa"/>
            <w:vAlign w:val="bottom"/>
            <w:gridSpan w:val="1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940" w:type="dxa"/>
            <w:vAlign w:val="bottom"/>
            <w:gridSpan w:val="2"/>
          </w:tcPr>
          <w:p>
            <w:pPr>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4"/>
                <w:szCs w:val="24"/>
                <w:color w:val="auto"/>
              </w:rPr>
            </w:pPr>
          </w:p>
        </w:tc>
        <w:tc>
          <w:tcPr>
            <w:tcW w:w="10380" w:type="dxa"/>
            <w:vAlign w:val="bottom"/>
            <w:gridSpan w:val="18"/>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8"/>
        </w:trPr>
        <w:tc>
          <w:tcPr>
            <w:tcW w:w="940" w:type="dxa"/>
            <w:vAlign w:val="bottom"/>
            <w:gridSpan w:val="2"/>
          </w:tcPr>
          <w:p>
            <w:pPr>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4"/>
                <w:szCs w:val="24"/>
                <w:color w:val="auto"/>
              </w:rPr>
            </w:pPr>
          </w:p>
        </w:tc>
        <w:tc>
          <w:tcPr>
            <w:tcW w:w="10380" w:type="dxa"/>
            <w:vAlign w:val="bottom"/>
            <w:gridSpan w:val="1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560" w:right="80" w:hanging="552"/>
        <w:spacing w:after="0" w:line="277" w:lineRule="auto"/>
        <w:tabs>
          <w:tab w:leader="none" w:pos="560" w:val="left"/>
        </w:tabs>
        <w:numPr>
          <w:ilvl w:val="0"/>
          <w:numId w:val="40"/>
        </w:numPr>
        <w:rPr>
          <w:rFonts w:ascii="MS PGothic" w:cs="MS PGothic" w:eastAsia="MS PGothic" w:hAnsi="MS PGothic"/>
          <w:sz w:val="17"/>
          <w:szCs w:val="17"/>
          <w:color w:val="auto"/>
        </w:rPr>
      </w:pPr>
      <w:r>
        <w:rPr>
          <w:rFonts w:ascii="Arial" w:cs="Arial" w:eastAsia="Arial" w:hAnsi="Arial"/>
          <w:sz w:val="17"/>
          <w:szCs w:val="17"/>
          <w:color w:val="auto"/>
        </w:rPr>
        <w:t>The Company has omitted schedules and similar attachments to the subject agreement pursuant to Item 601(b) of Regulation S-K. The Company will furnish a copy of any omitted schedule or similar attachment to the SEC upon request and hereby undertakes to furnish supplemental copies of any of the omitted schedules or similar attachments upon request by the SEC; provided, however, that the Company may request confidential treatment pursuant to Rule 24b-2 of the Exchange Act for any schedules or attachments so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804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75">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ind w:left="560" w:hanging="552"/>
        <w:spacing w:after="0"/>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Management contracts or compensatory plans or arrangements.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color w:val="auto"/>
        </w:rPr>
        <w:t>Pursuant to the requirements of Sections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ELDORADO RESORTS, INC.</w:t>
      </w:r>
    </w:p>
    <w:p>
      <w:pPr>
        <w:spacing w:after="0" w:line="252" w:lineRule="exact"/>
        <w:rPr>
          <w:sz w:val="20"/>
          <w:szCs w:val="20"/>
          <w:color w:val="auto"/>
        </w:rPr>
      </w:pPr>
    </w:p>
    <w:tbl>
      <w:tblPr>
        <w:tblLayout w:type="fixed"/>
        <w:tblInd w:w="580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T</w:t>
            </w:r>
            <w:r>
              <w:rPr>
                <w:rFonts w:ascii="Arial" w:cs="Arial" w:eastAsia="Arial" w:hAnsi="Arial"/>
                <w:sz w:val="12"/>
                <w:szCs w:val="12"/>
                <w:color w:val="auto"/>
                <w:w w:val="93"/>
              </w:rPr>
              <w:t>HOMAS</w:t>
            </w:r>
            <w:r>
              <w:rPr>
                <w:rFonts w:ascii="Arial" w:cs="Arial" w:eastAsia="Arial" w:hAnsi="Arial"/>
                <w:sz w:val="18"/>
                <w:szCs w:val="18"/>
                <w:color w:val="auto"/>
                <w:w w:val="93"/>
              </w:rPr>
              <w:t xml:space="preserve"> R. R</w:t>
            </w:r>
            <w:r>
              <w:rPr>
                <w:rFonts w:ascii="Arial" w:cs="Arial" w:eastAsia="Arial" w:hAnsi="Arial"/>
                <w:sz w:val="12"/>
                <w:szCs w:val="12"/>
                <w:color w:val="auto"/>
                <w:w w:val="93"/>
              </w:rPr>
              <w:t>EEG</w:t>
            </w:r>
          </w:p>
        </w:tc>
      </w:tr>
      <w:tr>
        <w:trPr>
          <w:trHeight w:val="195"/>
        </w:trPr>
        <w:tc>
          <w:tcPr>
            <w:tcW w:w="340" w:type="dxa"/>
            <w:vAlign w:val="bottom"/>
          </w:tcPr>
          <w:p>
            <w:pPr>
              <w:spacing w:after="0"/>
              <w:rPr>
                <w:sz w:val="16"/>
                <w:szCs w:val="16"/>
                <w:color w:val="auto"/>
              </w:rPr>
            </w:pPr>
          </w:p>
        </w:tc>
        <w:tc>
          <w:tcPr>
            <w:tcW w:w="5280" w:type="dxa"/>
            <w:vAlign w:val="bottom"/>
          </w:tcPr>
          <w:p>
            <w:pPr>
              <w:jc w:val="center"/>
              <w:spacing w:after="0" w:line="195" w:lineRule="exact"/>
              <w:rPr>
                <w:sz w:val="20"/>
                <w:szCs w:val="20"/>
                <w:color w:val="auto"/>
              </w:rPr>
            </w:pPr>
            <w:r>
              <w:rPr>
                <w:rFonts w:ascii="Arial" w:cs="Arial" w:eastAsia="Arial" w:hAnsi="Arial"/>
                <w:sz w:val="18"/>
                <w:szCs w:val="18"/>
                <w:color w:val="auto"/>
                <w:w w:val="88"/>
              </w:rPr>
              <w:t>Thomas R. Reeg</w:t>
            </w:r>
          </w:p>
        </w:tc>
      </w:tr>
      <w:tr>
        <w:trPr>
          <w:trHeight w:val="230"/>
        </w:trPr>
        <w:tc>
          <w:tcPr>
            <w:tcW w:w="34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i w:val="1"/>
                <w:iCs w:val="1"/>
                <w:color w:val="auto"/>
                <w:w w:val="92"/>
              </w:rPr>
              <w:t>Chief Executive Officer and Chief Financial Officer</w:t>
            </w:r>
          </w:p>
        </w:tc>
      </w:tr>
    </w:tbl>
    <w:p>
      <w:pPr>
        <w:spacing w:after="0"/>
        <w:rPr>
          <w:sz w:val="20"/>
          <w:szCs w:val="20"/>
          <w:color w:val="auto"/>
        </w:rPr>
      </w:pPr>
      <w:r>
        <w:rPr>
          <w:rFonts w:ascii="Arial" w:cs="Arial" w:eastAsia="Arial" w:hAnsi="Arial"/>
          <w:sz w:val="18"/>
          <w:szCs w:val="18"/>
          <w:color w:val="auto"/>
        </w:rPr>
        <w:t>Dated: March 1, 2019</w:t>
      </w:r>
    </w:p>
    <w:p>
      <w:pPr>
        <w:spacing w:after="0" w:line="170" w:lineRule="exact"/>
        <w:rPr>
          <w:sz w:val="20"/>
          <w:szCs w:val="20"/>
          <w:color w:val="auto"/>
        </w:rPr>
      </w:pPr>
    </w:p>
    <w:p>
      <w:pPr>
        <w:ind w:right="420" w:firstLine="55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p>
      <w:pPr>
        <w:ind w:left="1700"/>
        <w:spacing w:after="0"/>
        <w:tabs>
          <w:tab w:leader="none" w:pos="6280" w:val="left"/>
          <w:tab w:leader="none" w:pos="100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25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T</w:t>
      </w:r>
      <w:r>
        <w:rPr>
          <w:rFonts w:ascii="Arial" w:cs="Arial" w:eastAsia="Arial" w:hAnsi="Arial"/>
          <w:sz w:val="12"/>
          <w:szCs w:val="12"/>
          <w:color w:val="auto"/>
        </w:rPr>
        <w:t>HOMAS</w:t>
      </w:r>
      <w:r>
        <w:rPr>
          <w:rFonts w:ascii="Arial" w:cs="Arial" w:eastAsia="Arial" w:hAnsi="Arial"/>
          <w:sz w:val="18"/>
          <w:szCs w:val="18"/>
          <w:color w:val="auto"/>
        </w:rPr>
        <w:t xml:space="preserve"> R. R</w:t>
      </w:r>
      <w:r>
        <w:rPr>
          <w:rFonts w:ascii="Arial" w:cs="Arial" w:eastAsia="Arial" w:hAnsi="Arial"/>
          <w:sz w:val="12"/>
          <w:szCs w:val="12"/>
          <w:color w:val="auto"/>
        </w:rPr>
        <w:t>EEG</w:t>
      </w:r>
    </w:p>
    <w:p>
      <w:pPr>
        <w:spacing w:after="0" w:line="2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7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10"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TEPHANIE</w:t>
      </w:r>
      <w:r>
        <w:rPr>
          <w:rFonts w:ascii="Arial" w:cs="Arial" w:eastAsia="Arial" w:hAnsi="Arial"/>
          <w:sz w:val="18"/>
          <w:szCs w:val="18"/>
          <w:color w:val="auto"/>
        </w:rPr>
        <w:t xml:space="preserve"> D. L</w:t>
      </w:r>
      <w:r>
        <w:rPr>
          <w:rFonts w:ascii="Arial" w:cs="Arial" w:eastAsia="Arial" w:hAnsi="Arial"/>
          <w:sz w:val="12"/>
          <w:szCs w:val="12"/>
          <w:color w:val="auto"/>
        </w:rPr>
        <w:t>EPORI</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Stephanie D. Lepori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7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10"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ARY</w:t>
      </w:r>
      <w:r>
        <w:rPr>
          <w:rFonts w:ascii="Arial" w:cs="Arial" w:eastAsia="Arial" w:hAnsi="Arial"/>
          <w:sz w:val="18"/>
          <w:szCs w:val="18"/>
          <w:color w:val="auto"/>
        </w:rPr>
        <w:t xml:space="preserve"> L. C</w:t>
      </w:r>
      <w:r>
        <w:rPr>
          <w:rFonts w:ascii="Arial" w:cs="Arial" w:eastAsia="Arial" w:hAnsi="Arial"/>
          <w:sz w:val="12"/>
          <w:szCs w:val="12"/>
          <w:color w:val="auto"/>
        </w:rPr>
        <w:t>ARANO</w:t>
      </w:r>
    </w:p>
    <w:p>
      <w:pPr>
        <w:spacing w:after="0" w:line="2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8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4"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BONNIE BIUMI</w:t>
      </w:r>
    </w:p>
    <w:p>
      <w:pPr>
        <w:spacing w:after="0" w:line="2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Bonnie Biumi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8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10" w:lineRule="exact"/>
        <w:rPr>
          <w:sz w:val="20"/>
          <w:szCs w:val="20"/>
          <w:color w:val="auto"/>
        </w:rPr>
      </w:pPr>
    </w:p>
    <w:p>
      <w:pPr>
        <w:jc w:val="center"/>
        <w:ind w:left="580"/>
        <w:spacing w:after="0"/>
        <w:rPr>
          <w:sz w:val="20"/>
          <w:szCs w:val="20"/>
          <w:color w:val="auto"/>
        </w:rPr>
      </w:pPr>
      <w:r>
        <w:rPr>
          <w:rFonts w:ascii="Arial" w:cs="Arial" w:eastAsia="Arial" w:hAnsi="Arial"/>
          <w:sz w:val="17"/>
          <w:szCs w:val="17"/>
          <w:color w:val="auto"/>
        </w:rPr>
        <w:t>/s/ F</w:t>
      </w:r>
      <w:r>
        <w:rPr>
          <w:rFonts w:ascii="Arial" w:cs="Arial" w:eastAsia="Arial" w:hAnsi="Arial"/>
          <w:sz w:val="11"/>
          <w:szCs w:val="11"/>
          <w:color w:val="auto"/>
        </w:rPr>
        <w:t>RANK</w:t>
      </w:r>
      <w:r>
        <w:rPr>
          <w:rFonts w:ascii="Arial" w:cs="Arial" w:eastAsia="Arial" w:hAnsi="Arial"/>
          <w:sz w:val="17"/>
          <w:szCs w:val="17"/>
          <w:color w:val="auto"/>
        </w:rPr>
        <w:t xml:space="preserve"> J. F</w:t>
      </w:r>
      <w:r>
        <w:rPr>
          <w:rFonts w:ascii="Arial" w:cs="Arial" w:eastAsia="Arial" w:hAnsi="Arial"/>
          <w:sz w:val="11"/>
          <w:szCs w:val="11"/>
          <w:color w:val="auto"/>
        </w:rPr>
        <w:t>AHRENKOPF</w:t>
      </w:r>
      <w:r>
        <w:rPr>
          <w:rFonts w:ascii="Arial" w:cs="Arial" w:eastAsia="Arial" w:hAnsi="Arial"/>
          <w:sz w:val="17"/>
          <w:szCs w:val="17"/>
          <w:color w:val="auto"/>
        </w:rPr>
        <w:t xml:space="preserve"> J</w:t>
      </w:r>
      <w:r>
        <w:rPr>
          <w:rFonts w:ascii="Arial" w:cs="Arial" w:eastAsia="Arial" w:hAnsi="Arial"/>
          <w:sz w:val="11"/>
          <w:szCs w:val="11"/>
          <w:color w:val="auto"/>
        </w:rPr>
        <w:t>R</w:t>
      </w:r>
      <w:r>
        <w:rPr>
          <w:rFonts w:ascii="Arial" w:cs="Arial" w:eastAsia="Arial" w:hAnsi="Arial"/>
          <w:sz w:val="17"/>
          <w:szCs w:val="17"/>
          <w:color w:val="auto"/>
        </w:rPr>
        <w:t>.</w:t>
      </w:r>
    </w:p>
    <w:p>
      <w:pPr>
        <w:spacing w:after="0" w:line="35"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Frank J. Fahrenkopf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8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10"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AMES</w:t>
      </w:r>
      <w:r>
        <w:rPr>
          <w:rFonts w:ascii="Arial" w:cs="Arial" w:eastAsia="Arial" w:hAnsi="Arial"/>
          <w:sz w:val="18"/>
          <w:szCs w:val="18"/>
          <w:color w:val="auto"/>
        </w:rPr>
        <w:t xml:space="preserve"> B. H</w:t>
      </w:r>
      <w:r>
        <w:rPr>
          <w:rFonts w:ascii="Arial" w:cs="Arial" w:eastAsia="Arial" w:hAnsi="Arial"/>
          <w:sz w:val="12"/>
          <w:szCs w:val="12"/>
          <w:color w:val="auto"/>
        </w:rPr>
        <w:t>AWKINS</w:t>
      </w:r>
    </w:p>
    <w:p>
      <w:pPr>
        <w:spacing w:after="0" w:line="2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James B.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8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10"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REGORY</w:t>
      </w:r>
      <w:r>
        <w:rPr>
          <w:rFonts w:ascii="Arial" w:cs="Arial" w:eastAsia="Arial" w:hAnsi="Arial"/>
          <w:sz w:val="18"/>
          <w:szCs w:val="18"/>
          <w:color w:val="auto"/>
        </w:rPr>
        <w:t xml:space="preserve"> J. K</w:t>
      </w:r>
      <w:r>
        <w:rPr>
          <w:rFonts w:ascii="Arial" w:cs="Arial" w:eastAsia="Arial" w:hAnsi="Arial"/>
          <w:sz w:val="12"/>
          <w:szCs w:val="12"/>
          <w:color w:val="auto"/>
        </w:rPr>
        <w:t>OZICZ</w:t>
      </w:r>
    </w:p>
    <w:p>
      <w:pPr>
        <w:spacing w:after="0" w:line="2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Gregory J. Kozicz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8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10"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ICHAEL</w:t>
      </w:r>
      <w:r>
        <w:rPr>
          <w:rFonts w:ascii="Arial" w:cs="Arial" w:eastAsia="Arial" w:hAnsi="Arial"/>
          <w:sz w:val="18"/>
          <w:szCs w:val="18"/>
          <w:color w:val="auto"/>
        </w:rPr>
        <w:t xml:space="preserve"> E. P</w:t>
      </w:r>
      <w:r>
        <w:rPr>
          <w:rFonts w:ascii="Arial" w:cs="Arial" w:eastAsia="Arial" w:hAnsi="Arial"/>
          <w:sz w:val="12"/>
          <w:szCs w:val="12"/>
          <w:color w:val="auto"/>
        </w:rPr>
        <w:t>EGRAM</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Michael E. Pegram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8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10"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D</w:t>
      </w:r>
      <w:r>
        <w:rPr>
          <w:rFonts w:ascii="Arial" w:cs="Arial" w:eastAsia="Arial" w:hAnsi="Arial"/>
          <w:sz w:val="12"/>
          <w:szCs w:val="12"/>
          <w:color w:val="auto"/>
        </w:rPr>
        <w:t>AVID</w:t>
      </w:r>
      <w:r>
        <w:rPr>
          <w:rFonts w:ascii="Arial" w:cs="Arial" w:eastAsia="Arial" w:hAnsi="Arial"/>
          <w:sz w:val="18"/>
          <w:szCs w:val="18"/>
          <w:color w:val="auto"/>
        </w:rPr>
        <w:t xml:space="preserve"> P. T</w:t>
      </w:r>
      <w:r>
        <w:rPr>
          <w:rFonts w:ascii="Arial" w:cs="Arial" w:eastAsia="Arial" w:hAnsi="Arial"/>
          <w:sz w:val="12"/>
          <w:szCs w:val="12"/>
          <w:color w:val="auto"/>
        </w:rPr>
        <w:t>OMICK</w:t>
      </w:r>
    </w:p>
    <w:p>
      <w:pPr>
        <w:spacing w:after="0" w:line="2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David P. Tomick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8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10"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OGER</w:t>
      </w:r>
      <w:r>
        <w:rPr>
          <w:rFonts w:ascii="Arial" w:cs="Arial" w:eastAsia="Arial" w:hAnsi="Arial"/>
          <w:sz w:val="18"/>
          <w:szCs w:val="18"/>
          <w:color w:val="auto"/>
        </w:rPr>
        <w:t xml:space="preserve"> P. W</w:t>
      </w:r>
      <w:r>
        <w:rPr>
          <w:rFonts w:ascii="Arial" w:cs="Arial" w:eastAsia="Arial" w:hAnsi="Arial"/>
          <w:sz w:val="12"/>
          <w:szCs w:val="12"/>
          <w:color w:val="auto"/>
        </w:rPr>
        <w:t>AGNER</w:t>
      </w:r>
    </w:p>
    <w:p>
      <w:pPr>
        <w:spacing w:after="0" w:line="2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Roger P.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8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Chief Executive Officer and Chief Financial Officer (Principal</w:t>
            </w:r>
          </w:p>
        </w:tc>
        <w:tc>
          <w:tcPr>
            <w:tcW w:w="1500" w:type="dxa"/>
            <w:vAlign w:val="bottom"/>
            <w:vMerge w:val="restart"/>
          </w:tcPr>
          <w:p>
            <w:pPr>
              <w:ind w:left="440"/>
              <w:spacing w:after="0"/>
              <w:rPr>
                <w:sz w:val="20"/>
                <w:szCs w:val="20"/>
                <w:color w:val="auto"/>
              </w:rPr>
            </w:pPr>
            <w:r>
              <w:rPr>
                <w:rFonts w:ascii="Arial" w:cs="Arial" w:eastAsia="Arial" w:hAnsi="Arial"/>
                <w:sz w:val="18"/>
                <w:szCs w:val="18"/>
                <w:color w:val="auto"/>
                <w:w w:val="90"/>
              </w:rPr>
              <w:t>March 1, 2019</w:t>
            </w:r>
          </w:p>
        </w:tc>
        <w:tc>
          <w:tcPr>
            <w:tcW w:w="0" w:type="dxa"/>
            <w:vAlign w:val="bottom"/>
          </w:tcPr>
          <w:p>
            <w:pPr>
              <w:spacing w:after="0"/>
              <w:rPr>
                <w:sz w:val="1"/>
                <w:szCs w:val="1"/>
                <w:color w:val="auto"/>
              </w:rPr>
            </w:pPr>
          </w:p>
        </w:tc>
      </w:tr>
      <w:tr>
        <w:trPr>
          <w:trHeight w:val="122"/>
        </w:trPr>
        <w:tc>
          <w:tcPr>
            <w:tcW w:w="5020" w:type="dxa"/>
            <w:vAlign w:val="bottom"/>
            <w:vMerge w:val="restart"/>
          </w:tcPr>
          <w:p>
            <w:pPr>
              <w:spacing w:after="0"/>
              <w:rPr>
                <w:sz w:val="20"/>
                <w:szCs w:val="20"/>
                <w:color w:val="auto"/>
              </w:rPr>
            </w:pPr>
            <w:r>
              <w:rPr>
                <w:rFonts w:ascii="Arial" w:cs="Arial" w:eastAsia="Arial" w:hAnsi="Arial"/>
                <w:sz w:val="18"/>
                <w:szCs w:val="18"/>
                <w:color w:val="auto"/>
              </w:rPr>
              <w:t>Executive Officer and Principal Financial Officer) and Director</w:t>
            </w: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020" w:type="dxa"/>
            <w:vAlign w:val="bottom"/>
            <w:vMerge w:val="continue"/>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5020" w:type="dxa"/>
            <w:vAlign w:val="bottom"/>
          </w:tcPr>
          <w:p>
            <w:pPr>
              <w:spacing w:after="0"/>
              <w:rPr>
                <w:sz w:val="20"/>
                <w:szCs w:val="20"/>
                <w:color w:val="auto"/>
              </w:rPr>
            </w:pPr>
            <w:r>
              <w:rPr>
                <w:rFonts w:ascii="Arial" w:cs="Arial" w:eastAsia="Arial" w:hAnsi="Arial"/>
                <w:sz w:val="18"/>
                <w:szCs w:val="18"/>
                <w:color w:val="auto"/>
              </w:rPr>
              <w:t>Chief Administrative Officer (Principal Accounting Officer)</w:t>
            </w:r>
          </w:p>
        </w:tc>
        <w:tc>
          <w:tcPr>
            <w:tcW w:w="1500" w:type="dxa"/>
            <w:vAlign w:val="bottom"/>
          </w:tcPr>
          <w:p>
            <w:pPr>
              <w:ind w:left="440"/>
              <w:spacing w:after="0"/>
              <w:rPr>
                <w:sz w:val="20"/>
                <w:szCs w:val="20"/>
                <w:color w:val="auto"/>
              </w:rPr>
            </w:pPr>
            <w:r>
              <w:rPr>
                <w:rFonts w:ascii="Arial" w:cs="Arial" w:eastAsia="Arial" w:hAnsi="Arial"/>
                <w:sz w:val="18"/>
                <w:szCs w:val="18"/>
                <w:color w:val="auto"/>
                <w:w w:val="90"/>
              </w:rPr>
              <w:t>March 1, 2019</w:t>
            </w:r>
          </w:p>
        </w:tc>
        <w:tc>
          <w:tcPr>
            <w:tcW w:w="0" w:type="dxa"/>
            <w:vAlign w:val="bottom"/>
          </w:tcPr>
          <w:p>
            <w:pPr>
              <w:spacing w:after="0"/>
              <w:rPr>
                <w:sz w:val="1"/>
                <w:szCs w:val="1"/>
                <w:color w:val="auto"/>
              </w:rPr>
            </w:pPr>
          </w:p>
        </w:tc>
      </w:tr>
      <w:tr>
        <w:trPr>
          <w:trHeight w:val="567"/>
        </w:trPr>
        <w:tc>
          <w:tcPr>
            <w:tcW w:w="5020" w:type="dxa"/>
            <w:vAlign w:val="bottom"/>
          </w:tcPr>
          <w:p>
            <w:pPr>
              <w:spacing w:after="0"/>
              <w:rPr>
                <w:sz w:val="20"/>
                <w:szCs w:val="20"/>
                <w:color w:val="auto"/>
              </w:rPr>
            </w:pPr>
            <w:r>
              <w:rPr>
                <w:rFonts w:ascii="Arial" w:cs="Arial" w:eastAsia="Arial" w:hAnsi="Arial"/>
                <w:sz w:val="18"/>
                <w:szCs w:val="18"/>
                <w:color w:val="auto"/>
              </w:rPr>
              <w:t>Executive Chairman of the Board of Directors</w:t>
            </w:r>
          </w:p>
        </w:tc>
        <w:tc>
          <w:tcPr>
            <w:tcW w:w="1500" w:type="dxa"/>
            <w:vAlign w:val="bottom"/>
          </w:tcPr>
          <w:p>
            <w:pPr>
              <w:ind w:left="440"/>
              <w:spacing w:after="0"/>
              <w:rPr>
                <w:sz w:val="20"/>
                <w:szCs w:val="20"/>
                <w:color w:val="auto"/>
              </w:rPr>
            </w:pPr>
            <w:r>
              <w:rPr>
                <w:rFonts w:ascii="Arial" w:cs="Arial" w:eastAsia="Arial" w:hAnsi="Arial"/>
                <w:sz w:val="18"/>
                <w:szCs w:val="18"/>
                <w:color w:val="auto"/>
                <w:w w:val="90"/>
              </w:rPr>
              <w:t>March 1, 2019</w:t>
            </w:r>
          </w:p>
        </w:tc>
        <w:tc>
          <w:tcPr>
            <w:tcW w:w="0" w:type="dxa"/>
            <w:vAlign w:val="bottom"/>
          </w:tcPr>
          <w:p>
            <w:pPr>
              <w:spacing w:after="0"/>
              <w:rPr>
                <w:sz w:val="1"/>
                <w:szCs w:val="1"/>
                <w:color w:val="auto"/>
              </w:rPr>
            </w:pPr>
          </w:p>
        </w:tc>
      </w:tr>
      <w:tr>
        <w:trPr>
          <w:trHeight w:val="662"/>
        </w:trPr>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1500" w:type="dxa"/>
            <w:vAlign w:val="bottom"/>
          </w:tcPr>
          <w:p>
            <w:pPr>
              <w:ind w:left="440"/>
              <w:spacing w:after="0"/>
              <w:rPr>
                <w:sz w:val="20"/>
                <w:szCs w:val="20"/>
                <w:color w:val="auto"/>
              </w:rPr>
            </w:pPr>
            <w:r>
              <w:rPr>
                <w:rFonts w:ascii="Arial" w:cs="Arial" w:eastAsia="Arial" w:hAnsi="Arial"/>
                <w:sz w:val="18"/>
                <w:szCs w:val="18"/>
                <w:color w:val="auto"/>
                <w:w w:val="90"/>
              </w:rPr>
              <w:t>March 1, 2019</w:t>
            </w:r>
          </w:p>
        </w:tc>
        <w:tc>
          <w:tcPr>
            <w:tcW w:w="0" w:type="dxa"/>
            <w:vAlign w:val="bottom"/>
          </w:tcPr>
          <w:p>
            <w:pPr>
              <w:spacing w:after="0"/>
              <w:rPr>
                <w:sz w:val="1"/>
                <w:szCs w:val="1"/>
                <w:color w:val="auto"/>
              </w:rPr>
            </w:pPr>
          </w:p>
        </w:tc>
      </w:tr>
      <w:tr>
        <w:trPr>
          <w:trHeight w:val="567"/>
        </w:trPr>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1500" w:type="dxa"/>
            <w:vAlign w:val="bottom"/>
          </w:tcPr>
          <w:p>
            <w:pPr>
              <w:ind w:left="440"/>
              <w:spacing w:after="0"/>
              <w:rPr>
                <w:sz w:val="20"/>
                <w:szCs w:val="20"/>
                <w:color w:val="auto"/>
              </w:rPr>
            </w:pPr>
            <w:r>
              <w:rPr>
                <w:rFonts w:ascii="Arial" w:cs="Arial" w:eastAsia="Arial" w:hAnsi="Arial"/>
                <w:sz w:val="18"/>
                <w:szCs w:val="18"/>
                <w:color w:val="auto"/>
                <w:w w:val="90"/>
              </w:rPr>
              <w:t>March 1, 2019</w:t>
            </w:r>
          </w:p>
        </w:tc>
        <w:tc>
          <w:tcPr>
            <w:tcW w:w="0" w:type="dxa"/>
            <w:vAlign w:val="bottom"/>
          </w:tcPr>
          <w:p>
            <w:pPr>
              <w:spacing w:after="0"/>
              <w:rPr>
                <w:sz w:val="1"/>
                <w:szCs w:val="1"/>
                <w:color w:val="auto"/>
              </w:rPr>
            </w:pPr>
          </w:p>
        </w:tc>
      </w:tr>
      <w:tr>
        <w:trPr>
          <w:trHeight w:val="567"/>
        </w:trPr>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1500" w:type="dxa"/>
            <w:vAlign w:val="bottom"/>
          </w:tcPr>
          <w:p>
            <w:pPr>
              <w:ind w:left="440"/>
              <w:spacing w:after="0"/>
              <w:rPr>
                <w:sz w:val="20"/>
                <w:szCs w:val="20"/>
                <w:color w:val="auto"/>
              </w:rPr>
            </w:pPr>
            <w:r>
              <w:rPr>
                <w:rFonts w:ascii="Arial" w:cs="Arial" w:eastAsia="Arial" w:hAnsi="Arial"/>
                <w:sz w:val="18"/>
                <w:szCs w:val="18"/>
                <w:color w:val="auto"/>
                <w:w w:val="90"/>
              </w:rPr>
              <w:t>March 1, 2019</w:t>
            </w:r>
          </w:p>
        </w:tc>
        <w:tc>
          <w:tcPr>
            <w:tcW w:w="0" w:type="dxa"/>
            <w:vAlign w:val="bottom"/>
          </w:tcPr>
          <w:p>
            <w:pPr>
              <w:spacing w:after="0"/>
              <w:rPr>
                <w:sz w:val="1"/>
                <w:szCs w:val="1"/>
                <w:color w:val="auto"/>
              </w:rPr>
            </w:pPr>
          </w:p>
        </w:tc>
      </w:tr>
      <w:tr>
        <w:trPr>
          <w:trHeight w:val="567"/>
        </w:trPr>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1500" w:type="dxa"/>
            <w:vAlign w:val="bottom"/>
          </w:tcPr>
          <w:p>
            <w:pPr>
              <w:ind w:left="440"/>
              <w:spacing w:after="0"/>
              <w:rPr>
                <w:sz w:val="20"/>
                <w:szCs w:val="20"/>
                <w:color w:val="auto"/>
              </w:rPr>
            </w:pPr>
            <w:r>
              <w:rPr>
                <w:rFonts w:ascii="Arial" w:cs="Arial" w:eastAsia="Arial" w:hAnsi="Arial"/>
                <w:sz w:val="18"/>
                <w:szCs w:val="18"/>
                <w:color w:val="auto"/>
                <w:w w:val="90"/>
              </w:rPr>
              <w:t>March 1, 2019</w:t>
            </w:r>
          </w:p>
        </w:tc>
        <w:tc>
          <w:tcPr>
            <w:tcW w:w="0" w:type="dxa"/>
            <w:vAlign w:val="bottom"/>
          </w:tcPr>
          <w:p>
            <w:pPr>
              <w:spacing w:after="0"/>
              <w:rPr>
                <w:sz w:val="1"/>
                <w:szCs w:val="1"/>
                <w:color w:val="auto"/>
              </w:rPr>
            </w:pPr>
          </w:p>
        </w:tc>
      </w:tr>
      <w:tr>
        <w:trPr>
          <w:trHeight w:val="567"/>
        </w:trPr>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1500" w:type="dxa"/>
            <w:vAlign w:val="bottom"/>
          </w:tcPr>
          <w:p>
            <w:pPr>
              <w:ind w:left="440"/>
              <w:spacing w:after="0"/>
              <w:rPr>
                <w:sz w:val="20"/>
                <w:szCs w:val="20"/>
                <w:color w:val="auto"/>
              </w:rPr>
            </w:pPr>
            <w:r>
              <w:rPr>
                <w:rFonts w:ascii="Arial" w:cs="Arial" w:eastAsia="Arial" w:hAnsi="Arial"/>
                <w:sz w:val="18"/>
                <w:szCs w:val="18"/>
                <w:color w:val="auto"/>
                <w:w w:val="90"/>
              </w:rPr>
              <w:t>March 1, 2019</w:t>
            </w:r>
          </w:p>
        </w:tc>
        <w:tc>
          <w:tcPr>
            <w:tcW w:w="0" w:type="dxa"/>
            <w:vAlign w:val="bottom"/>
          </w:tcPr>
          <w:p>
            <w:pPr>
              <w:spacing w:after="0"/>
              <w:rPr>
                <w:sz w:val="1"/>
                <w:szCs w:val="1"/>
                <w:color w:val="auto"/>
              </w:rPr>
            </w:pPr>
          </w:p>
        </w:tc>
      </w:tr>
      <w:tr>
        <w:trPr>
          <w:trHeight w:val="567"/>
        </w:trPr>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1500" w:type="dxa"/>
            <w:vAlign w:val="bottom"/>
          </w:tcPr>
          <w:p>
            <w:pPr>
              <w:ind w:left="440"/>
              <w:spacing w:after="0"/>
              <w:rPr>
                <w:sz w:val="20"/>
                <w:szCs w:val="20"/>
                <w:color w:val="auto"/>
              </w:rPr>
            </w:pPr>
            <w:r>
              <w:rPr>
                <w:rFonts w:ascii="Arial" w:cs="Arial" w:eastAsia="Arial" w:hAnsi="Arial"/>
                <w:sz w:val="18"/>
                <w:szCs w:val="18"/>
                <w:color w:val="auto"/>
                <w:w w:val="90"/>
              </w:rPr>
              <w:t>March 1, 2019</w:t>
            </w:r>
          </w:p>
        </w:tc>
        <w:tc>
          <w:tcPr>
            <w:tcW w:w="0" w:type="dxa"/>
            <w:vAlign w:val="bottom"/>
          </w:tcPr>
          <w:p>
            <w:pPr>
              <w:spacing w:after="0"/>
              <w:rPr>
                <w:sz w:val="1"/>
                <w:szCs w:val="1"/>
                <w:color w:val="auto"/>
              </w:rPr>
            </w:pPr>
          </w:p>
        </w:tc>
      </w:tr>
      <w:tr>
        <w:trPr>
          <w:trHeight w:val="567"/>
        </w:trPr>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1500" w:type="dxa"/>
            <w:vAlign w:val="bottom"/>
          </w:tcPr>
          <w:p>
            <w:pPr>
              <w:ind w:left="440"/>
              <w:spacing w:after="0"/>
              <w:rPr>
                <w:sz w:val="20"/>
                <w:szCs w:val="20"/>
                <w:color w:val="auto"/>
              </w:rPr>
            </w:pPr>
            <w:r>
              <w:rPr>
                <w:rFonts w:ascii="Arial" w:cs="Arial" w:eastAsia="Arial" w:hAnsi="Arial"/>
                <w:sz w:val="18"/>
                <w:szCs w:val="18"/>
                <w:color w:val="auto"/>
                <w:w w:val="90"/>
              </w:rPr>
              <w:t>March 1, 2019</w:t>
            </w:r>
          </w:p>
        </w:tc>
        <w:tc>
          <w:tcPr>
            <w:tcW w:w="0" w:type="dxa"/>
            <w:vAlign w:val="bottom"/>
          </w:tcPr>
          <w:p>
            <w:pPr>
              <w:spacing w:after="0"/>
              <w:rPr>
                <w:sz w:val="1"/>
                <w:szCs w:val="1"/>
                <w:color w:val="auto"/>
              </w:rPr>
            </w:pPr>
          </w:p>
        </w:tc>
      </w:tr>
    </w:tbl>
    <w:p>
      <w:pPr>
        <w:spacing w:after="0" w:line="298" w:lineRule="exact"/>
        <w:rPr>
          <w:sz w:val="20"/>
          <w:szCs w:val="20"/>
          <w:color w:val="auto"/>
        </w:rPr>
      </w:pPr>
    </w:p>
    <w:p>
      <w:pPr>
        <w:sectPr>
          <w:pgSz w:w="11900" w:h="16838" w:orient="portrait"/>
          <w:cols w:equalWidth="0" w:num="2">
            <w:col w:w="3440" w:space="720"/>
            <w:col w:w="7260"/>
          </w:cols>
          <w:pgMar w:left="240" w:top="337" w:right="239" w:bottom="1440" w:gutter="0" w:footer="0" w:header="0"/>
          <w:type w:val="continuous"/>
        </w:sect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74" w:name="page75"/>
    <w:bookmarkEnd w:id="74"/>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 OF</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ELDORADO RESORTS, INC.</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4"/>
                <w:szCs w:val="14"/>
                <w:color w:val="auto"/>
              </w:rPr>
            </w:pPr>
          </w:p>
        </w:tc>
      </w:tr>
      <w:tr>
        <w:trPr>
          <w:trHeight w:val="291"/>
        </w:trPr>
        <w:tc>
          <w:tcPr>
            <w:tcW w:w="4920" w:type="dxa"/>
            <w:vAlign w:val="bottom"/>
            <w:gridSpan w:val="8"/>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Report of Independent Registered Public Accounting Firm</w:t>
              </w:r>
            </w:hyperlink>
          </w:p>
        </w:tc>
        <w:tc>
          <w:tcPr>
            <w:tcW w:w="6520" w:type="dxa"/>
            <w:vAlign w:val="bottom"/>
            <w:gridSpan w:val="3"/>
          </w:tcPr>
          <w:p>
            <w:pPr>
              <w:jc w:val="right"/>
              <w:ind w:right="20"/>
              <w:spacing w:after="0"/>
              <w:rPr>
                <w:sz w:val="20"/>
                <w:szCs w:val="20"/>
                <w:color w:val="auto"/>
              </w:rPr>
            </w:pPr>
            <w:r>
              <w:rPr>
                <w:rFonts w:ascii="Arial" w:cs="Arial" w:eastAsia="Arial" w:hAnsi="Arial"/>
                <w:sz w:val="18"/>
                <w:szCs w:val="18"/>
                <w:color w:val="auto"/>
              </w:rPr>
              <w:t>74</w:t>
            </w:r>
          </w:p>
        </w:tc>
      </w:tr>
      <w:tr>
        <w:trPr>
          <w:trHeight w:val="318"/>
        </w:trPr>
        <w:tc>
          <w:tcPr>
            <w:tcW w:w="210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77">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6"/>
          </w:tcPr>
          <w:p>
            <w:pPr>
              <w:spacing w:after="0"/>
              <w:rPr>
                <w:sz w:val="24"/>
                <w:szCs w:val="24"/>
                <w:color w:val="auto"/>
              </w:rPr>
            </w:pPr>
          </w:p>
        </w:tc>
        <w:tc>
          <w:tcPr>
            <w:tcW w:w="700" w:type="dxa"/>
            <w:vAlign w:val="bottom"/>
          </w:tcPr>
          <w:p>
            <w:pPr>
              <w:spacing w:after="0"/>
              <w:rPr>
                <w:sz w:val="24"/>
                <w:szCs w:val="24"/>
                <w:color w:val="auto"/>
              </w:rPr>
            </w:pPr>
          </w:p>
        </w:tc>
        <w:tc>
          <w:tcPr>
            <w:tcW w:w="6520" w:type="dxa"/>
            <w:vAlign w:val="bottom"/>
            <w:gridSpan w:val="3"/>
          </w:tcPr>
          <w:p>
            <w:pPr>
              <w:jc w:val="right"/>
              <w:ind w:right="20"/>
              <w:spacing w:after="0"/>
              <w:rPr>
                <w:sz w:val="20"/>
                <w:szCs w:val="20"/>
                <w:color w:val="auto"/>
              </w:rPr>
            </w:pPr>
            <w:r>
              <w:rPr>
                <w:rFonts w:ascii="Arial" w:cs="Arial" w:eastAsia="Arial" w:hAnsi="Arial"/>
                <w:sz w:val="18"/>
                <w:szCs w:val="18"/>
                <w:color w:val="auto"/>
              </w:rPr>
              <w:t>75</w:t>
            </w:r>
          </w:p>
        </w:tc>
      </w:tr>
      <w:tr>
        <w:trPr>
          <w:trHeight w:val="318"/>
        </w:trPr>
        <w:tc>
          <w:tcPr>
            <w:tcW w:w="258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Consolidated Statements of Income</w:t>
              </w:r>
            </w:hyperlink>
          </w:p>
        </w:tc>
        <w:tc>
          <w:tcPr>
            <w:tcW w:w="2340" w:type="dxa"/>
            <w:vAlign w:val="bottom"/>
            <w:gridSpan w:val="6"/>
          </w:tcPr>
          <w:p>
            <w:pPr>
              <w:spacing w:after="0"/>
              <w:rPr>
                <w:sz w:val="24"/>
                <w:szCs w:val="24"/>
                <w:color w:val="auto"/>
              </w:rPr>
            </w:pPr>
          </w:p>
        </w:tc>
        <w:tc>
          <w:tcPr>
            <w:tcW w:w="6520" w:type="dxa"/>
            <w:vAlign w:val="bottom"/>
            <w:gridSpan w:val="3"/>
          </w:tcPr>
          <w:p>
            <w:pPr>
              <w:jc w:val="right"/>
              <w:ind w:right="20"/>
              <w:spacing w:after="0"/>
              <w:rPr>
                <w:sz w:val="20"/>
                <w:szCs w:val="20"/>
                <w:color w:val="auto"/>
              </w:rPr>
            </w:pPr>
            <w:r>
              <w:rPr>
                <w:rFonts w:ascii="Arial" w:cs="Arial" w:eastAsia="Arial" w:hAnsi="Arial"/>
                <w:sz w:val="18"/>
                <w:szCs w:val="18"/>
                <w:color w:val="auto"/>
              </w:rPr>
              <w:t>76</w:t>
            </w:r>
          </w:p>
        </w:tc>
      </w:tr>
      <w:tr>
        <w:trPr>
          <w:trHeight w:val="318"/>
        </w:trPr>
        <w:tc>
          <w:tcPr>
            <w:tcW w:w="4920" w:type="dxa"/>
            <w:vAlign w:val="bottom"/>
            <w:gridSpan w:val="8"/>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Consolidated Statements of Comprehensive Income</w:t>
              </w:r>
            </w:hyperlink>
          </w:p>
        </w:tc>
        <w:tc>
          <w:tcPr>
            <w:tcW w:w="6520" w:type="dxa"/>
            <w:vAlign w:val="bottom"/>
            <w:gridSpan w:val="3"/>
          </w:tcPr>
          <w:p>
            <w:pPr>
              <w:jc w:val="right"/>
              <w:ind w:right="20"/>
              <w:spacing w:after="0"/>
              <w:rPr>
                <w:sz w:val="20"/>
                <w:szCs w:val="20"/>
                <w:color w:val="auto"/>
              </w:rPr>
            </w:pPr>
            <w:r>
              <w:rPr>
                <w:rFonts w:ascii="Arial" w:cs="Arial" w:eastAsia="Arial" w:hAnsi="Arial"/>
                <w:sz w:val="18"/>
                <w:szCs w:val="18"/>
                <w:color w:val="auto"/>
              </w:rPr>
              <w:t>77</w:t>
            </w:r>
          </w:p>
        </w:tc>
      </w:tr>
      <w:tr>
        <w:trPr>
          <w:trHeight w:val="318"/>
        </w:trPr>
        <w:tc>
          <w:tcPr>
            <w:tcW w:w="3740" w:type="dxa"/>
            <w:vAlign w:val="bottom"/>
            <w:tcBorders>
              <w:top w:val="single" w:sz="8" w:color="0000EE"/>
            </w:tcBorders>
            <w:gridSpan w:val="6"/>
          </w:tcPr>
          <w:p>
            <w:pPr>
              <w:spacing w:after="0"/>
              <w:rPr>
                <w:rFonts w:ascii="Arial" w:cs="Arial" w:eastAsia="Arial" w:hAnsi="Arial"/>
                <w:sz w:val="18"/>
                <w:szCs w:val="18"/>
                <w:color w:val="0000EE"/>
                <w:w w:val="97"/>
              </w:rPr>
            </w:pPr>
            <w:hyperlink w:anchor="page80">
              <w:r>
                <w:rPr>
                  <w:rFonts w:ascii="Arial" w:cs="Arial" w:eastAsia="Arial" w:hAnsi="Arial"/>
                  <w:sz w:val="18"/>
                  <w:szCs w:val="18"/>
                  <w:color w:val="0000EE"/>
                  <w:w w:val="97"/>
                </w:rPr>
                <w:t>Consolidated Statement of Stockholders’ Equity</w:t>
              </w:r>
            </w:hyperlink>
          </w:p>
        </w:tc>
        <w:tc>
          <w:tcPr>
            <w:tcW w:w="1180" w:type="dxa"/>
            <w:vAlign w:val="bottom"/>
            <w:gridSpan w:val="2"/>
          </w:tcPr>
          <w:p>
            <w:pPr>
              <w:spacing w:after="0"/>
              <w:rPr>
                <w:sz w:val="24"/>
                <w:szCs w:val="24"/>
                <w:color w:val="auto"/>
              </w:rPr>
            </w:pPr>
          </w:p>
        </w:tc>
        <w:tc>
          <w:tcPr>
            <w:tcW w:w="6520" w:type="dxa"/>
            <w:vAlign w:val="bottom"/>
            <w:gridSpan w:val="3"/>
          </w:tcPr>
          <w:p>
            <w:pPr>
              <w:jc w:val="right"/>
              <w:ind w:right="20"/>
              <w:spacing w:after="0"/>
              <w:rPr>
                <w:sz w:val="20"/>
                <w:szCs w:val="20"/>
                <w:color w:val="auto"/>
              </w:rPr>
            </w:pPr>
            <w:r>
              <w:rPr>
                <w:rFonts w:ascii="Arial" w:cs="Arial" w:eastAsia="Arial" w:hAnsi="Arial"/>
                <w:sz w:val="18"/>
                <w:szCs w:val="18"/>
                <w:color w:val="auto"/>
              </w:rPr>
              <w:t>78</w:t>
            </w:r>
          </w:p>
        </w:tc>
      </w:tr>
      <w:tr>
        <w:trPr>
          <w:trHeight w:val="318"/>
        </w:trPr>
        <w:tc>
          <w:tcPr>
            <w:tcW w:w="2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Consolidated Statements of Cash Flows</w:t>
              </w:r>
            </w:hyperlink>
          </w:p>
        </w:tc>
        <w:tc>
          <w:tcPr>
            <w:tcW w:w="600" w:type="dxa"/>
            <w:vAlign w:val="bottom"/>
            <w:tcBorders>
              <w:top w:val="single" w:sz="8" w:color="0000EE"/>
            </w:tcBorders>
            <w:gridSpan w:val="2"/>
          </w:tcPr>
          <w:p>
            <w:pPr>
              <w:spacing w:after="0"/>
              <w:rPr>
                <w:sz w:val="24"/>
                <w:szCs w:val="24"/>
                <w:color w:val="auto"/>
              </w:rPr>
            </w:pPr>
          </w:p>
        </w:tc>
        <w:tc>
          <w:tcPr>
            <w:tcW w:w="1440" w:type="dxa"/>
            <w:vAlign w:val="bottom"/>
            <w:gridSpan w:val="3"/>
          </w:tcPr>
          <w:p>
            <w:pPr>
              <w:spacing w:after="0"/>
              <w:rPr>
                <w:sz w:val="24"/>
                <w:szCs w:val="24"/>
                <w:color w:val="auto"/>
              </w:rPr>
            </w:pPr>
          </w:p>
        </w:tc>
        <w:tc>
          <w:tcPr>
            <w:tcW w:w="6520" w:type="dxa"/>
            <w:vAlign w:val="bottom"/>
            <w:gridSpan w:val="3"/>
          </w:tcPr>
          <w:p>
            <w:pPr>
              <w:jc w:val="right"/>
              <w:ind w:right="20"/>
              <w:spacing w:after="0"/>
              <w:rPr>
                <w:sz w:val="20"/>
                <w:szCs w:val="20"/>
                <w:color w:val="auto"/>
              </w:rPr>
            </w:pPr>
            <w:r>
              <w:rPr>
                <w:rFonts w:ascii="Arial" w:cs="Arial" w:eastAsia="Arial" w:hAnsi="Arial"/>
                <w:sz w:val="18"/>
                <w:szCs w:val="18"/>
                <w:color w:val="auto"/>
              </w:rPr>
              <w:t>79</w:t>
            </w:r>
          </w:p>
        </w:tc>
      </w:tr>
      <w:tr>
        <w:trPr>
          <w:trHeight w:val="318"/>
        </w:trPr>
        <w:tc>
          <w:tcPr>
            <w:tcW w:w="4920" w:type="dxa"/>
            <w:vAlign w:val="bottom"/>
            <w:gridSpan w:val="8"/>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Notes to Consolidated Financial Statements</w:t>
              </w:r>
            </w:hyperlink>
          </w:p>
        </w:tc>
        <w:tc>
          <w:tcPr>
            <w:tcW w:w="6520" w:type="dxa"/>
            <w:vAlign w:val="bottom"/>
            <w:gridSpan w:val="3"/>
          </w:tcPr>
          <w:p>
            <w:pPr>
              <w:jc w:val="right"/>
              <w:ind w:right="20"/>
              <w:spacing w:after="0"/>
              <w:rPr>
                <w:sz w:val="20"/>
                <w:szCs w:val="20"/>
                <w:color w:val="auto"/>
              </w:rPr>
            </w:pPr>
            <w:r>
              <w:rPr>
                <w:rFonts w:ascii="Arial" w:cs="Arial" w:eastAsia="Arial" w:hAnsi="Arial"/>
                <w:sz w:val="18"/>
                <w:szCs w:val="18"/>
                <w:color w:val="auto"/>
              </w:rPr>
              <w:t>80</w:t>
            </w:r>
          </w:p>
        </w:tc>
      </w:tr>
      <w:tr>
        <w:trPr>
          <w:trHeight w:val="453"/>
        </w:trPr>
        <w:tc>
          <w:tcPr>
            <w:tcW w:w="21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940" w:type="dxa"/>
            <w:vAlign w:val="bottom"/>
          </w:tcPr>
          <w:p>
            <w:pPr>
              <w:jc w:val="right"/>
              <w:ind w:right="4970"/>
              <w:spacing w:after="0"/>
              <w:rPr>
                <w:sz w:val="20"/>
                <w:szCs w:val="20"/>
                <w:color w:val="auto"/>
              </w:rPr>
            </w:pPr>
            <w:r>
              <w:rPr>
                <w:rFonts w:ascii="Arial" w:cs="Arial" w:eastAsia="Arial" w:hAnsi="Arial"/>
                <w:sz w:val="18"/>
                <w:szCs w:val="18"/>
                <w:color w:val="auto"/>
              </w:rPr>
              <w:t>73</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59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75" w:name="page76"/>
    <w:bookmarkEnd w:id="75"/>
    <w:p>
      <w:pPr>
        <w:jc w:val="center"/>
        <w:ind w:right="-9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Eldorado Resorts,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Opinion on the Financial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333333"/>
        </w:rPr>
        <w:t>We have audited the accompanying consolidated balance sheets of Eldorado Resorts, Inc. (the Company) as of December 31, 2018 and 2017, the related consolidated statements of income, comprehensive income, stockholders’ equity and cash flows for each of the three years in the period ended December 31, 2018, and the related notes and the financial statement schedule listed in the Index at Item 15 (a)(ii)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193"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333333"/>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March 1, 2019 expressed an unqualified opinion thereon.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Basis for Opinion</w:t>
      </w:r>
    </w:p>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333333"/>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pacing w:after="0" w:line="200" w:lineRule="exact"/>
        <w:rPr>
          <w:sz w:val="20"/>
          <w:szCs w:val="20"/>
          <w:color w:val="auto"/>
        </w:rPr>
      </w:pPr>
    </w:p>
    <w:p>
      <w:pPr>
        <w:spacing w:after="0" w:line="3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4"/>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3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FF0FC"/>
          </w:tcPr>
          <w:p>
            <w:pPr>
              <w:ind w:left="368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230,752</w:t>
            </w:r>
          </w:p>
        </w:tc>
        <w:tc>
          <w:tcPr>
            <w:tcW w:w="4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60"/>
              <w:spacing w:after="0"/>
              <w:rPr>
                <w:sz w:val="20"/>
                <w:szCs w:val="20"/>
                <w:color w:val="auto"/>
              </w:rPr>
            </w:pPr>
            <w:r>
              <w:rPr>
                <w:rFonts w:ascii="Arial" w:cs="Arial" w:eastAsia="Arial" w:hAnsi="Arial"/>
                <w:sz w:val="18"/>
                <w:szCs w:val="18"/>
                <w:color w:val="auto"/>
              </w:rPr>
              <w:t>Restricted cash and investments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24,892</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Marketable securities</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16,957</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60,169</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45,797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Due from affiliates</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20,595</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receivable</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15,731</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6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48,002</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27,823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Assets held for sale</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155,771</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4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573,196</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251,032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2,882,606</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1,502,817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Gaming licenses and other intangibles, net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1,362,006</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996,816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1,008,316</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747,106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 net</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85,338</w:t>
            </w:r>
          </w:p>
        </w:tc>
        <w:tc>
          <w:tcPr>
            <w:tcW w:w="4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48,701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5,911,462</w:t>
            </w:r>
          </w:p>
        </w:tc>
        <w:tc>
          <w:tcPr>
            <w:tcW w:w="4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3,546,472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ind w:left="206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6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462</w:t>
            </w:r>
          </w:p>
        </w:tc>
        <w:tc>
          <w:tcPr>
            <w:tcW w:w="400" w:type="dxa"/>
            <w:vAlign w:val="bottom"/>
          </w:tcPr>
          <w:p>
            <w:pPr>
              <w:spacing w:after="0"/>
              <w:rPr>
                <w:sz w:val="19"/>
                <w:szCs w:val="19"/>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58,524</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60"/>
              <w:spacing w:after="0"/>
              <w:rPr>
                <w:sz w:val="20"/>
                <w:szCs w:val="20"/>
                <w:color w:val="auto"/>
              </w:rPr>
            </w:pPr>
            <w:r>
              <w:rPr>
                <w:rFonts w:ascii="Arial" w:cs="Arial" w:eastAsia="Arial" w:hAnsi="Arial"/>
                <w:sz w:val="18"/>
                <w:szCs w:val="18"/>
                <w:color w:val="auto"/>
              </w:rPr>
              <w:t>Accrued property, gaming and other taxes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51,931</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43,212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payroll and related</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87,332</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60"/>
              <w:spacing w:after="0"/>
              <w:rPr>
                <w:sz w:val="20"/>
                <w:szCs w:val="20"/>
                <w:color w:val="auto"/>
              </w:rPr>
            </w:pPr>
            <w:r>
              <w:rPr>
                <w:rFonts w:ascii="Arial" w:cs="Arial" w:eastAsia="Arial" w:hAnsi="Arial"/>
                <w:sz w:val="18"/>
                <w:szCs w:val="18"/>
                <w:color w:val="auto"/>
              </w:rPr>
              <w:t>Accrued interest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42,780</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25,607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47,475</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60"/>
              <w:spacing w:after="0"/>
              <w:rPr>
                <w:sz w:val="20"/>
                <w:szCs w:val="20"/>
                <w:color w:val="auto"/>
              </w:rPr>
            </w:pPr>
            <w:r>
              <w:rPr>
                <w:rFonts w:ascii="Arial" w:cs="Arial" w:eastAsia="Arial" w:hAnsi="Arial"/>
                <w:sz w:val="18"/>
                <w:szCs w:val="18"/>
                <w:color w:val="auto"/>
              </w:rPr>
              <w:t>Accrued other liabilities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102,982</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66,038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Liabilities related to assets held for sale</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10,691</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4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402,177</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223,751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FF0FC"/>
          </w:tcPr>
          <w:p>
            <w:pPr>
              <w:spacing w:after="0"/>
              <w:rPr>
                <w:sz w:val="20"/>
                <w:szCs w:val="20"/>
                <w:color w:val="auto"/>
              </w:rPr>
            </w:pPr>
            <w:r>
              <w:rPr>
                <w:rFonts w:ascii="Arial" w:cs="Arial" w:eastAsia="Arial" w:hAnsi="Arial"/>
                <w:sz w:val="18"/>
                <w:szCs w:val="18"/>
                <w:color w:val="auto"/>
              </w:rPr>
              <w:t>Long-term financing obligation to GLPI</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959,835</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3,261,273</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2,189,578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200,010</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59,014</w:t>
            </w:r>
          </w:p>
        </w:tc>
        <w:tc>
          <w:tcPr>
            <w:tcW w:w="4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4,882,309</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2,604,875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Commitments and contingencies (Note 17)</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340" w:type="dxa"/>
            <w:vAlign w:val="bottom"/>
          </w:tcPr>
          <w:p>
            <w:pPr>
              <w:ind w:left="260"/>
              <w:spacing w:after="0"/>
              <w:rPr>
                <w:sz w:val="20"/>
                <w:szCs w:val="20"/>
                <w:color w:val="auto"/>
              </w:rPr>
            </w:pPr>
            <w:r>
              <w:rPr>
                <w:rFonts w:ascii="Arial" w:cs="Arial" w:eastAsia="Arial" w:hAnsi="Arial"/>
                <w:sz w:val="18"/>
                <w:szCs w:val="18"/>
                <w:color w:val="auto"/>
              </w:rPr>
              <w:t>Common stock, 200,000,000 and 100,000,000 shares authorized, 77,438,889</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340"/>
              <w:spacing w:after="0"/>
              <w:rPr>
                <w:sz w:val="20"/>
                <w:szCs w:val="20"/>
                <w:color w:val="auto"/>
              </w:rPr>
            </w:pPr>
            <w:r>
              <w:rPr>
                <w:rFonts w:ascii="Arial" w:cs="Arial" w:eastAsia="Arial" w:hAnsi="Arial"/>
                <w:sz w:val="18"/>
                <w:szCs w:val="18"/>
                <w:color w:val="auto"/>
              </w:rPr>
              <w:t>and 76,825,966 issued and outstanding, net of treasury shares, par value</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380"/>
              <w:spacing w:after="0"/>
              <w:rPr>
                <w:sz w:val="20"/>
                <w:szCs w:val="20"/>
                <w:color w:val="auto"/>
              </w:rPr>
            </w:pPr>
            <w:r>
              <w:rPr>
                <w:rFonts w:ascii="Arial" w:cs="Arial" w:eastAsia="Arial" w:hAnsi="Arial"/>
                <w:sz w:val="18"/>
                <w:szCs w:val="18"/>
                <w:color w:val="auto"/>
              </w:rPr>
              <w:t>$0.00001 as of December 31, 2018 and December 31, 2017, respectively</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Paid-in capital</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748,076</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746,547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290,206</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194,971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Treasury stock at cost, 223,823 shares held at December 31, 2018</w:t>
            </w: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(9,131)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1,029,153</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941,597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4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5,911,462</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3,546,472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Year Ended</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80" w:type="dxa"/>
            <w:vAlign w:val="bottom"/>
            <w:tcBorders>
              <w:bottom w:val="single" w:sz="8" w:color="CFF0FC"/>
            </w:tcBorders>
          </w:tcPr>
          <w:p>
            <w:pPr>
              <w:spacing w:after="0"/>
              <w:rPr>
                <w:sz w:val="13"/>
                <w:szCs w:val="13"/>
                <w:color w:val="auto"/>
              </w:rPr>
            </w:pPr>
          </w:p>
        </w:tc>
        <w:tc>
          <w:tcPr>
            <w:tcW w:w="14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111"/>
              <w:spacing w:after="0" w:line="155"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60"/>
              <w:spacing w:after="0"/>
              <w:rPr>
                <w:sz w:val="20"/>
                <w:szCs w:val="20"/>
                <w:color w:val="auto"/>
              </w:rPr>
            </w:pPr>
            <w:r>
              <w:rPr>
                <w:rFonts w:ascii="Arial" w:cs="Arial" w:eastAsia="Arial" w:hAnsi="Arial"/>
                <w:sz w:val="18"/>
                <w:szCs w:val="18"/>
                <w:color w:val="auto"/>
              </w:rPr>
              <w:t>Casino</w:t>
            </w:r>
          </w:p>
        </w:tc>
        <w:tc>
          <w:tcPr>
            <w:tcW w:w="17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1,534,954</w:t>
            </w:r>
          </w:p>
        </w:tc>
        <w:tc>
          <w:tcPr>
            <w:tcW w:w="16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1,085,014</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591,471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Pari-mutuel commissions</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18,437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60"/>
              <w:spacing w:after="0"/>
              <w:rPr>
                <w:sz w:val="20"/>
                <w:szCs w:val="20"/>
                <w:color w:val="auto"/>
              </w:rPr>
            </w:pPr>
            <w:r>
              <w:rPr>
                <w:rFonts w:ascii="Arial" w:cs="Arial" w:eastAsia="Arial" w:hAnsi="Arial"/>
                <w:sz w:val="18"/>
                <w:szCs w:val="18"/>
                <w:color w:val="auto"/>
              </w:rPr>
              <w:t>Food and beverage</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247,332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198,246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155,217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Hotel</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183,798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133,338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14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71,486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50,187</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revenues</w:t>
            </w:r>
          </w:p>
        </w:tc>
        <w:tc>
          <w:tcPr>
            <w:tcW w:w="14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2,056,007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1,480,798</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900,465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EXPENSES:</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Casino</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732,580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547,438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342,433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60"/>
              <w:spacing w:after="0"/>
              <w:rPr>
                <w:sz w:val="20"/>
                <w:szCs w:val="20"/>
                <w:color w:val="auto"/>
              </w:rPr>
            </w:pPr>
            <w:r>
              <w:rPr>
                <w:rFonts w:ascii="Arial" w:cs="Arial" w:eastAsia="Arial" w:hAnsi="Arial"/>
                <w:sz w:val="18"/>
                <w:szCs w:val="18"/>
                <w:color w:val="auto"/>
              </w:rPr>
              <w:t>Pari-mutuel commissions</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16,709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13,651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Food and beverage</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202,618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169,848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60"/>
              <w:spacing w:after="0"/>
              <w:rPr>
                <w:sz w:val="20"/>
                <w:szCs w:val="20"/>
                <w:color w:val="auto"/>
              </w:rPr>
            </w:pPr>
            <w:r>
              <w:rPr>
                <w:rFonts w:ascii="Arial" w:cs="Arial" w:eastAsia="Arial" w:hAnsi="Arial"/>
                <w:sz w:val="18"/>
                <w:szCs w:val="18"/>
                <w:color w:val="auto"/>
              </w:rPr>
              <w:t>Hotel</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65,009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50,575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41,212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38,676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32,156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60"/>
              <w:spacing w:after="0"/>
              <w:rPr>
                <w:sz w:val="20"/>
                <w:szCs w:val="20"/>
                <w:color w:val="auto"/>
              </w:rPr>
            </w:pPr>
            <w:r>
              <w:rPr>
                <w:rFonts w:ascii="Arial" w:cs="Arial" w:eastAsia="Arial" w:hAnsi="Arial"/>
                <w:sz w:val="18"/>
                <w:szCs w:val="18"/>
                <w:color w:val="auto"/>
              </w:rPr>
              <w:t>Marketing and promotions</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106,161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83,174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40,890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349,598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241,037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46,632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30,739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charges</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38,016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14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157,429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105,891</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63,449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1,729,014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1,312,525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801,745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Loss on sale or disposal of property and equipment</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(319)</w:t>
            </w: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terminated sales</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Transaction expenses</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(20,842)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(92,777)</w:t>
            </w: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(9,184)</w:t>
            </w: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Loss from unconsolidated affiliates</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(367)</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income</w:t>
            </w:r>
          </w:p>
        </w:tc>
        <w:tc>
          <w:tcPr>
            <w:tcW w:w="14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310,103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94,810</w:t>
            </w:r>
          </w:p>
        </w:tc>
        <w:tc>
          <w:tcPr>
            <w:tcW w:w="2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60"/>
              <w:spacing w:after="0"/>
              <w:rPr>
                <w:sz w:val="20"/>
                <w:szCs w:val="20"/>
                <w:color w:val="auto"/>
              </w:rPr>
            </w:pPr>
            <w:r>
              <w:rPr>
                <w:rFonts w:ascii="Arial" w:cs="Arial" w:eastAsia="Arial" w:hAnsi="Arial"/>
                <w:sz w:val="18"/>
                <w:szCs w:val="18"/>
                <w:color w:val="auto"/>
              </w:rPr>
              <w:t>Interest expense, net</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(171,732)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(99,769)</w:t>
            </w: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(50,917)</w:t>
            </w: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early retirement of debt, net</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(38,430)</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5180" w:type="dxa"/>
            <w:vAlign w:val="bottom"/>
          </w:tcPr>
          <w:p>
            <w:pPr>
              <w:ind w:left="260"/>
              <w:spacing w:after="0"/>
              <w:rPr>
                <w:sz w:val="20"/>
                <w:szCs w:val="20"/>
                <w:color w:val="auto"/>
              </w:rPr>
            </w:pPr>
            <w:r>
              <w:rPr>
                <w:rFonts w:ascii="Arial" w:cs="Arial" w:eastAsia="Arial" w:hAnsi="Arial"/>
                <w:sz w:val="18"/>
                <w:szCs w:val="18"/>
                <w:color w:val="auto"/>
              </w:rPr>
              <w:t>Unrealized loss on restricted investment</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w:t>
            </w:r>
          </w:p>
        </w:tc>
        <w:tc>
          <w:tcPr>
            <w:tcW w:w="14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(174,481)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(138,199)</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(51,072)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Net income (loss) before income taxes</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135,622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(43,389)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37,628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(40,387)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116,769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(13,101)</w:t>
            </w:r>
          </w:p>
        </w:tc>
        <w:tc>
          <w:tcPr>
            <w:tcW w:w="0" w:type="dxa"/>
            <w:vAlign w:val="bottom"/>
          </w:tcPr>
          <w:p>
            <w:pPr>
              <w:spacing w:after="0"/>
              <w:rPr>
                <w:sz w:val="1"/>
                <w:szCs w:val="1"/>
                <w:color w:val="auto"/>
              </w:rPr>
            </w:pPr>
          </w:p>
        </w:tc>
      </w:tr>
      <w:tr>
        <w:trPr>
          <w:trHeight w:val="263"/>
        </w:trPr>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14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95,235</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73,380</w:t>
            </w:r>
          </w:p>
        </w:tc>
        <w:tc>
          <w:tcPr>
            <w:tcW w:w="24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24,527</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 of common stock:</w:t>
            </w:r>
          </w:p>
        </w:tc>
        <w:tc>
          <w:tcPr>
            <w:tcW w:w="1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180" w:type="dxa"/>
            <w:vAlign w:val="bottom"/>
          </w:tcPr>
          <w:p>
            <w:pPr>
              <w:ind w:left="380"/>
              <w:spacing w:after="0"/>
              <w:rPr>
                <w:sz w:val="20"/>
                <w:szCs w:val="20"/>
                <w:color w:val="auto"/>
              </w:rPr>
            </w:pPr>
            <w:r>
              <w:rPr>
                <w:rFonts w:ascii="Arial" w:cs="Arial" w:eastAsia="Arial" w:hAnsi="Arial"/>
                <w:sz w:val="18"/>
                <w:szCs w:val="18"/>
                <w:color w:val="auto"/>
              </w:rPr>
              <w:t>Basic</w:t>
            </w:r>
          </w:p>
        </w:tc>
        <w:tc>
          <w:tcPr>
            <w:tcW w:w="17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23"/>
                <w:szCs w:val="23"/>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18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Diluted</w:t>
            </w:r>
          </w:p>
        </w:tc>
        <w:tc>
          <w:tcPr>
            <w:tcW w:w="148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Weighted average basic shares outstanding</w:t>
            </w:r>
          </w:p>
        </w:tc>
        <w:tc>
          <w:tcPr>
            <w:tcW w:w="1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FF0FC"/>
            </w:tcBorders>
            <w:vMerge w:val="continue"/>
          </w:tcPr>
          <w:p>
            <w:pPr>
              <w:spacing w:after="0"/>
              <w:rPr>
                <w:sz w:val="21"/>
                <w:szCs w:val="21"/>
                <w:color w:val="auto"/>
              </w:rPr>
            </w:pPr>
          </w:p>
        </w:tc>
        <w:tc>
          <w:tcPr>
            <w:tcW w:w="148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77,458,902</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67,133,531</w:t>
            </w:r>
          </w:p>
        </w:tc>
        <w:tc>
          <w:tcPr>
            <w:tcW w:w="2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47,033,311</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diluted shares outstanding</w:t>
            </w:r>
          </w:p>
        </w:tc>
        <w:tc>
          <w:tcPr>
            <w:tcW w:w="14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78,282,101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68,102,814</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47,701,562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64" w:lineRule="exact"/>
        <w:rPr>
          <w:sz w:val="20"/>
          <w:szCs w:val="20"/>
          <w:color w:val="auto"/>
        </w:rPr>
      </w:pPr>
    </w:p>
    <w:p>
      <w:pPr>
        <w:jc w:val="center"/>
        <w:ind w:left="6480"/>
        <w:spacing w:after="0"/>
        <w:rPr>
          <w:sz w:val="20"/>
          <w:szCs w:val="20"/>
          <w:color w:val="auto"/>
        </w:rPr>
      </w:pPr>
      <w:r>
        <w:rPr>
          <w:rFonts w:ascii="Arial" w:cs="Arial" w:eastAsia="Arial" w:hAnsi="Arial"/>
          <w:sz w:val="14"/>
          <w:szCs w:val="14"/>
          <w:b w:val="1"/>
          <w:bCs w:val="1"/>
          <w:color w:val="auto"/>
        </w:rPr>
        <w:t>Year Ended</w:t>
      </w:r>
    </w:p>
    <w:p>
      <w:pPr>
        <w:jc w:val="center"/>
        <w:ind w:left="648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780" w:type="dxa"/>
            <w:vAlign w:val="bottom"/>
            <w:tcBorders>
              <w:bottom w:val="single" w:sz="8" w:color="CFF0FC"/>
            </w:tcBorders>
          </w:tcPr>
          <w:p>
            <w:pPr>
              <w:spacing w:after="0"/>
              <w:rPr>
                <w:sz w:val="13"/>
                <w:szCs w:val="13"/>
                <w:color w:val="auto"/>
              </w:rPr>
            </w:pPr>
          </w:p>
        </w:tc>
        <w:tc>
          <w:tcPr>
            <w:tcW w:w="84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95,235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73,380</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24,527</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Defined benefit pension plan—amortization of net (loss) income,</w:t>
            </w:r>
          </w:p>
        </w:tc>
        <w:tc>
          <w:tcPr>
            <w:tcW w:w="8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of tax of $(1) and $36 for 2018 and 2017, respectively</w:t>
            </w:r>
          </w:p>
        </w:tc>
        <w:tc>
          <w:tcPr>
            <w:tcW w:w="8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(loss) income</w:t>
            </w:r>
          </w:p>
        </w:tc>
        <w:tc>
          <w:tcPr>
            <w:tcW w:w="840" w:type="dxa"/>
            <w:vAlign w:val="bottom"/>
            <w:tcBorders>
              <w:bottom w:val="single" w:sz="8" w:color="CFF0FC"/>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6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net of tax</w:t>
            </w:r>
          </w:p>
        </w:tc>
        <w:tc>
          <w:tcPr>
            <w:tcW w:w="8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95,157</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73,447</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24,527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820" w:type="dxa"/>
            <w:vAlign w:val="bottom"/>
            <w:gridSpan w:val="4"/>
          </w:tcPr>
          <w:p>
            <w:pPr>
              <w:jc w:val="right"/>
              <w:ind w:right="359"/>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4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1"/>
              </w:rPr>
              <w:t>Retained</w:t>
            </w:r>
          </w:p>
        </w:tc>
        <w:tc>
          <w:tcPr>
            <w:tcW w:w="160" w:type="dxa"/>
            <w:vAlign w:val="bottom"/>
          </w:tcPr>
          <w:p>
            <w:pPr>
              <w:spacing w:after="0"/>
              <w:rPr>
                <w:sz w:val="12"/>
                <w:szCs w:val="12"/>
                <w:color w:val="auto"/>
              </w:rPr>
            </w:pPr>
          </w:p>
        </w:tc>
        <w:tc>
          <w:tcPr>
            <w:tcW w:w="11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Other</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8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2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66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8"/>
              </w:rPr>
              <w:t>Shares</w:t>
            </w:r>
          </w:p>
        </w:tc>
        <w:tc>
          <w:tcPr>
            <w:tcW w:w="2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93"/>
              </w:rPr>
              <w:t>Earnings</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3"/>
              </w:rPr>
              <w:t>Income</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FF0FC"/>
          </w:tcPr>
          <w:p>
            <w:pPr>
              <w:spacing w:after="0"/>
              <w:rPr>
                <w:sz w:val="20"/>
                <w:szCs w:val="20"/>
                <w:color w:val="auto"/>
              </w:rPr>
            </w:pPr>
            <w:r>
              <w:rPr>
                <w:rFonts w:ascii="Arial" w:cs="Arial" w:eastAsia="Arial" w:hAnsi="Arial"/>
                <w:sz w:val="16"/>
                <w:szCs w:val="16"/>
                <w:color w:val="auto"/>
              </w:rPr>
              <w:t>Balance, December 31, 2015</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46,817,829</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170,897</w:t>
            </w:r>
          </w:p>
        </w:tc>
        <w:tc>
          <w:tcPr>
            <w:tcW w:w="14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97,551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268,460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tcPr>
          <w:p>
            <w:pPr>
              <w:ind w:left="260"/>
              <w:spacing w:after="0"/>
              <w:rPr>
                <w:sz w:val="20"/>
                <w:szCs w:val="20"/>
                <w:color w:val="auto"/>
              </w:rPr>
            </w:pPr>
            <w:r>
              <w:rPr>
                <w:rFonts w:ascii="Arial" w:cs="Arial" w:eastAsia="Arial" w:hAnsi="Arial"/>
                <w:sz w:val="16"/>
                <w:szCs w:val="16"/>
                <w:color w:val="auto"/>
              </w:rPr>
              <w:t>Issuance of restricted stock units</w:t>
            </w:r>
          </w:p>
        </w:tc>
        <w:tc>
          <w:tcPr>
            <w:tcW w:w="860" w:type="dxa"/>
            <w:vAlign w:val="bottom"/>
          </w:tcPr>
          <w:p>
            <w:pPr>
              <w:jc w:val="right"/>
              <w:spacing w:after="0"/>
              <w:rPr>
                <w:sz w:val="20"/>
                <w:szCs w:val="20"/>
                <w:color w:val="auto"/>
              </w:rPr>
            </w:pPr>
            <w:r>
              <w:rPr>
                <w:rFonts w:ascii="Arial" w:cs="Arial" w:eastAsia="Arial" w:hAnsi="Arial"/>
                <w:sz w:val="16"/>
                <w:szCs w:val="16"/>
                <w:color w:val="auto"/>
              </w:rPr>
              <w:t>217,997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24,527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24,527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40" w:type="dxa"/>
            <w:vAlign w:val="bottom"/>
          </w:tcPr>
          <w:p>
            <w:pPr>
              <w:ind w:left="260"/>
              <w:spacing w:after="0"/>
              <w:rPr>
                <w:sz w:val="20"/>
                <w:szCs w:val="20"/>
                <w:color w:val="auto"/>
              </w:rPr>
            </w:pPr>
            <w:r>
              <w:rPr>
                <w:rFonts w:ascii="Arial" w:cs="Arial" w:eastAsia="Arial" w:hAnsi="Arial"/>
                <w:sz w:val="16"/>
                <w:szCs w:val="16"/>
                <w:color w:val="auto"/>
              </w:rPr>
              <w:t>Exercise of stock options</w:t>
            </w:r>
          </w:p>
        </w:tc>
        <w:tc>
          <w:tcPr>
            <w:tcW w:w="860" w:type="dxa"/>
            <w:vAlign w:val="bottom"/>
          </w:tcPr>
          <w:p>
            <w:pPr>
              <w:jc w:val="right"/>
              <w:spacing w:after="0"/>
              <w:rPr>
                <w:sz w:val="20"/>
                <w:szCs w:val="20"/>
                <w:color w:val="auto"/>
              </w:rPr>
            </w:pPr>
            <w:r>
              <w:rPr>
                <w:rFonts w:ascii="Arial" w:cs="Arial" w:eastAsia="Arial" w:hAnsi="Arial"/>
                <w:sz w:val="16"/>
                <w:szCs w:val="16"/>
                <w:color w:val="auto"/>
              </w:rPr>
              <w:t>132,900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Shares withheld related to net share</w:t>
            </w: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settlement of stock</w:t>
            </w: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3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awards</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(62,982)</w:t>
            </w: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(744)</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6"/>
                <w:szCs w:val="16"/>
                <w:color w:val="auto"/>
              </w:rPr>
              <w:t>Balance, December 31, 2016</w:t>
            </w: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340" w:type="dxa"/>
            <w:vAlign w:val="bottom"/>
            <w:vMerge w:val="continue"/>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47,105,744</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173,879</w:t>
            </w:r>
          </w:p>
        </w:tc>
        <w:tc>
          <w:tcPr>
            <w:tcW w:w="14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122,078</w:t>
            </w:r>
          </w:p>
        </w:tc>
        <w:tc>
          <w:tcPr>
            <w:tcW w:w="2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295,969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Isle common stock exchanged at merger</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28,468,182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574,811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574,811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40" w:type="dxa"/>
            <w:vAlign w:val="bottom"/>
          </w:tcPr>
          <w:p>
            <w:pPr>
              <w:ind w:left="260"/>
              <w:spacing w:after="0"/>
              <w:rPr>
                <w:sz w:val="20"/>
                <w:szCs w:val="20"/>
                <w:color w:val="auto"/>
              </w:rPr>
            </w:pPr>
            <w:r>
              <w:rPr>
                <w:rFonts w:ascii="Arial" w:cs="Arial" w:eastAsia="Arial" w:hAnsi="Arial"/>
                <w:sz w:val="16"/>
                <w:szCs w:val="16"/>
                <w:color w:val="auto"/>
              </w:rPr>
              <w:t>Issuance of restricted stock units</w:t>
            </w:r>
          </w:p>
        </w:tc>
        <w:tc>
          <w:tcPr>
            <w:tcW w:w="860" w:type="dxa"/>
            <w:vAlign w:val="bottom"/>
          </w:tcPr>
          <w:p>
            <w:pPr>
              <w:jc w:val="right"/>
              <w:spacing w:after="0"/>
              <w:rPr>
                <w:sz w:val="20"/>
                <w:szCs w:val="20"/>
                <w:color w:val="auto"/>
              </w:rPr>
            </w:pPr>
            <w:r>
              <w:rPr>
                <w:rFonts w:ascii="Arial" w:cs="Arial" w:eastAsia="Arial" w:hAnsi="Arial"/>
                <w:sz w:val="16"/>
                <w:szCs w:val="16"/>
                <w:color w:val="auto"/>
              </w:rPr>
              <w:t>1,070,552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6,322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6,322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(487)</w:t>
            </w:r>
          </w:p>
        </w:tc>
        <w:tc>
          <w:tcPr>
            <w:tcW w:w="16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13"/>
        </w:trPr>
        <w:tc>
          <w:tcPr>
            <w:tcW w:w="334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73,380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73,380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income</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40" w:type="dxa"/>
            <w:vAlign w:val="bottom"/>
          </w:tcPr>
          <w:p>
            <w:pPr>
              <w:ind w:left="260"/>
              <w:spacing w:after="0"/>
              <w:rPr>
                <w:sz w:val="20"/>
                <w:szCs w:val="20"/>
                <w:color w:val="auto"/>
              </w:rPr>
            </w:pPr>
            <w:r>
              <w:rPr>
                <w:rFonts w:ascii="Arial" w:cs="Arial" w:eastAsia="Arial" w:hAnsi="Arial"/>
                <w:sz w:val="16"/>
                <w:szCs w:val="16"/>
                <w:color w:val="auto"/>
              </w:rPr>
              <w:t>Exercise of stock options</w:t>
            </w:r>
          </w:p>
        </w:tc>
        <w:tc>
          <w:tcPr>
            <w:tcW w:w="860" w:type="dxa"/>
            <w:vAlign w:val="bottom"/>
          </w:tcPr>
          <w:p>
            <w:pPr>
              <w:jc w:val="right"/>
              <w:spacing w:after="0"/>
              <w:rPr>
                <w:sz w:val="20"/>
                <w:szCs w:val="20"/>
                <w:color w:val="auto"/>
              </w:rPr>
            </w:pPr>
            <w:r>
              <w:rPr>
                <w:rFonts w:ascii="Arial" w:cs="Arial" w:eastAsia="Arial" w:hAnsi="Arial"/>
                <w:sz w:val="16"/>
                <w:szCs w:val="16"/>
                <w:color w:val="auto"/>
              </w:rPr>
              <w:t>1,185,745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Shares withheld related to net share</w:t>
            </w: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settlement of stock</w:t>
            </w: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3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awards</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(1,004,257)</w:t>
            </w: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(11,365)</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(11,365)</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6"/>
                <w:szCs w:val="16"/>
                <w:color w:val="auto"/>
              </w:rPr>
              <w:t>Balance, December 31, 2017</w:t>
            </w: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340" w:type="dxa"/>
            <w:vAlign w:val="bottom"/>
            <w:vMerge w:val="continue"/>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76,825,966</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746,547</w:t>
            </w:r>
          </w:p>
        </w:tc>
        <w:tc>
          <w:tcPr>
            <w:tcW w:w="14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194,971</w:t>
            </w:r>
          </w:p>
        </w:tc>
        <w:tc>
          <w:tcPr>
            <w:tcW w:w="2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941,597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restricted stock units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848,737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13,083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13,084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40" w:type="dxa"/>
            <w:vAlign w:val="bottom"/>
          </w:tcPr>
          <w:p>
            <w:pPr>
              <w:ind w:left="260"/>
              <w:spacing w:after="0"/>
              <w:rPr>
                <w:sz w:val="20"/>
                <w:szCs w:val="20"/>
                <w:color w:val="auto"/>
              </w:rPr>
            </w:pPr>
            <w:r>
              <w:rPr>
                <w:rFonts w:ascii="Arial" w:cs="Arial" w:eastAsia="Arial" w:hAnsi="Arial"/>
                <w:sz w:val="16"/>
                <w:szCs w:val="16"/>
                <w:color w:val="auto"/>
              </w:rPr>
              <w:t>Purchase of treasury shares</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223,823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(9,131)</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(9,131)</w:t>
            </w:r>
          </w:p>
        </w:tc>
        <w:tc>
          <w:tcPr>
            <w:tcW w:w="0" w:type="dxa"/>
            <w:vAlign w:val="bottom"/>
          </w:tcPr>
          <w:p>
            <w:pPr>
              <w:spacing w:after="0"/>
              <w:rPr>
                <w:sz w:val="1"/>
                <w:szCs w:val="1"/>
                <w:color w:val="auto"/>
              </w:rPr>
            </w:pPr>
          </w:p>
        </w:tc>
      </w:tr>
      <w:tr>
        <w:trPr>
          <w:trHeight w:val="219"/>
        </w:trPr>
        <w:tc>
          <w:tcPr>
            <w:tcW w:w="3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95,235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95,235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40" w:type="dxa"/>
            <w:vAlign w:val="bottom"/>
          </w:tcPr>
          <w:p>
            <w:pPr>
              <w:ind w:left="260"/>
              <w:spacing w:after="0"/>
              <w:rPr>
                <w:sz w:val="20"/>
                <w:szCs w:val="20"/>
                <w:color w:val="auto"/>
              </w:rPr>
            </w:pPr>
            <w:r>
              <w:rPr>
                <w:rFonts w:ascii="Arial" w:cs="Arial" w:eastAsia="Arial" w:hAnsi="Arial"/>
                <w:sz w:val="16"/>
                <w:szCs w:val="16"/>
                <w:color w:val="auto"/>
              </w:rPr>
              <w:t>Other comprehensive loss</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9"/>
        </w:trPr>
        <w:tc>
          <w:tcPr>
            <w:tcW w:w="3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Exercise of stock options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67,336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260"/>
              <w:spacing w:after="0"/>
              <w:rPr>
                <w:sz w:val="20"/>
                <w:szCs w:val="20"/>
                <w:color w:val="auto"/>
              </w:rPr>
            </w:pPr>
            <w:r>
              <w:rPr>
                <w:rFonts w:ascii="Arial" w:cs="Arial" w:eastAsia="Arial" w:hAnsi="Arial"/>
                <w:sz w:val="16"/>
                <w:szCs w:val="16"/>
                <w:color w:val="auto"/>
              </w:rPr>
              <w:t>Shares withheld related to net share</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260"/>
              <w:spacing w:after="0"/>
              <w:rPr>
                <w:sz w:val="20"/>
                <w:szCs w:val="20"/>
                <w:color w:val="auto"/>
              </w:rPr>
            </w:pPr>
            <w:r>
              <w:rPr>
                <w:rFonts w:ascii="Arial" w:cs="Arial" w:eastAsia="Arial" w:hAnsi="Arial"/>
                <w:sz w:val="16"/>
                <w:szCs w:val="16"/>
                <w:color w:val="auto"/>
              </w:rPr>
              <w:t>settlement of stock</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40" w:type="dxa"/>
            <w:vAlign w:val="bottom"/>
          </w:tcPr>
          <w:p>
            <w:pPr>
              <w:ind w:left="380"/>
              <w:spacing w:after="0"/>
              <w:rPr>
                <w:sz w:val="20"/>
                <w:szCs w:val="20"/>
                <w:color w:val="auto"/>
              </w:rPr>
            </w:pPr>
            <w:r>
              <w:rPr>
                <w:rFonts w:ascii="Arial" w:cs="Arial" w:eastAsia="Arial" w:hAnsi="Arial"/>
                <w:sz w:val="16"/>
                <w:szCs w:val="16"/>
                <w:color w:val="auto"/>
              </w:rPr>
              <w:t>awards</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(303,150)</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(11,708)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(11,708)</w:t>
            </w:r>
          </w:p>
        </w:tc>
        <w:tc>
          <w:tcPr>
            <w:tcW w:w="0" w:type="dxa"/>
            <w:vAlign w:val="bottom"/>
          </w:tcPr>
          <w:p>
            <w:pPr>
              <w:spacing w:after="0"/>
              <w:rPr>
                <w:sz w:val="1"/>
                <w:szCs w:val="1"/>
                <w:color w:val="auto"/>
              </w:rPr>
            </w:pPr>
          </w:p>
        </w:tc>
      </w:tr>
      <w:tr>
        <w:trPr>
          <w:trHeight w:val="20"/>
        </w:trPr>
        <w:tc>
          <w:tcPr>
            <w:tcW w:w="33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 December 31, 2018</w:t>
            </w: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vMerge w:val="continue"/>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77,438,889</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748,076</w:t>
            </w:r>
          </w:p>
        </w:tc>
        <w:tc>
          <w:tcPr>
            <w:tcW w:w="14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290,206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223,823</w:t>
            </w:r>
          </w:p>
        </w:tc>
        <w:tc>
          <w:tcPr>
            <w:tcW w:w="220" w:type="dxa"/>
            <w:vAlign w:val="bottom"/>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(9,131)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1,029,153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3"/>
                <w:szCs w:val="13"/>
                <w:b w:val="1"/>
                <w:bCs w:val="1"/>
                <w:color w:val="auto"/>
                <w:w w:val="86"/>
              </w:rPr>
              <w:t>Year Ended December 31,</w:t>
            </w:r>
          </w:p>
        </w:tc>
        <w:tc>
          <w:tcPr>
            <w:tcW w:w="1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Borders>
              <w:bottom w:val="single" w:sz="8" w:color="CFF0FC"/>
            </w:tcBorders>
          </w:tcPr>
          <w:p>
            <w:pPr>
              <w:spacing w:after="0"/>
              <w:rPr>
                <w:sz w:val="12"/>
                <w:szCs w:val="12"/>
                <w:color w:val="auto"/>
              </w:rPr>
            </w:pPr>
          </w:p>
        </w:tc>
        <w:tc>
          <w:tcPr>
            <w:tcW w:w="620" w:type="dxa"/>
            <w:vAlign w:val="bottom"/>
            <w:tcBorders>
              <w:bottom w:val="single" w:sz="8" w:color="CFF0FC"/>
            </w:tcBorders>
          </w:tcPr>
          <w:p>
            <w:pPr>
              <w:spacing w:after="0"/>
              <w:rPr>
                <w:sz w:val="12"/>
                <w:szCs w:val="12"/>
                <w:color w:val="auto"/>
              </w:rPr>
            </w:pPr>
          </w:p>
        </w:tc>
        <w:tc>
          <w:tcPr>
            <w:tcW w:w="960" w:type="dxa"/>
            <w:vAlign w:val="bottom"/>
            <w:tcBorders>
              <w:bottom w:val="single" w:sz="8" w:color="auto"/>
            </w:tcBorders>
          </w:tcPr>
          <w:p>
            <w:pPr>
              <w:jc w:val="right"/>
              <w:ind w:right="7"/>
              <w:spacing w:after="0" w:line="143" w:lineRule="exact"/>
              <w:rPr>
                <w:sz w:val="20"/>
                <w:szCs w:val="20"/>
                <w:color w:val="auto"/>
              </w:rPr>
            </w:pPr>
            <w:r>
              <w:rPr>
                <w:rFonts w:ascii="Arial" w:cs="Arial" w:eastAsia="Arial" w:hAnsi="Arial"/>
                <w:sz w:val="13"/>
                <w:szCs w:val="13"/>
                <w:b w:val="1"/>
                <w:bCs w:val="1"/>
                <w:color w:val="auto"/>
              </w:rPr>
              <w:t>2018</w:t>
            </w: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617"/>
              <w:spacing w:after="0" w:line="143" w:lineRule="exact"/>
              <w:rPr>
                <w:sz w:val="20"/>
                <w:szCs w:val="20"/>
                <w:color w:val="auto"/>
              </w:rPr>
            </w:pPr>
            <w:r>
              <w:rPr>
                <w:rFonts w:ascii="Arial" w:cs="Arial" w:eastAsia="Arial" w:hAnsi="Arial"/>
                <w:sz w:val="13"/>
                <w:szCs w:val="13"/>
                <w:b w:val="1"/>
                <w:bCs w:val="1"/>
                <w:color w:val="auto"/>
              </w:rPr>
              <w:t>2017</w:t>
            </w:r>
          </w:p>
        </w:tc>
        <w:tc>
          <w:tcPr>
            <w:tcW w:w="22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7"/>
              <w:spacing w:after="0" w:line="143" w:lineRule="exact"/>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CASH FLOWS FROM OPERATING ACTIVITIES:</w:t>
            </w: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20"/>
                <w:szCs w:val="20"/>
                <w:color w:val="auto"/>
              </w:rPr>
            </w:pPr>
            <w:r>
              <w:rPr>
                <w:rFonts w:ascii="Arial" w:cs="Arial" w:eastAsia="Arial" w:hAnsi="Arial"/>
                <w:sz w:val="13"/>
                <w:szCs w:val="13"/>
                <w:color w:val="auto"/>
              </w:rPr>
              <w:t>Net income</w:t>
            </w:r>
          </w:p>
        </w:tc>
        <w:tc>
          <w:tcPr>
            <w:tcW w:w="1580" w:type="dxa"/>
            <w:vAlign w:val="bottom"/>
            <w:gridSpan w:val="2"/>
          </w:tcPr>
          <w:p>
            <w:pPr>
              <w:jc w:val="right"/>
              <w:ind w:right="84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95,235</w:t>
            </w:r>
          </w:p>
        </w:tc>
        <w:tc>
          <w:tcPr>
            <w:tcW w:w="220" w:type="dxa"/>
            <w:vAlign w:val="bottom"/>
          </w:tcPr>
          <w:p>
            <w:pPr>
              <w:spacing w:after="0"/>
              <w:rPr>
                <w:sz w:val="12"/>
                <w:szCs w:val="12"/>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73,380</w:t>
            </w:r>
          </w:p>
        </w:tc>
        <w:tc>
          <w:tcPr>
            <w:tcW w:w="220" w:type="dxa"/>
            <w:vAlign w:val="bottom"/>
          </w:tcPr>
          <w:p>
            <w:pPr>
              <w:spacing w:after="0"/>
              <w:rPr>
                <w:sz w:val="12"/>
                <w:szCs w:val="12"/>
                <w:color w:val="auto"/>
              </w:rPr>
            </w:pPr>
          </w:p>
        </w:tc>
        <w:tc>
          <w:tcPr>
            <w:tcW w:w="540" w:type="dxa"/>
            <w:vAlign w:val="bottom"/>
            <w:gridSpan w:val="2"/>
          </w:tcPr>
          <w:p>
            <w:pPr>
              <w:jc w:val="right"/>
              <w:ind w:right="253"/>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24,527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1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Adjustments to reconcile net income to net cash provided by operating</w:t>
            </w:r>
          </w:p>
        </w:tc>
        <w:tc>
          <w:tcPr>
            <w:tcW w:w="6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FF0FC"/>
          </w:tcPr>
          <w:p>
            <w:pPr>
              <w:ind w:left="80"/>
              <w:spacing w:after="0"/>
              <w:rPr>
                <w:sz w:val="20"/>
                <w:szCs w:val="20"/>
                <w:color w:val="auto"/>
              </w:rPr>
            </w:pPr>
            <w:r>
              <w:rPr>
                <w:rFonts w:ascii="Arial" w:cs="Arial" w:eastAsia="Arial" w:hAnsi="Arial"/>
                <w:sz w:val="13"/>
                <w:szCs w:val="13"/>
                <w:color w:val="auto"/>
              </w:rPr>
              <w:t>activities:</w:t>
            </w: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40"/>
              <w:spacing w:after="0"/>
              <w:rPr>
                <w:sz w:val="20"/>
                <w:szCs w:val="20"/>
                <w:color w:val="auto"/>
              </w:rPr>
            </w:pPr>
            <w:r>
              <w:rPr>
                <w:rFonts w:ascii="Arial" w:cs="Arial" w:eastAsia="Arial" w:hAnsi="Arial"/>
                <w:sz w:val="13"/>
                <w:szCs w:val="13"/>
                <w:color w:val="auto"/>
              </w:rPr>
              <w:t>Depreciation and amortization</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157,429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105,891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63,449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Amortization of deferred financing costs, discount and debt premium</w:t>
            </w: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8,175</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6,289</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3,520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40"/>
              <w:spacing w:after="0"/>
              <w:rPr>
                <w:sz w:val="20"/>
                <w:szCs w:val="20"/>
                <w:color w:val="auto"/>
              </w:rPr>
            </w:pPr>
            <w:r>
              <w:rPr>
                <w:rFonts w:ascii="Arial" w:cs="Arial" w:eastAsia="Arial" w:hAnsi="Arial"/>
                <w:sz w:val="13"/>
                <w:szCs w:val="13"/>
                <w:color w:val="auto"/>
              </w:rPr>
              <w:t>Loss on early retirement of debt</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38,430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Unrealized loss on restricted investment</w:t>
            </w: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2,587</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7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40"/>
              <w:spacing w:after="0"/>
              <w:rPr>
                <w:sz w:val="20"/>
                <w:szCs w:val="20"/>
                <w:color w:val="auto"/>
              </w:rPr>
            </w:pPr>
            <w:r>
              <w:rPr>
                <w:rFonts w:ascii="Arial" w:cs="Arial" w:eastAsia="Arial" w:hAnsi="Arial"/>
                <w:sz w:val="13"/>
                <w:szCs w:val="13"/>
                <w:color w:val="auto"/>
              </w:rPr>
              <w:t>Stock compensation expense</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13,084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6,322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3,341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Provision for bad debt</w:t>
            </w: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531</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40"/>
              <w:spacing w:after="0"/>
              <w:rPr>
                <w:sz w:val="20"/>
                <w:szCs w:val="20"/>
                <w:color w:val="auto"/>
              </w:rPr>
            </w:pPr>
            <w:r>
              <w:rPr>
                <w:rFonts w:ascii="Arial" w:cs="Arial" w:eastAsia="Arial" w:hAnsi="Arial"/>
                <w:sz w:val="13"/>
                <w:szCs w:val="13"/>
                <w:color w:val="auto"/>
              </w:rPr>
              <w:t>Impairment charges</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13,602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38,016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Provision (benefit) for deferred income taxes</w:t>
            </w: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33,865</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(112,561)</w:t>
            </w: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11,201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40"/>
              <w:spacing w:after="0"/>
              <w:rPr>
                <w:sz w:val="20"/>
                <w:szCs w:val="20"/>
                <w:color w:val="auto"/>
              </w:rPr>
            </w:pPr>
            <w:r>
              <w:rPr>
                <w:rFonts w:ascii="Arial" w:cs="Arial" w:eastAsia="Arial" w:hAnsi="Arial"/>
                <w:sz w:val="13"/>
                <w:szCs w:val="13"/>
                <w:color w:val="auto"/>
              </w:rPr>
              <w:t>Other</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1,662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723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3"/>
                <w:szCs w:val="13"/>
                <w:color w:val="auto"/>
              </w:rPr>
              <w:t>Change in operating assets and liabilities:</w:t>
            </w: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40"/>
              <w:spacing w:after="0"/>
              <w:rPr>
                <w:sz w:val="20"/>
                <w:szCs w:val="20"/>
                <w:color w:val="auto"/>
              </w:rPr>
            </w:pPr>
            <w:r>
              <w:rPr>
                <w:rFonts w:ascii="Arial" w:cs="Arial" w:eastAsia="Arial" w:hAnsi="Arial"/>
                <w:sz w:val="13"/>
                <w:szCs w:val="13"/>
                <w:color w:val="auto"/>
              </w:rPr>
              <w:t>Sale of trading securities</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674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101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Accounts receivable</w:t>
            </w: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6,104</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(19,110)</w:t>
            </w: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(4,874)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40"/>
              <w:spacing w:after="0"/>
              <w:rPr>
                <w:sz w:val="20"/>
                <w:szCs w:val="20"/>
                <w:color w:val="auto"/>
              </w:rPr>
            </w:pPr>
            <w:r>
              <w:rPr>
                <w:rFonts w:ascii="Arial" w:cs="Arial" w:eastAsia="Arial" w:hAnsi="Arial"/>
                <w:sz w:val="13"/>
                <w:szCs w:val="13"/>
                <w:color w:val="auto"/>
              </w:rPr>
              <w:t>Inventories</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596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105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Prepaid expenses and other assets</w:t>
            </w: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(1,215)</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(629)</w:t>
            </w: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(995)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40"/>
              <w:spacing w:after="0"/>
              <w:rPr>
                <w:sz w:val="20"/>
                <w:szCs w:val="20"/>
                <w:color w:val="auto"/>
              </w:rPr>
            </w:pPr>
            <w:r>
              <w:rPr>
                <w:rFonts w:ascii="Arial" w:cs="Arial" w:eastAsia="Arial" w:hAnsi="Arial"/>
                <w:sz w:val="13"/>
                <w:szCs w:val="13"/>
                <w:color w:val="auto"/>
              </w:rPr>
              <w:t>Accrued interest</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1,490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10,974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3"/>
                <w:szCs w:val="13"/>
                <w:color w:val="auto"/>
              </w:rPr>
              <w:t>(344)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Income taxes payable</w:t>
            </w: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6,945</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(470)</w:t>
            </w: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40"/>
              <w:spacing w:after="0"/>
              <w:rPr>
                <w:sz w:val="20"/>
                <w:szCs w:val="20"/>
                <w:color w:val="auto"/>
              </w:rPr>
            </w:pPr>
            <w:r>
              <w:rPr>
                <w:rFonts w:ascii="Arial" w:cs="Arial" w:eastAsia="Arial" w:hAnsi="Arial"/>
                <w:sz w:val="13"/>
                <w:szCs w:val="13"/>
                <w:color w:val="auto"/>
              </w:rPr>
              <w:t>Accounts payable and accrued other liabilities</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(18,667)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3"/>
                <w:szCs w:val="13"/>
                <w:color w:val="auto"/>
              </w:rPr>
              <w:t>(18,106)</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3"/>
                <w:szCs w:val="13"/>
                <w:color w:val="auto"/>
              </w:rPr>
              <w:t>(6,349)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Borders>
              <w:top w:val="single" w:sz="8" w:color="CFF0FC"/>
            </w:tcBorders>
            <w:shd w:val="clear" w:color="auto" w:fill="CFF0FC"/>
          </w:tcPr>
          <w:p>
            <w:pPr>
              <w:ind w:left="480"/>
              <w:spacing w:after="0" w:line="143" w:lineRule="exact"/>
              <w:rPr>
                <w:sz w:val="20"/>
                <w:szCs w:val="20"/>
                <w:color w:val="auto"/>
              </w:rPr>
            </w:pPr>
            <w:r>
              <w:rPr>
                <w:rFonts w:ascii="Arial" w:cs="Arial" w:eastAsia="Arial" w:hAnsi="Arial"/>
                <w:sz w:val="13"/>
                <w:szCs w:val="13"/>
                <w:color w:val="auto"/>
              </w:rPr>
              <w:t>Net cash provided by operating activities</w:t>
            </w:r>
          </w:p>
        </w:tc>
        <w:tc>
          <w:tcPr>
            <w:tcW w:w="620" w:type="dxa"/>
            <w:vAlign w:val="bottom"/>
            <w:tcBorders>
              <w:top w:val="single" w:sz="8" w:color="CFF0FC"/>
            </w:tcBorders>
            <w:shd w:val="clear" w:color="auto" w:fill="CFF0FC"/>
          </w:tcPr>
          <w:p>
            <w:pPr>
              <w:spacing w:after="0"/>
              <w:rPr>
                <w:sz w:val="12"/>
                <w:szCs w:val="12"/>
                <w:color w:val="auto"/>
              </w:rPr>
            </w:pPr>
          </w:p>
        </w:tc>
        <w:tc>
          <w:tcPr>
            <w:tcW w:w="960" w:type="dxa"/>
            <w:vAlign w:val="bottom"/>
            <w:tcBorders>
              <w:top w:val="single" w:sz="8" w:color="auto"/>
              <w:bottom w:val="single" w:sz="8" w:color="auto"/>
            </w:tcBorders>
            <w:shd w:val="clear" w:color="auto" w:fill="CFF0FC"/>
          </w:tcPr>
          <w:p>
            <w:pPr>
              <w:spacing w:after="0"/>
              <w:rPr>
                <w:sz w:val="12"/>
                <w:szCs w:val="12"/>
                <w:color w:val="auto"/>
              </w:rPr>
            </w:pPr>
          </w:p>
        </w:tc>
        <w:tc>
          <w:tcPr>
            <w:tcW w:w="6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323,280</w:t>
            </w:r>
          </w:p>
        </w:tc>
        <w:tc>
          <w:tcPr>
            <w:tcW w:w="2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15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129,886</w:t>
            </w:r>
          </w:p>
        </w:tc>
        <w:tc>
          <w:tcPr>
            <w:tcW w:w="2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bottom w:val="single" w:sz="8" w:color="auto"/>
            </w:tcBorders>
            <w:shd w:val="clear" w:color="auto" w:fill="CFF0FC"/>
          </w:tcPr>
          <w:p>
            <w:pPr>
              <w:spacing w:after="0"/>
              <w:rPr>
                <w:sz w:val="12"/>
                <w:szCs w:val="12"/>
                <w:color w:val="auto"/>
              </w:rPr>
            </w:pPr>
          </w:p>
        </w:tc>
        <w:tc>
          <w:tcPr>
            <w:tcW w:w="12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95,372</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00" w:type="dxa"/>
            <w:vAlign w:val="bottom"/>
            <w:gridSpan w:val="2"/>
          </w:tcPr>
          <w:p>
            <w:pPr>
              <w:spacing w:after="0" w:line="143" w:lineRule="exact"/>
              <w:rPr>
                <w:sz w:val="20"/>
                <w:szCs w:val="20"/>
                <w:color w:val="auto"/>
              </w:rPr>
            </w:pPr>
            <w:r>
              <w:rPr>
                <w:rFonts w:ascii="Arial" w:cs="Arial" w:eastAsia="Arial" w:hAnsi="Arial"/>
                <w:sz w:val="13"/>
                <w:szCs w:val="13"/>
                <w:color w:val="auto"/>
              </w:rPr>
              <w:t>CASH FLOWS FROM INVESTING ACTIVITIES:</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Purchase of property and equipment, net</w:t>
            </w: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(147,415)</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(83,161)</w:t>
            </w: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(43,173)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40"/>
              <w:spacing w:after="0"/>
              <w:rPr>
                <w:sz w:val="20"/>
                <w:szCs w:val="20"/>
                <w:color w:val="auto"/>
              </w:rPr>
            </w:pPr>
            <w:r>
              <w:rPr>
                <w:rFonts w:ascii="Arial" w:cs="Arial" w:eastAsia="Arial" w:hAnsi="Arial"/>
                <w:sz w:val="13"/>
                <w:szCs w:val="13"/>
                <w:color w:val="auto"/>
              </w:rPr>
              <w:t>Purchase of restricted investments</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(8,008)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Proceeds from sale of property and equipment</w:t>
            </w: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40"/>
              <w:spacing w:after="0"/>
              <w:rPr>
                <w:sz w:val="20"/>
                <w:szCs w:val="20"/>
                <w:color w:val="auto"/>
              </w:rPr>
            </w:pPr>
            <w:r>
              <w:rPr>
                <w:rFonts w:ascii="Arial" w:cs="Arial" w:eastAsia="Arial" w:hAnsi="Arial"/>
                <w:sz w:val="13"/>
                <w:szCs w:val="13"/>
                <w:color w:val="auto"/>
              </w:rPr>
              <w:t>Net cash used in business combinations</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w w:val="93"/>
              </w:rPr>
              <w:t>(1,113,227)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3"/>
                <w:szCs w:val="13"/>
                <w:color w:val="auto"/>
              </w:rPr>
              <w:t>(1,313,051)</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3"/>
                <w:szCs w:val="13"/>
                <w:color w:val="auto"/>
              </w:rPr>
              <w:t>(194)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Investments in and loans to unconsolidated affiliates</w:t>
            </w: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(581)</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(604)</w:t>
            </w: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Borders>
              <w:bottom w:val="single" w:sz="8" w:color="CFF0FC"/>
            </w:tcBorders>
          </w:tcPr>
          <w:p>
            <w:pPr>
              <w:ind w:left="480"/>
              <w:spacing w:after="0" w:line="143" w:lineRule="exact"/>
              <w:rPr>
                <w:sz w:val="20"/>
                <w:szCs w:val="20"/>
                <w:color w:val="auto"/>
              </w:rPr>
            </w:pPr>
            <w:r>
              <w:rPr>
                <w:rFonts w:ascii="Arial" w:cs="Arial" w:eastAsia="Arial" w:hAnsi="Arial"/>
                <w:sz w:val="13"/>
                <w:szCs w:val="13"/>
                <w:color w:val="auto"/>
              </w:rPr>
              <w:t>Net cash used in investing activities</w:t>
            </w:r>
          </w:p>
        </w:tc>
        <w:tc>
          <w:tcPr>
            <w:tcW w:w="620" w:type="dxa"/>
            <w:vAlign w:val="bottom"/>
            <w:tcBorders>
              <w:bottom w:val="single" w:sz="8" w:color="CFF0FC"/>
            </w:tcBorders>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7"/>
              </w:rPr>
              <w:t>(1,268,229)</w:t>
            </w:r>
          </w:p>
        </w:tc>
        <w:tc>
          <w:tcPr>
            <w:tcW w:w="22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(1,396,681)</w:t>
            </w:r>
          </w:p>
        </w:tc>
        <w:tc>
          <w:tcPr>
            <w:tcW w:w="22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(41,807)</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CASH FLOWS FROM FINANCING ACTIVITIES:</w:t>
            </w: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40"/>
              <w:spacing w:after="0"/>
              <w:rPr>
                <w:sz w:val="20"/>
                <w:szCs w:val="20"/>
                <w:color w:val="auto"/>
              </w:rPr>
            </w:pPr>
            <w:r>
              <w:rPr>
                <w:rFonts w:ascii="Arial" w:cs="Arial" w:eastAsia="Arial" w:hAnsi="Arial"/>
                <w:sz w:val="13"/>
                <w:szCs w:val="13"/>
                <w:color w:val="auto"/>
              </w:rPr>
              <w:t>Proceeds from issuance of long-term debt</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846,000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2,325,000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Borrowings under Revolving Credit Facility</w:t>
            </w: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315,358</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207,953</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40"/>
              <w:spacing w:after="0"/>
              <w:rPr>
                <w:sz w:val="20"/>
                <w:szCs w:val="20"/>
                <w:color w:val="auto"/>
              </w:rPr>
            </w:pPr>
            <w:r>
              <w:rPr>
                <w:rFonts w:ascii="Arial" w:cs="Arial" w:eastAsia="Arial" w:hAnsi="Arial"/>
                <w:sz w:val="13"/>
                <w:szCs w:val="13"/>
                <w:color w:val="auto"/>
              </w:rPr>
              <w:t>Payments under long-term debt</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3"/>
                <w:szCs w:val="13"/>
                <w:color w:val="auto"/>
              </w:rPr>
              <w:t>(911,875)</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3"/>
                <w:szCs w:val="13"/>
                <w:color w:val="auto"/>
              </w:rPr>
              <w:t>(4,250)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Payments under Revolving Credit Facility</w:t>
            </w: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(70,358)</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(236,953)</w:t>
            </w: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(137,500)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40"/>
              <w:spacing w:after="0"/>
              <w:rPr>
                <w:sz w:val="20"/>
                <w:szCs w:val="20"/>
                <w:color w:val="auto"/>
              </w:rPr>
            </w:pPr>
            <w:r>
              <w:rPr>
                <w:rFonts w:ascii="Arial" w:cs="Arial" w:eastAsia="Arial" w:hAnsi="Arial"/>
                <w:sz w:val="13"/>
                <w:szCs w:val="13"/>
                <w:color w:val="auto"/>
              </w:rPr>
              <w:t>Debt premium proceeds</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27,500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Debt issuance costs</w:t>
            </w: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(25,758)</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(51,526)</w:t>
            </w: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(4,288)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40"/>
              <w:spacing w:after="0"/>
              <w:rPr>
                <w:sz w:val="20"/>
                <w:szCs w:val="20"/>
                <w:color w:val="auto"/>
              </w:rPr>
            </w:pPr>
            <w:r>
              <w:rPr>
                <w:rFonts w:ascii="Arial" w:cs="Arial" w:eastAsia="Arial" w:hAnsi="Arial"/>
                <w:sz w:val="13"/>
                <w:szCs w:val="13"/>
                <w:color w:val="auto"/>
              </w:rPr>
              <w:t>Taxes paid related to net share settlement of equity awards</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(11,708)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3"/>
                <w:szCs w:val="13"/>
                <w:color w:val="auto"/>
              </w:rPr>
              <w:t>(11,365)</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3"/>
                <w:szCs w:val="13"/>
                <w:color w:val="auto"/>
              </w:rPr>
              <w:t>(744)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Proceeds from exercise of stock options</w:t>
            </w: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2,900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40"/>
              <w:spacing w:after="0"/>
              <w:rPr>
                <w:sz w:val="20"/>
                <w:szCs w:val="20"/>
                <w:color w:val="auto"/>
              </w:rPr>
            </w:pPr>
            <w:r>
              <w:rPr>
                <w:rFonts w:ascii="Arial" w:cs="Arial" w:eastAsia="Arial" w:hAnsi="Arial"/>
                <w:sz w:val="13"/>
                <w:szCs w:val="13"/>
                <w:color w:val="auto"/>
              </w:rPr>
              <w:t>Purchase of treasury stock</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(9,131)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Payments on other long-term payables</w:t>
            </w: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(666)</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(533)</w:t>
            </w: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(274)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Borders>
              <w:bottom w:val="single" w:sz="8" w:color="CFF0FC"/>
            </w:tcBorders>
          </w:tcPr>
          <w:p>
            <w:pPr>
              <w:ind w:left="480"/>
              <w:spacing w:after="0" w:line="143" w:lineRule="exact"/>
              <w:rPr>
                <w:sz w:val="20"/>
                <w:szCs w:val="20"/>
                <w:color w:val="auto"/>
              </w:rPr>
            </w:pPr>
            <w:r>
              <w:rPr>
                <w:rFonts w:ascii="Arial" w:cs="Arial" w:eastAsia="Arial" w:hAnsi="Arial"/>
                <w:sz w:val="13"/>
                <w:szCs w:val="13"/>
                <w:color w:val="auto"/>
              </w:rPr>
              <w:t>Net cash provided by (used in) financing activities</w:t>
            </w:r>
          </w:p>
        </w:tc>
        <w:tc>
          <w:tcPr>
            <w:tcW w:w="620" w:type="dxa"/>
            <w:vAlign w:val="bottom"/>
            <w:tcBorders>
              <w:bottom w:val="single" w:sz="8" w:color="CFF0FC"/>
            </w:tcBorders>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6"/>
              </w:rPr>
              <w:t>1,043,891</w:t>
            </w:r>
          </w:p>
        </w:tc>
        <w:tc>
          <w:tcPr>
            <w:tcW w:w="22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1,351,101</w:t>
            </w:r>
          </w:p>
        </w:tc>
        <w:tc>
          <w:tcPr>
            <w:tcW w:w="22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(73,671)</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40"/>
              <w:spacing w:after="0"/>
              <w:rPr>
                <w:sz w:val="20"/>
                <w:szCs w:val="20"/>
                <w:color w:val="auto"/>
              </w:rPr>
            </w:pPr>
            <w:r>
              <w:rPr>
                <w:rFonts w:ascii="Arial" w:cs="Arial" w:eastAsia="Arial" w:hAnsi="Arial"/>
                <w:sz w:val="13"/>
                <w:szCs w:val="13"/>
                <w:color w:val="auto"/>
              </w:rPr>
              <w:t>Increase (decrease) in cash, cash equivalents and restricted cash</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98,942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84,306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3"/>
                <w:szCs w:val="13"/>
                <w:color w:val="auto"/>
              </w:rPr>
              <w:t>(20,106)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Cash, cash equivalents and restricted cash, beginning of period</w:t>
            </w:r>
          </w:p>
        </w:tc>
        <w:tc>
          <w:tcPr>
            <w:tcW w:w="620" w:type="dxa"/>
            <w:vAlign w:val="bottom"/>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147,749</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63,443</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83,549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80" w:type="dxa"/>
            <w:vAlign w:val="bottom"/>
            <w:tcBorders>
              <w:bottom w:val="single" w:sz="8" w:color="CFF0FC"/>
            </w:tcBorders>
          </w:tcPr>
          <w:p>
            <w:pPr>
              <w:ind w:left="240"/>
              <w:spacing w:after="0" w:line="143" w:lineRule="exact"/>
              <w:rPr>
                <w:sz w:val="20"/>
                <w:szCs w:val="20"/>
                <w:color w:val="auto"/>
              </w:rPr>
            </w:pPr>
            <w:r>
              <w:rPr>
                <w:rFonts w:ascii="Arial" w:cs="Arial" w:eastAsia="Arial" w:hAnsi="Arial"/>
                <w:sz w:val="13"/>
                <w:szCs w:val="13"/>
                <w:color w:val="auto"/>
              </w:rPr>
              <w:t>Cash, cash equivalents and restricted cash, end of period</w:t>
            </w:r>
          </w:p>
        </w:tc>
        <w:tc>
          <w:tcPr>
            <w:tcW w:w="620" w:type="dxa"/>
            <w:vAlign w:val="bottom"/>
            <w:tcBorders>
              <w:bottom w:val="single" w:sz="8" w:color="CFF0FC"/>
            </w:tcBorders>
          </w:tcPr>
          <w:p>
            <w:pPr>
              <w:spacing w:after="0"/>
              <w:rPr>
                <w:sz w:val="15"/>
                <w:szCs w:val="15"/>
                <w:color w:val="auto"/>
              </w:rPr>
            </w:pPr>
          </w:p>
        </w:tc>
        <w:tc>
          <w:tcPr>
            <w:tcW w:w="960" w:type="dxa"/>
            <w:vAlign w:val="bottom"/>
            <w:tcBorders>
              <w:bottom w:val="single" w:sz="8" w:color="auto"/>
            </w:tcBorders>
          </w:tcPr>
          <w:p>
            <w:pPr>
              <w:jc w:val="right"/>
              <w:ind w:right="847"/>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246,691</w:t>
            </w:r>
          </w:p>
        </w:tc>
        <w:tc>
          <w:tcPr>
            <w:tcW w:w="22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147,749</w:t>
            </w:r>
          </w:p>
        </w:tc>
        <w:tc>
          <w:tcPr>
            <w:tcW w:w="22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jc w:val="right"/>
              <w:ind w:right="253"/>
              <w:spacing w:after="0"/>
              <w:rPr>
                <w:sz w:val="20"/>
                <w:szCs w:val="20"/>
                <w:color w:val="auto"/>
              </w:rPr>
            </w:pPr>
            <w:r>
              <w:rPr>
                <w:rFonts w:ascii="Arial" w:cs="Arial" w:eastAsia="Arial" w:hAnsi="Arial"/>
                <w:sz w:val="9"/>
                <w:szCs w:val="9"/>
                <w:color w:val="auto"/>
                <w:w w:val="78"/>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63,443</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5180" w:type="dxa"/>
            <w:vAlign w:val="bottom"/>
          </w:tcPr>
          <w:p>
            <w:pPr>
              <w:spacing w:after="0" w:line="134" w:lineRule="exact"/>
              <w:rPr>
                <w:sz w:val="20"/>
                <w:szCs w:val="20"/>
                <w:color w:val="auto"/>
              </w:rPr>
            </w:pPr>
            <w:r>
              <w:rPr>
                <w:rFonts w:ascii="Arial" w:cs="Arial" w:eastAsia="Arial" w:hAnsi="Arial"/>
                <w:sz w:val="13"/>
                <w:szCs w:val="13"/>
                <w:color w:val="auto"/>
              </w:rPr>
              <w:t>RECONCILIATION OF CASH, CASH EQUIVALENTS AND RESTRICTED CASH TO</w:t>
            </w: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80"/>
              <w:spacing w:after="0"/>
              <w:rPr>
                <w:sz w:val="20"/>
                <w:szCs w:val="20"/>
                <w:color w:val="auto"/>
              </w:rPr>
            </w:pPr>
            <w:r>
              <w:rPr>
                <w:rFonts w:ascii="Arial" w:cs="Arial" w:eastAsia="Arial" w:hAnsi="Arial"/>
                <w:sz w:val="13"/>
                <w:szCs w:val="13"/>
                <w:color w:val="auto"/>
              </w:rPr>
              <w:t>AMOUNTS REPORTED WITHIN THE CONSOLIDATED BALANCE SHEETS:</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Cash and cash equivalents</w:t>
            </w:r>
          </w:p>
        </w:tc>
        <w:tc>
          <w:tcPr>
            <w:tcW w:w="1580" w:type="dxa"/>
            <w:vAlign w:val="bottom"/>
            <w:gridSpan w:val="2"/>
            <w:shd w:val="clear" w:color="auto" w:fill="CFF0FC"/>
          </w:tcPr>
          <w:p>
            <w:pPr>
              <w:jc w:val="right"/>
              <w:ind w:right="84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230,752</w:t>
            </w:r>
          </w:p>
        </w:tc>
        <w:tc>
          <w:tcPr>
            <w:tcW w:w="22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134,596</w:t>
            </w:r>
          </w:p>
        </w:tc>
        <w:tc>
          <w:tcPr>
            <w:tcW w:w="22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253"/>
              <w:spacing w:after="0"/>
              <w:rPr>
                <w:sz w:val="20"/>
                <w:szCs w:val="20"/>
                <w:color w:val="auto"/>
              </w:rPr>
            </w:pPr>
            <w:r>
              <w:rPr>
                <w:rFonts w:ascii="Arial" w:cs="Arial" w:eastAsia="Arial" w:hAnsi="Arial"/>
                <w:sz w:val="13"/>
                <w:szCs w:val="13"/>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61,029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40"/>
              <w:spacing w:after="0"/>
              <w:rPr>
                <w:sz w:val="20"/>
                <w:szCs w:val="20"/>
                <w:color w:val="auto"/>
              </w:rPr>
            </w:pPr>
            <w:r>
              <w:rPr>
                <w:rFonts w:ascii="Arial" w:cs="Arial" w:eastAsia="Arial" w:hAnsi="Arial"/>
                <w:sz w:val="13"/>
                <w:szCs w:val="13"/>
                <w:color w:val="auto"/>
              </w:rPr>
              <w:t>Restricted cash</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8,884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3,267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2,414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Restricted cash included in other noncurrent assets</w:t>
            </w: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7,055</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9,886</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5200" w:type="dxa"/>
            <w:vAlign w:val="bottom"/>
            <w:gridSpan w:val="2"/>
          </w:tcPr>
          <w:p>
            <w:pPr>
              <w:spacing w:after="0" w:line="143" w:lineRule="exact"/>
              <w:rPr>
                <w:sz w:val="20"/>
                <w:szCs w:val="20"/>
                <w:color w:val="auto"/>
              </w:rPr>
            </w:pPr>
            <w:r>
              <w:rPr>
                <w:rFonts w:ascii="Arial" w:cs="Arial" w:eastAsia="Arial" w:hAnsi="Arial"/>
                <w:sz w:val="13"/>
                <w:szCs w:val="13"/>
                <w:color w:val="auto"/>
              </w:rPr>
              <w:t>Total cash, cash equivalents and restricted cash</w:t>
            </w:r>
          </w:p>
        </w:tc>
        <w:tc>
          <w:tcPr>
            <w:tcW w:w="62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ind w:right="847"/>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246,691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15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147,749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9"/>
                <w:szCs w:val="9"/>
                <w:color w:val="auto"/>
                <w:w w:val="78"/>
              </w:rPr>
              <w:t>$</w:t>
            </w:r>
          </w:p>
        </w:tc>
        <w:tc>
          <w:tcPr>
            <w:tcW w:w="12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63,443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180" w:type="dxa"/>
            <w:vAlign w:val="bottom"/>
            <w:tcBorders>
              <w:top w:val="single" w:sz="8" w:color="CFF0FC"/>
            </w:tcBorders>
            <w:shd w:val="clear" w:color="auto" w:fill="CFF0FC"/>
          </w:tcPr>
          <w:p>
            <w:pPr>
              <w:spacing w:after="0"/>
              <w:rPr>
                <w:sz w:val="11"/>
                <w:szCs w:val="11"/>
                <w:color w:val="auto"/>
              </w:rPr>
            </w:pPr>
          </w:p>
        </w:tc>
        <w:tc>
          <w:tcPr>
            <w:tcW w:w="620" w:type="dxa"/>
            <w:vAlign w:val="bottom"/>
            <w:tcBorders>
              <w:top w:val="single" w:sz="8" w:color="CFF0FC"/>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15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80" w:type="dxa"/>
            <w:vAlign w:val="bottom"/>
          </w:tcPr>
          <w:p>
            <w:pPr>
              <w:spacing w:after="0"/>
              <w:rPr>
                <w:sz w:val="20"/>
                <w:szCs w:val="20"/>
                <w:color w:val="auto"/>
              </w:rPr>
            </w:pPr>
            <w:r>
              <w:rPr>
                <w:rFonts w:ascii="Arial" w:cs="Arial" w:eastAsia="Arial" w:hAnsi="Arial"/>
                <w:sz w:val="13"/>
                <w:szCs w:val="13"/>
                <w:color w:val="auto"/>
              </w:rPr>
              <w:t>SUPPLEMENTAL DISCLOSURE OF CASH FLOW INFORMATION:</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Interest paid</w:t>
            </w:r>
          </w:p>
        </w:tc>
        <w:tc>
          <w:tcPr>
            <w:tcW w:w="1580" w:type="dxa"/>
            <w:vAlign w:val="bottom"/>
            <w:gridSpan w:val="2"/>
            <w:shd w:val="clear" w:color="auto" w:fill="CFF0FC"/>
          </w:tcPr>
          <w:p>
            <w:pPr>
              <w:jc w:val="right"/>
              <w:ind w:right="84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166,007</w:t>
            </w:r>
          </w:p>
        </w:tc>
        <w:tc>
          <w:tcPr>
            <w:tcW w:w="22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84,604</w:t>
            </w:r>
          </w:p>
        </w:tc>
        <w:tc>
          <w:tcPr>
            <w:tcW w:w="22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253"/>
              <w:spacing w:after="0"/>
              <w:rPr>
                <w:sz w:val="20"/>
                <w:szCs w:val="20"/>
                <w:color w:val="auto"/>
              </w:rPr>
            </w:pPr>
            <w:r>
              <w:rPr>
                <w:rFonts w:ascii="Arial" w:cs="Arial" w:eastAsia="Arial" w:hAnsi="Arial"/>
                <w:sz w:val="13"/>
                <w:szCs w:val="13"/>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47,696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40"/>
              <w:spacing w:after="0"/>
              <w:rPr>
                <w:sz w:val="20"/>
                <w:szCs w:val="20"/>
                <w:color w:val="auto"/>
              </w:rPr>
            </w:pPr>
            <w:r>
              <w:rPr>
                <w:rFonts w:ascii="Arial" w:cs="Arial" w:eastAsia="Arial" w:hAnsi="Arial"/>
                <w:sz w:val="13"/>
                <w:szCs w:val="13"/>
                <w:color w:val="auto"/>
              </w:rPr>
              <w:t>Income taxes (refunded) paid</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(4,134)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246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1,662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3"/>
                <w:szCs w:val="13"/>
                <w:color w:val="auto"/>
              </w:rPr>
              <w:t>NON-CASH FINANCING ACTIVITIES:</w:t>
            </w: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40"/>
              <w:spacing w:after="0"/>
              <w:rPr>
                <w:sz w:val="20"/>
                <w:szCs w:val="20"/>
                <w:color w:val="auto"/>
              </w:rPr>
            </w:pPr>
            <w:r>
              <w:rPr>
                <w:rFonts w:ascii="Arial" w:cs="Arial" w:eastAsia="Arial" w:hAnsi="Arial"/>
                <w:sz w:val="13"/>
                <w:szCs w:val="13"/>
                <w:color w:val="auto"/>
              </w:rPr>
              <w:t>Net change in liabilities for capital expenditures</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(2,786)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3"/>
                <w:szCs w:val="13"/>
                <w:color w:val="auto"/>
              </w:rPr>
              <w:t>(317)</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4,222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Change in real property subject to financing obligation</w:t>
            </w:r>
          </w:p>
        </w:tc>
        <w:tc>
          <w:tcPr>
            <w:tcW w:w="6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(957,300)</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7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81" w:name="page82"/>
    <w:bookmarkEnd w:id="81"/>
    <w:p>
      <w:pPr>
        <w:jc w:val="center"/>
        <w:ind w:right="-39"/>
        <w:spacing w:after="0"/>
        <w:rPr>
          <w:sz w:val="20"/>
          <w:szCs w:val="20"/>
          <w:color w:val="auto"/>
        </w:rPr>
      </w:pPr>
      <w:r>
        <w:rPr>
          <w:rFonts w:ascii="Arial" w:cs="Arial" w:eastAsia="Arial" w:hAnsi="Arial"/>
          <w:sz w:val="18"/>
          <w:szCs w:val="18"/>
          <w:b w:val="1"/>
          <w:bCs w:val="1"/>
          <w:color w:val="auto"/>
        </w:rPr>
        <w:t>ELDORADO RESORTS,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121" w:lineRule="exact"/>
        <w:rPr>
          <w:sz w:val="20"/>
          <w:szCs w:val="20"/>
          <w:color w:val="auto"/>
        </w:rPr>
      </w:pPr>
    </w:p>
    <w:p>
      <w:pPr>
        <w:ind w:right="40" w:firstLine="555"/>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Eldorado Resorts, Inc. (“ERI” or the “Company”), a Nevada corporation formed in September 2013, and its consolidated subsidiaries.</w:t>
      </w:r>
    </w:p>
    <w:p>
      <w:pPr>
        <w:spacing w:after="0" w:line="170"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The Company is a geographically diversified gaming and hospitality company with 28 gaming facilities in 13 states as of December 31, 2018. The Company’s properties, which are located in Ohio, Louisiana, Nevada, New Jersey, Pennsylvania, West Virginia, Colorado, Florida, Iowa, Mississippi, Illinois, Indiana and Missouri, feature approximately 30,000 slot machines and video lottery terminals (“VLTs”), approximately 800 table games and approximately 12,600 hotel rooms. The Company’s primary source of revenue is generated by gaming operations, and the Company utilizes its hotels, restaurants, bars, entertainment, racing, retail shops and other services to attract customers to its properties.</w:t>
      </w:r>
    </w:p>
    <w:p>
      <w:pPr>
        <w:spacing w:after="0" w:line="188" w:lineRule="exact"/>
        <w:rPr>
          <w:sz w:val="20"/>
          <w:szCs w:val="20"/>
          <w:color w:val="auto"/>
        </w:rPr>
      </w:pPr>
    </w:p>
    <w:p>
      <w:pPr>
        <w:ind w:right="140" w:firstLine="555"/>
        <w:spacing w:after="0" w:line="270" w:lineRule="auto"/>
        <w:rPr>
          <w:sz w:val="20"/>
          <w:szCs w:val="20"/>
          <w:color w:val="auto"/>
        </w:rPr>
      </w:pPr>
      <w:r>
        <w:rPr>
          <w:rFonts w:ascii="Arial" w:cs="Arial" w:eastAsia="Arial" w:hAnsi="Arial"/>
          <w:sz w:val="17"/>
          <w:szCs w:val="17"/>
          <w:color w:val="auto"/>
        </w:rPr>
        <w:t>The Company was founded in 1973 by the Carano family with the opening of the Eldorado Hotel Casino in Reno, Nevada. In 1993, the Company partnered with MGM Resorts International to build Silver Legacy Resort Casino, the first mega-themed resort in Reno. In 2005, the Company acquired its first property outside of Reno when it purchased a casino in Shreveport, Louisiana, now known as Eldorado Shreveport. In September 2014, the Company merged with MTR Gaming Group, Inc. and acquired its three gaming and racing facilities in Ohio, Pennsylvania and West Virginia. The following year, in November 2015, the Company acquired Circus Circus Reno and the 50% membership interest in the Silver Legacy that was owned by MGM Resorts International. On May 1, 2017, the Company completed its acquisition of Isle of Capri Casinos, Inc. (“Isle” or “Isle of Capri”), adding 13 gaming properties to its portfolio. On August 7, 2018, the Company acquired the Elgin Riverboat Resort – Riverboat Casino d/b/a Grand Victoria Casino (“Elgin”) (“Elgin Acquisition”). On October 1, 2018, the Company completed its acquisition of Tropicana Entertainment, Inc. (“Tropicana”), adding seven properties to its portfolio (the “Tropicana Acquisition”).</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2018, ERI owned and operated the following properties:</w:t>
      </w:r>
    </w:p>
    <w:p>
      <w:pPr>
        <w:spacing w:after="0" w:line="117" w:lineRule="exact"/>
        <w:rPr>
          <w:sz w:val="20"/>
          <w:szCs w:val="20"/>
          <w:color w:val="auto"/>
        </w:rPr>
      </w:pPr>
    </w:p>
    <w:p>
      <w:pPr>
        <w:ind w:left="1120" w:right="60" w:hanging="558"/>
        <w:spacing w:after="0" w:line="308" w:lineRule="auto"/>
        <w:tabs>
          <w:tab w:leader="none" w:pos="11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Eldorado Resort Casino Reno (“Eldorado Reno”)—A 814-room hotel, casino and entertainment facility connected via an enclosed skywalk to Silver Legacy and Circus Reno located in downtown Reno, Nevada that includes 1,117 slot machines and 36 table games;</w:t>
      </w:r>
    </w:p>
    <w:p>
      <w:pPr>
        <w:spacing w:after="0" w:line="38" w:lineRule="exact"/>
        <w:rPr>
          <w:rFonts w:ascii="Arial" w:cs="Arial" w:eastAsia="Arial" w:hAnsi="Arial"/>
          <w:sz w:val="17"/>
          <w:szCs w:val="17"/>
          <w:color w:val="auto"/>
        </w:rPr>
      </w:pPr>
    </w:p>
    <w:p>
      <w:pPr>
        <w:ind w:left="1120" w:right="20" w:hanging="558"/>
        <w:spacing w:after="0" w:line="277" w:lineRule="auto"/>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Silver Legacy Resort Casino (“Silver Legacy”)—A 1,685-room themed hotel and casino connected via an enclosed skywalk to Eldorado Reno and Circus Reno that includes 1,119 slot machines, 48 table games and a 13-table poker room;</w:t>
      </w:r>
    </w:p>
    <w:p>
      <w:pPr>
        <w:spacing w:after="0" w:line="62" w:lineRule="exact"/>
        <w:rPr>
          <w:rFonts w:ascii="Arial" w:cs="Arial" w:eastAsia="Arial" w:hAnsi="Arial"/>
          <w:sz w:val="18"/>
          <w:szCs w:val="18"/>
          <w:color w:val="auto"/>
        </w:rPr>
      </w:pPr>
    </w:p>
    <w:p>
      <w:pPr>
        <w:ind w:left="1120" w:right="60" w:hanging="558"/>
        <w:spacing w:after="0" w:line="277" w:lineRule="auto"/>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Circus Circus Reno (“Circus Reno”)—A 1,571-room hotel-casino and entertainment complex connected via an enclosed skywalk to Eldorado Reno and Silver Legacy that includes 722 slot machines;</w:t>
      </w:r>
    </w:p>
    <w:p>
      <w:pPr>
        <w:spacing w:after="0" w:line="62" w:lineRule="exact"/>
        <w:rPr>
          <w:rFonts w:ascii="Arial" w:cs="Arial" w:eastAsia="Arial" w:hAnsi="Arial"/>
          <w:sz w:val="18"/>
          <w:szCs w:val="18"/>
          <w:color w:val="auto"/>
        </w:rPr>
      </w:pPr>
    </w:p>
    <w:p>
      <w:pPr>
        <w:ind w:left="1120" w:right="260" w:hanging="558"/>
        <w:spacing w:after="0" w:line="342" w:lineRule="auto"/>
        <w:tabs>
          <w:tab w:leader="none" w:pos="11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Eldorado Resort Casino Shreveport (“Eldorado Shreveport”)—A 403-room, all suite art deco-style hotel and tri-level riverboat dockside casino situated on the Red River in Shreveport, Louisiana that includes 1,388 slot machines, 52 table games and an eight-table poker room;</w:t>
      </w:r>
    </w:p>
    <w:p>
      <w:pPr>
        <w:spacing w:after="0" w:line="15" w:lineRule="exact"/>
        <w:rPr>
          <w:rFonts w:ascii="Arial" w:cs="Arial" w:eastAsia="Arial" w:hAnsi="Arial"/>
          <w:sz w:val="16"/>
          <w:szCs w:val="16"/>
          <w:color w:val="auto"/>
        </w:rPr>
      </w:pPr>
    </w:p>
    <w:p>
      <w:pPr>
        <w:ind w:left="1120" w:right="320" w:hanging="558"/>
        <w:spacing w:after="0" w:line="264" w:lineRule="auto"/>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Mountaineer Casino, Racetrack &amp; Resort (“Mountaineer”)—A 357-room hotel, casino, entertainment and live thoroughbred horse racing facility located on the Ohio River at the northern tip of West Virginia’s northwestern panhandle that includes 1,486 slot machines, 36 table games and a 10-table poker room;</w:t>
      </w:r>
    </w:p>
    <w:p>
      <w:pPr>
        <w:spacing w:after="0" w:line="73" w:lineRule="exact"/>
        <w:rPr>
          <w:rFonts w:ascii="Arial" w:cs="Arial" w:eastAsia="Arial" w:hAnsi="Arial"/>
          <w:sz w:val="18"/>
          <w:szCs w:val="18"/>
          <w:color w:val="auto"/>
        </w:rPr>
      </w:pPr>
    </w:p>
    <w:p>
      <w:pPr>
        <w:ind w:left="1120" w:right="320" w:hanging="558"/>
        <w:spacing w:after="0" w:line="277" w:lineRule="auto"/>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Presque Isle Downs &amp; Casino (“Presque Isle Downs”)—A casino and live thoroughbred horse racing facility with 1,596 slot machines, 32 table games and a seven-table poker room located in Erie, Pennsylvania;</w:t>
      </w:r>
    </w:p>
    <w:p>
      <w:pPr>
        <w:spacing w:after="0" w:line="62"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Eldorado Gaming Scioto Downs (“Scioto Downs”)—A modern “racino” offering 2,238 VLTs, harness racing and a 118-room third party hotel connected to Scioto Downs located 15 minutes from downtown Columbus, Ohio;</w:t>
      </w:r>
    </w:p>
    <w:p>
      <w:pPr>
        <w:spacing w:after="0" w:line="62" w:lineRule="exact"/>
        <w:rPr>
          <w:rFonts w:ascii="Arial" w:cs="Arial" w:eastAsia="Arial" w:hAnsi="Arial"/>
          <w:sz w:val="18"/>
          <w:szCs w:val="18"/>
          <w:color w:val="auto"/>
        </w:rPr>
      </w:pPr>
    </w:p>
    <w:p>
      <w:pPr>
        <w:ind w:left="1120" w:right="200" w:hanging="558"/>
        <w:spacing w:after="0" w:line="277" w:lineRule="auto"/>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Isle Casino Hotel—Black Hawk (“Isle Black Hawk”)—A land-based casino on an approximately 10-acre site in Black Hawk, Colorado that includes 966 slot machines, 28 table games, a 10-table poker room and a 238-room hotel;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2" w:name="page83"/>
    <w:bookmarkEnd w:id="82"/>
    <w:p>
      <w:pPr>
        <w:ind w:left="560" w:right="220" w:hanging="558"/>
        <w:spacing w:after="0" w:line="264" w:lineRule="auto"/>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Lady Luck Casino—Black Hawk (“Lady Luck Black Hawk”)—A land-based casino across the intersection from Isle Casino Hotel in Black Hawk Colorado, that includes 442 slot machines, seven table games and a 164-room hotel with a parking structure connecting Isle Black Hawk and Lady Luck Black Hawk;</w:t>
      </w:r>
    </w:p>
    <w:p>
      <w:pPr>
        <w:spacing w:after="0" w:line="73" w:lineRule="exact"/>
        <w:rPr>
          <w:rFonts w:ascii="Arial" w:cs="Arial" w:eastAsia="Arial" w:hAnsi="Arial"/>
          <w:sz w:val="18"/>
          <w:szCs w:val="18"/>
          <w:color w:val="auto"/>
        </w:rPr>
      </w:pPr>
    </w:p>
    <w:p>
      <w:pPr>
        <w:ind w:left="560" w:right="300" w:hanging="558"/>
        <w:spacing w:after="0" w:line="277" w:lineRule="auto"/>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Isle Casino Racing Pompano Park (“Pompano”)—A casino and harness racing track on an approximately 223-acre owned site in Pompano Beach, Florida that includes 1,596 slot machines and a 39-table poker room;</w:t>
      </w:r>
    </w:p>
    <w:p>
      <w:pPr>
        <w:spacing w:after="0" w:line="62" w:lineRule="exact"/>
        <w:rPr>
          <w:rFonts w:ascii="Arial" w:cs="Arial" w:eastAsia="Arial" w:hAnsi="Arial"/>
          <w:sz w:val="18"/>
          <w:szCs w:val="18"/>
          <w:color w:val="auto"/>
        </w:rPr>
      </w:pPr>
    </w:p>
    <w:p>
      <w:pPr>
        <w:ind w:left="560" w:right="280" w:hanging="558"/>
        <w:spacing w:after="0" w:line="277" w:lineRule="auto"/>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Isle Casino Bettendorf (“Bettendorf”)—A land-based single-level casino located off Interstate 74 in Bettendorf, Iowa that includes 969 slot machines and 15 table games with two hotel towers with 509 hotel rooms;</w:t>
      </w:r>
    </w:p>
    <w:p>
      <w:pPr>
        <w:spacing w:after="0" w:line="62" w:lineRule="exact"/>
        <w:rPr>
          <w:rFonts w:ascii="Arial" w:cs="Arial" w:eastAsia="Arial" w:hAnsi="Arial"/>
          <w:sz w:val="18"/>
          <w:szCs w:val="18"/>
          <w:color w:val="auto"/>
        </w:rPr>
      </w:pPr>
    </w:p>
    <w:p>
      <w:pPr>
        <w:ind w:left="560" w:right="20" w:hanging="558"/>
        <w:spacing w:after="0" w:line="277" w:lineRule="auto"/>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Isle Casino Waterloo (“Waterloo”)—A single-level land-based casino in Waterloo, Iowa that includes 939 slot machines, 23 table games, and a 194-room hotel;</w:t>
      </w:r>
    </w:p>
    <w:p>
      <w:pPr>
        <w:spacing w:after="0" w:line="62" w:lineRule="exact"/>
        <w:rPr>
          <w:rFonts w:ascii="Arial" w:cs="Arial" w:eastAsia="Arial" w:hAnsi="Arial"/>
          <w:sz w:val="18"/>
          <w:szCs w:val="18"/>
          <w:color w:val="auto"/>
        </w:rPr>
      </w:pPr>
    </w:p>
    <w:p>
      <w:pPr>
        <w:ind w:left="560" w:right="320" w:hanging="558"/>
        <w:spacing w:after="0" w:line="277" w:lineRule="auto"/>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Isle of Capri Casino Hotel Lake Charles (“Lake Charles”)—A gaming vessel on an approximately 19-acre site in Lake Charles, Louisiana, with 1,164 slot machines, 34 table games, 11 poker tables, and two hotels offering 493 rooms;</w:t>
      </w:r>
    </w:p>
    <w:p>
      <w:pPr>
        <w:spacing w:after="0" w:line="62" w:lineRule="exact"/>
        <w:rPr>
          <w:rFonts w:ascii="Arial" w:cs="Arial" w:eastAsia="Arial" w:hAnsi="Arial"/>
          <w:sz w:val="18"/>
          <w:szCs w:val="18"/>
          <w:color w:val="auto"/>
        </w:rPr>
      </w:pPr>
    </w:p>
    <w:p>
      <w:pPr>
        <w:ind w:left="560" w:right="100" w:hanging="558"/>
        <w:spacing w:after="0" w:line="277" w:lineRule="auto"/>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Isle of Capri Casino Lula (“Lula”)—Two dockside casinos in Lula, Mississippi with 862 slot machines and 25 table games, two on-site hotels with a total of 486 rooms and a 28-space RV Park;</w:t>
      </w:r>
    </w:p>
    <w:p>
      <w:pPr>
        <w:spacing w:after="0" w:line="62" w:lineRule="exact"/>
        <w:rPr>
          <w:rFonts w:ascii="Arial" w:cs="Arial" w:eastAsia="Arial" w:hAnsi="Arial"/>
          <w:sz w:val="18"/>
          <w:szCs w:val="18"/>
          <w:color w:val="auto"/>
        </w:rPr>
      </w:pPr>
    </w:p>
    <w:p>
      <w:pPr>
        <w:ind w:left="560" w:right="120" w:hanging="558"/>
        <w:spacing w:after="0" w:line="277" w:lineRule="auto"/>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Lady Luck Casino Vicksburg (“Vicksburg”)—A dockside casino in Vicksburg, Mississippi that includes 607 slot machines and a hotel with a total of 89 rooms;</w:t>
      </w:r>
    </w:p>
    <w:p>
      <w:pPr>
        <w:spacing w:after="0" w:line="62" w:lineRule="exact"/>
        <w:rPr>
          <w:rFonts w:ascii="Arial" w:cs="Arial" w:eastAsia="Arial" w:hAnsi="Arial"/>
          <w:sz w:val="18"/>
          <w:szCs w:val="18"/>
          <w:color w:val="auto"/>
        </w:rPr>
      </w:pPr>
    </w:p>
    <w:p>
      <w:pPr>
        <w:ind w:left="560" w:right="40" w:hanging="558"/>
        <w:spacing w:after="0" w:line="277" w:lineRule="auto"/>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Isle of Capri Casino Boonville (“Boonville”)—A single-level dockside casino in Boonville, Missouri that includes 881 slot machines, 20 table games and a 140-room hotel;</w:t>
      </w:r>
    </w:p>
    <w:p>
      <w:pPr>
        <w:spacing w:after="0" w:line="62" w:lineRule="exact"/>
        <w:rPr>
          <w:rFonts w:ascii="Arial" w:cs="Arial" w:eastAsia="Arial" w:hAnsi="Arial"/>
          <w:sz w:val="18"/>
          <w:szCs w:val="18"/>
          <w:color w:val="auto"/>
        </w:rPr>
      </w:pPr>
    </w:p>
    <w:p>
      <w:pPr>
        <w:ind w:left="560" w:right="180" w:hanging="558"/>
        <w:spacing w:after="0" w:line="277" w:lineRule="auto"/>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Isle Casino Cape Girardeau (“Cape Girardeau”)—A dockside casino and pavilion and entertainment center in Cape Girardeau, Missouri that includes 863 slot machines, 20 table games and four poker tables;</w:t>
      </w:r>
    </w:p>
    <w:p>
      <w:pPr>
        <w:spacing w:after="0" w:line="62" w:lineRule="exact"/>
        <w:rPr>
          <w:rFonts w:ascii="Arial" w:cs="Arial" w:eastAsia="Arial" w:hAnsi="Arial"/>
          <w:sz w:val="18"/>
          <w:szCs w:val="18"/>
          <w:color w:val="auto"/>
        </w:rPr>
      </w:pPr>
    </w:p>
    <w:p>
      <w:pPr>
        <w:ind w:left="560" w:right="180" w:hanging="558"/>
        <w:spacing w:after="0" w:line="277" w:lineRule="auto"/>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Lady Luck Casino Caruthersville (“Caruthersville”)—A riverboat casino located along the Mississippi River in Caruthersville, Missouri that includes 507 slot machines and nine table games;</w:t>
      </w:r>
    </w:p>
    <w:p>
      <w:pPr>
        <w:spacing w:after="0" w:line="62" w:lineRule="exact"/>
        <w:rPr>
          <w:rFonts w:ascii="Arial" w:cs="Arial" w:eastAsia="Arial" w:hAnsi="Arial"/>
          <w:sz w:val="18"/>
          <w:szCs w:val="18"/>
          <w:color w:val="auto"/>
        </w:rPr>
      </w:pPr>
    </w:p>
    <w:p>
      <w:pPr>
        <w:ind w:left="560" w:right="400" w:hanging="558"/>
        <w:spacing w:after="0" w:line="277" w:lineRule="auto"/>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Isle of Capri Casino Kansas City (“Kansas City”)—A dockside casino located close to downtown Kansas City, Missouri offering 938 slot machines and 13 table games;</w:t>
      </w:r>
    </w:p>
    <w:p>
      <w:pPr>
        <w:spacing w:after="0" w:line="62" w:lineRule="exact"/>
        <w:rPr>
          <w:rFonts w:ascii="Arial" w:cs="Arial" w:eastAsia="Arial" w:hAnsi="Arial"/>
          <w:sz w:val="18"/>
          <w:szCs w:val="18"/>
          <w:color w:val="auto"/>
        </w:rPr>
      </w:pPr>
    </w:p>
    <w:p>
      <w:pPr>
        <w:ind w:left="560" w:right="680" w:hanging="558"/>
        <w:spacing w:after="0" w:line="277" w:lineRule="auto"/>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Lady Luck Casino Nemacolin (“Nemacolin”)—A casino property located on the 2,000-acre Nemacolin Woodlands Resort in Western Pennsylvania that includes 600 slot machines and 28 table games;</w:t>
      </w:r>
    </w:p>
    <w:p>
      <w:pPr>
        <w:spacing w:after="0" w:line="62" w:lineRule="exact"/>
        <w:rPr>
          <w:rFonts w:ascii="Arial" w:cs="Arial" w:eastAsia="Arial" w:hAnsi="Arial"/>
          <w:sz w:val="18"/>
          <w:szCs w:val="18"/>
          <w:color w:val="auto"/>
        </w:rPr>
      </w:pPr>
    </w:p>
    <w:p>
      <w:pPr>
        <w:ind w:left="560" w:right="20" w:hanging="558"/>
        <w:spacing w:after="0" w:line="264" w:lineRule="auto"/>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Tropicana Casino and Resort, Atlantic City (“Trop AC”)—A casino and resort situated on approximately 15 acres with approximately 660 feet of ocean frontage in Atlantic City, New Jersey that includes approximately 2,464 slot machines, 107 table games, 18 poker tables and 2,366 hotel rooms;</w:t>
      </w:r>
    </w:p>
    <w:p>
      <w:pPr>
        <w:spacing w:after="0" w:line="73" w:lineRule="exact"/>
        <w:rPr>
          <w:rFonts w:ascii="Arial" w:cs="Arial" w:eastAsia="Arial" w:hAnsi="Arial"/>
          <w:sz w:val="18"/>
          <w:szCs w:val="18"/>
          <w:color w:val="auto"/>
        </w:rPr>
      </w:pPr>
    </w:p>
    <w:p>
      <w:pPr>
        <w:ind w:left="560" w:hanging="558"/>
        <w:spacing w:after="0" w:line="277" w:lineRule="auto"/>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Tropicana Evansville (“Evansville”)—A casino hotel and entertainment complex in Evansville, Indiana featuring 1,128 slot machines, 33 table games, eight poker tables and two on-site hotels with a total of 338 rooms;</w:t>
      </w:r>
    </w:p>
    <w:p>
      <w:pPr>
        <w:spacing w:after="0" w:line="62" w:lineRule="exact"/>
        <w:rPr>
          <w:rFonts w:ascii="Arial" w:cs="Arial" w:eastAsia="Arial" w:hAnsi="Arial"/>
          <w:sz w:val="18"/>
          <w:szCs w:val="18"/>
          <w:color w:val="auto"/>
        </w:rPr>
      </w:pPr>
    </w:p>
    <w:p>
      <w:pPr>
        <w:ind w:left="560" w:right="280" w:hanging="558"/>
        <w:spacing w:after="0" w:line="264" w:lineRule="auto"/>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Lumière Place Casino (“Lumière”)—A casino located on approximately 20 acres, located in historic downtown St. Louis, Missouri near business and entertainment districts and overlooks the Mississippi River with approximately 1,401 slot machines, 48 table games, 10 poker tables and 494 hotel rooms;</w:t>
      </w:r>
    </w:p>
    <w:p>
      <w:pPr>
        <w:spacing w:after="0" w:line="73" w:lineRule="exact"/>
        <w:rPr>
          <w:rFonts w:ascii="Arial" w:cs="Arial" w:eastAsia="Arial" w:hAnsi="Arial"/>
          <w:sz w:val="18"/>
          <w:szCs w:val="18"/>
          <w:color w:val="auto"/>
        </w:rPr>
      </w:pPr>
    </w:p>
    <w:p>
      <w:pPr>
        <w:ind w:left="560" w:right="580" w:hanging="558"/>
        <w:spacing w:after="0" w:line="277" w:lineRule="auto"/>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Tropicana Laughlin Hotel and Casino (“Laughlin”)—A casino in Casino Drive, Laughlin, Nevada that includes approximately 895 slot machines, 20 table games and 1,487 hotel rooms;</w:t>
      </w:r>
    </w:p>
    <w:p>
      <w:pPr>
        <w:spacing w:after="0" w:line="62" w:lineRule="exact"/>
        <w:rPr>
          <w:rFonts w:ascii="Arial" w:cs="Arial" w:eastAsia="Arial" w:hAnsi="Arial"/>
          <w:sz w:val="18"/>
          <w:szCs w:val="18"/>
          <w:color w:val="auto"/>
        </w:rPr>
      </w:pPr>
    </w:p>
    <w:p>
      <w:pPr>
        <w:ind w:left="560" w:right="60" w:hanging="558"/>
        <w:spacing w:after="0" w:line="277" w:lineRule="auto"/>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MontBleu Casino Resort &amp; Spa (“MontBleu”)—A casino situated on approximately 21 acres in South Lake Tahoe, Nevada surrounded by the Sierra Nevada Mountains featuring approximately 474 slot machines, 17 table games and 438 hotel rooms;</w:t>
      </w:r>
    </w:p>
    <w:p>
      <w:pPr>
        <w:spacing w:after="0" w:line="62" w:lineRule="exact"/>
        <w:rPr>
          <w:rFonts w:ascii="Arial" w:cs="Arial" w:eastAsia="Arial" w:hAnsi="Arial"/>
          <w:sz w:val="18"/>
          <w:szCs w:val="18"/>
          <w:color w:val="auto"/>
        </w:rPr>
      </w:pPr>
    </w:p>
    <w:p>
      <w:pPr>
        <w:ind w:left="560" w:right="120" w:hanging="558"/>
        <w:spacing w:after="0" w:line="277" w:lineRule="auto"/>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Trop Casino Greenville (“Greenville”)—A landside gaming facility located in Greenville, Mississippi with approximately 590 slot machines, 10 table games and 40 hotel rooms;</w:t>
      </w:r>
    </w:p>
    <w:p>
      <w:pPr>
        <w:spacing w:after="0" w:line="62" w:lineRule="exact"/>
        <w:rPr>
          <w:rFonts w:ascii="Arial" w:cs="Arial" w:eastAsia="Arial" w:hAnsi="Arial"/>
          <w:sz w:val="18"/>
          <w:szCs w:val="18"/>
          <w:color w:val="auto"/>
        </w:rPr>
      </w:pPr>
    </w:p>
    <w:p>
      <w:pPr>
        <w:ind w:left="560" w:right="60" w:hanging="558"/>
        <w:spacing w:after="0" w:line="342" w:lineRule="auto"/>
        <w:tabs>
          <w:tab w:leader="none" w:pos="5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Belle of Baton Rouge Casino &amp; Hotel (“Baton Rouge”)—A dockside riverboat situated on approximately 23 acres on the Mississippi River in the downtown historic district of Baton Rouge featuring approximately 773 slot machines, 14 table games and 288 hotel rooms; and</w:t>
      </w:r>
    </w:p>
    <w:p>
      <w:pPr>
        <w:spacing w:after="0" w:line="15" w:lineRule="exact"/>
        <w:rPr>
          <w:rFonts w:ascii="Arial" w:cs="Arial" w:eastAsia="Arial" w:hAnsi="Arial"/>
          <w:sz w:val="16"/>
          <w:szCs w:val="16"/>
          <w:color w:val="auto"/>
        </w:rPr>
      </w:pPr>
    </w:p>
    <w:p>
      <w:pPr>
        <w:ind w:left="560" w:hanging="558"/>
        <w:spacing w:after="0"/>
        <w:tabs>
          <w:tab w:leader="none" w:pos="5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Grand Victoria Casino (“Elgin”)—A casino located in Elgin, Illinois featuring approximately 1,088 slot machines and 30 table games.</w:t>
      </w:r>
    </w:p>
    <w:p>
      <w:pPr>
        <w:spacing w:after="0" w:line="237"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800" w:top="449" w:right="239" w:bottom="1440" w:gutter="0" w:footer="0" w:header="0"/>
        </w:sectPr>
      </w:pPr>
    </w:p>
    <w:bookmarkStart w:id="83" w:name="page84"/>
    <w:bookmarkEnd w:id="83"/>
    <w:p>
      <w:pPr>
        <w:ind w:right="300" w:firstLine="555"/>
        <w:spacing w:after="0" w:line="308" w:lineRule="auto"/>
        <w:rPr>
          <w:sz w:val="20"/>
          <w:szCs w:val="20"/>
          <w:color w:val="auto"/>
        </w:rPr>
      </w:pPr>
      <w:r>
        <w:rPr>
          <w:rFonts w:ascii="Arial" w:cs="Arial" w:eastAsia="Arial" w:hAnsi="Arial"/>
          <w:sz w:val="17"/>
          <w:szCs w:val="17"/>
          <w:color w:val="auto"/>
        </w:rPr>
        <w:t>In addition, Scioto Downs, through its subsidiary RacelineBet, Inc., also operates Racelinebet.com, a national account wagering service that offers online and telephone wagering on horse races as a marketing affiliate of TwinSpires.com, an affiliate of Churchill Downs Incorporated.</w:t>
      </w:r>
    </w:p>
    <w:p>
      <w:pPr>
        <w:spacing w:after="0" w:line="147" w:lineRule="exact"/>
        <w:rPr>
          <w:sz w:val="20"/>
          <w:szCs w:val="20"/>
          <w:color w:val="auto"/>
        </w:rPr>
      </w:pPr>
    </w:p>
    <w:p>
      <w:pPr>
        <w:ind w:right="20" w:firstLine="555"/>
        <w:spacing w:after="0" w:line="277" w:lineRule="auto"/>
        <w:rPr>
          <w:sz w:val="20"/>
          <w:szCs w:val="20"/>
          <w:color w:val="auto"/>
        </w:rPr>
      </w:pPr>
      <w:r>
        <w:rPr>
          <w:rFonts w:ascii="Arial" w:cs="Arial" w:eastAsia="Arial" w:hAnsi="Arial"/>
          <w:sz w:val="18"/>
          <w:szCs w:val="18"/>
          <w:color w:val="auto"/>
        </w:rPr>
        <w:t>The Company sold Presque Isle Downs in January 2019 and has entered into an agreement to sell Nemacolin. The Nemacolin sale is expected to close in the first quarter of 2019 (See Note 5).</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21"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accompanying consolidated financial statements include the accounts of the Company as described in Note 1.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intercompany transactions have been eliminated in consolidation.</w:t>
      </w:r>
    </w:p>
    <w:p>
      <w:pPr>
        <w:spacing w:after="0" w:line="17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The preparation of financial statements in conformity with accounting principles generally accepted in the United States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America requires management to make estimates and assumptions that affect the reported amounts of assets and liabilities and disclosure of contingent assets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liabilities at the date of the financial statements and the reported amounts of revenues and expenses during the reporting period. Significant estimates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incorporated into the Company’s consolidated financial statements include useful lives for depreciable and amortizable assets, allowance for doubtful</w:t>
      </w:r>
    </w:p>
    <w:p>
      <w:pPr>
        <w:spacing w:after="0" w:line="21"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accounts receivable, cash flows in assessing goodwill and indefinite-lived intangible assets for impairment and the recoverability of long</w:t>
      </w:r>
      <w:r>
        <w:rPr>
          <w:rFonts w:ascii="MS PGothic" w:cs="MS PGothic" w:eastAsia="MS PGothic" w:hAnsi="MS PGothic"/>
          <w:sz w:val="17"/>
          <w:szCs w:val="17"/>
          <w:color w:val="auto"/>
        </w:rPr>
        <w:t>‑</w:t>
      </w:r>
      <w:r>
        <w:rPr>
          <w:rFonts w:ascii="Arial" w:cs="Arial" w:eastAsia="Arial" w:hAnsi="Arial"/>
          <w:sz w:val="17"/>
          <w:szCs w:val="17"/>
          <w:color w:val="auto"/>
        </w:rPr>
        <w:t>lived assets,</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self</w:t>
      </w:r>
      <w:r>
        <w:rPr>
          <w:rFonts w:ascii="MS PGothic" w:cs="MS PGothic" w:eastAsia="MS PGothic" w:hAnsi="MS PGothic"/>
          <w:sz w:val="16"/>
          <w:szCs w:val="16"/>
          <w:color w:val="auto"/>
        </w:rPr>
        <w:t>‑</w:t>
      </w:r>
      <w:r>
        <w:rPr>
          <w:rFonts w:ascii="Arial" w:cs="Arial" w:eastAsia="Arial" w:hAnsi="Arial"/>
          <w:sz w:val="16"/>
          <w:szCs w:val="16"/>
          <w:color w:val="auto"/>
        </w:rPr>
        <w:t>insurance reserves, players’ loyalty program liabilities, contingencies and litigation, claims and assessments, and fair value measurements related to the</w:t>
      </w:r>
    </w:p>
    <w:p>
      <w:pPr>
        <w:spacing w:after="0" w:line="3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Company’s long</w:t>
      </w:r>
      <w:r>
        <w:rPr>
          <w:rFonts w:ascii="MS PGothic" w:cs="MS PGothic" w:eastAsia="MS PGothic" w:hAnsi="MS PGothic"/>
          <w:sz w:val="18"/>
          <w:szCs w:val="18"/>
          <w:color w:val="auto"/>
        </w:rPr>
        <w:t>‑</w:t>
      </w:r>
      <w:r>
        <w:rPr>
          <w:rFonts w:ascii="Arial" w:cs="Arial" w:eastAsia="Arial" w:hAnsi="Arial"/>
          <w:sz w:val="18"/>
          <w:szCs w:val="18"/>
          <w:color w:val="auto"/>
        </w:rPr>
        <w:t>term debt. Actual results could differ from these estimates.</w:t>
      </w:r>
    </w:p>
    <w:p>
      <w:pPr>
        <w:spacing w:after="0" w:line="211" w:lineRule="exact"/>
        <w:rPr>
          <w:sz w:val="20"/>
          <w:szCs w:val="20"/>
          <w:color w:val="auto"/>
        </w:rPr>
      </w:pPr>
    </w:p>
    <w:p>
      <w:pPr>
        <w:ind w:right="100" w:firstLine="555"/>
        <w:spacing w:after="0" w:line="219" w:lineRule="exact"/>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Cash equivalents include investments in money market funds. Investments can be redeemed immediately at the current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asset value per share. A money market fund is a mutual fund whose investments are primarily in short</w:t>
      </w:r>
      <w:r>
        <w:rPr>
          <w:rFonts w:ascii="MS PGothic" w:cs="MS PGothic" w:eastAsia="MS PGothic" w:hAnsi="MS PGothic"/>
          <w:sz w:val="18"/>
          <w:szCs w:val="18"/>
          <w:color w:val="auto"/>
        </w:rPr>
        <w:t>‑</w:t>
      </w:r>
      <w:r>
        <w:rPr>
          <w:rFonts w:ascii="Arial" w:cs="Arial" w:eastAsia="Arial" w:hAnsi="Arial"/>
          <w:sz w:val="18"/>
          <w:szCs w:val="18"/>
          <w:color w:val="auto"/>
        </w:rPr>
        <w:t>term debt securities designed to maximize current income with liquidity and capital preservation, usually maintaining per share net asset value at a constant amount, such as one dollar. Cash and cash equivalents also include cash maintained for gaming operations. The carrying amounts approximate the fair value because of the short maturity of those instruments (Level 1).</w:t>
      </w:r>
    </w:p>
    <w:p>
      <w:pPr>
        <w:spacing w:after="0" w:line="206" w:lineRule="exact"/>
        <w:rPr>
          <w:sz w:val="20"/>
          <w:szCs w:val="20"/>
          <w:color w:val="auto"/>
        </w:rPr>
      </w:pPr>
    </w:p>
    <w:p>
      <w:pPr>
        <w:ind w:firstLine="555"/>
        <w:spacing w:after="0" w:line="291" w:lineRule="auto"/>
        <w:rPr>
          <w:sz w:val="20"/>
          <w:szCs w:val="20"/>
          <w:color w:val="auto"/>
        </w:rPr>
      </w:pPr>
      <w:r>
        <w:rPr>
          <w:rFonts w:ascii="Arial" w:cs="Arial" w:eastAsia="Arial" w:hAnsi="Arial"/>
          <w:sz w:val="16"/>
          <w:szCs w:val="16"/>
          <w:b w:val="1"/>
          <w:bCs w:val="1"/>
          <w:i w:val="1"/>
          <w:iCs w:val="1"/>
          <w:color w:val="auto"/>
        </w:rPr>
        <w:t xml:space="preserve">Restricted Cash and Investments. </w:t>
      </w:r>
      <w:r>
        <w:rPr>
          <w:rFonts w:ascii="Arial" w:cs="Arial" w:eastAsia="Arial" w:hAnsi="Arial"/>
          <w:sz w:val="16"/>
          <w:szCs w:val="16"/>
          <w:color w:val="auto"/>
        </w:rPr>
        <w:t>Restricted cash includes cash and certificates of deposit; restricted investments consist primarily of trading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held by the Company’s captive insurance subsidiary. The trading securities are primarily debt and equity securities that are purchased with the intention to resell in the near term. The trading securities are carried at fair value with changes in fair value recognized in current period income. Balances are reserved for unredeemed winning tickets from the Company’s racing operations, funds related to horsemen’s fines and certain simulcasting funds that are restricted to payments for improving horsemen’s facilities and racing purses, cash deposits that serve as collateral for letters of credit, surety bonds and certificates of deposit that serve as collateral for certain bonding requirements, and serve as security for certain insurance coverage and land leases. In addition, the Company holds shares in a publicly traded company with a time restriction on when they can be sold. The restriction expires in November 2019.</w:t>
      </w:r>
    </w:p>
    <w:p>
      <w:pPr>
        <w:spacing w:after="0" w:line="167" w:lineRule="exact"/>
        <w:rPr>
          <w:sz w:val="20"/>
          <w:szCs w:val="20"/>
          <w:color w:val="auto"/>
        </w:rPr>
      </w:pPr>
    </w:p>
    <w:p>
      <w:pPr>
        <w:ind w:right="220" w:firstLine="555"/>
        <w:spacing w:after="0" w:line="259" w:lineRule="auto"/>
        <w:rPr>
          <w:sz w:val="20"/>
          <w:szCs w:val="20"/>
          <w:color w:val="auto"/>
        </w:rPr>
      </w:pPr>
      <w:r>
        <w:rPr>
          <w:rFonts w:ascii="Arial" w:cs="Arial" w:eastAsia="Arial" w:hAnsi="Arial"/>
          <w:sz w:val="18"/>
          <w:szCs w:val="18"/>
          <w:color w:val="auto"/>
        </w:rPr>
        <w:t>The estimated fair values of our restricted cash and investments are based upon quoted prices available in active markets (Level 1), or quoted prices for similar assets in active and inactive markets (Level 2), or unobservable inputs that are not corroborated by market data (Level 3) and represent the amounts we would expect to receive if we sold our restricted cash and investments. Restricted cash and investments are reported on the face of the Consolidated Balance Sheets and in Other assets, net.</w:t>
      </w:r>
    </w:p>
    <w:p>
      <w:pPr>
        <w:spacing w:after="0" w:line="187" w:lineRule="exact"/>
        <w:rPr>
          <w:sz w:val="20"/>
          <w:szCs w:val="20"/>
          <w:color w:val="auto"/>
        </w:rPr>
      </w:pPr>
    </w:p>
    <w:p>
      <w:pPr>
        <w:ind w:right="40" w:firstLine="555"/>
        <w:spacing w:after="0" w:line="279" w:lineRule="auto"/>
        <w:rPr>
          <w:sz w:val="20"/>
          <w:szCs w:val="20"/>
          <w:color w:val="auto"/>
        </w:rPr>
      </w:pPr>
      <w:r>
        <w:rPr>
          <w:rFonts w:ascii="Arial" w:cs="Arial" w:eastAsia="Arial" w:hAnsi="Arial"/>
          <w:sz w:val="17"/>
          <w:szCs w:val="17"/>
          <w:b w:val="1"/>
          <w:bCs w:val="1"/>
          <w:i w:val="1"/>
          <w:iCs w:val="1"/>
          <w:color w:val="auto"/>
        </w:rPr>
        <w:t>Marketable Securities</w:t>
      </w:r>
      <w:r>
        <w:rPr>
          <w:rFonts w:ascii="Arial" w:cs="Arial" w:eastAsia="Arial" w:hAnsi="Arial"/>
          <w:sz w:val="17"/>
          <w:szCs w:val="17"/>
          <w:color w:val="auto"/>
        </w:rPr>
        <w:t>. Marketable securities consist primarily of trading securities held by the Company’s captive insurance subsidiary. The trading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securities are primarily debt and equity securities that are purchased with the intention to resell in the near term. The trading securities are carried at fair value with changes in fair value recognized in current period income. For the year ended December 31, 2018, we recorded a $43,000 loss related to the change in fair value which is included in corporate expenses in the accompanying statements of income.</w:t>
      </w:r>
    </w:p>
    <w:p>
      <w:pPr>
        <w:spacing w:after="0" w:line="171" w:lineRule="exact"/>
        <w:rPr>
          <w:sz w:val="20"/>
          <w:szCs w:val="20"/>
          <w:color w:val="auto"/>
        </w:rPr>
      </w:pPr>
    </w:p>
    <w:p>
      <w:pPr>
        <w:ind w:right="140" w:firstLine="555"/>
        <w:spacing w:after="0" w:line="276" w:lineRule="auto"/>
        <w:rPr>
          <w:sz w:val="20"/>
          <w:szCs w:val="20"/>
          <w:color w:val="auto"/>
        </w:rPr>
      </w:pPr>
      <w:r>
        <w:rPr>
          <w:rFonts w:ascii="Arial" w:cs="Arial" w:eastAsia="Arial" w:hAnsi="Arial"/>
          <w:sz w:val="17"/>
          <w:szCs w:val="17"/>
          <w:b w:val="1"/>
          <w:bCs w:val="1"/>
          <w:i w:val="1"/>
          <w:iCs w:val="1"/>
          <w:color w:val="auto"/>
        </w:rPr>
        <w:t xml:space="preserve">CRDA Investments. </w:t>
      </w:r>
      <w:r>
        <w:rPr>
          <w:rFonts w:ascii="Arial" w:cs="Arial" w:eastAsia="Arial" w:hAnsi="Arial"/>
          <w:sz w:val="17"/>
          <w:szCs w:val="17"/>
          <w:color w:val="auto"/>
        </w:rPr>
        <w:t>The New Jersey Casino Reinvestment Development Authority (“CRDA”) cash deposits made by Trop AC are carried at fair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value. The CRDA deposits are used to purchase CRDA bonds that carry below market interest rates. An allowance is established by a charge to the Consolidated Statements of Income as part of general and administrative expense. When the CRDA deposits are used to purchase CRDA bonds, the allowance is transferred to the bonds as a discount, which is amortized to interest income using the interest method. The CRDA bonds are classified as held-to-maturity securities and are carried at amortized cost less any adjustments for other than temporary impairments.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4" w:name="page85"/>
    <w:bookmarkEnd w:id="84"/>
    <w:p>
      <w:pPr>
        <w:ind w:right="40" w:firstLine="555"/>
        <w:spacing w:after="0" w:line="218" w:lineRule="exact"/>
        <w:rPr>
          <w:sz w:val="20"/>
          <w:szCs w:val="20"/>
          <w:color w:val="auto"/>
        </w:rPr>
      </w:pPr>
      <w:r>
        <w:rPr>
          <w:rFonts w:ascii="Arial" w:cs="Arial" w:eastAsia="Arial" w:hAnsi="Arial"/>
          <w:sz w:val="17"/>
          <w:szCs w:val="17"/>
          <w:b w:val="1"/>
          <w:bCs w:val="1"/>
          <w:i w:val="1"/>
          <w:iCs w:val="1"/>
          <w:color w:val="auto"/>
        </w:rPr>
        <w:t xml:space="preserve">Accounts Receivable and Credit Risk. </w:t>
      </w:r>
      <w:r>
        <w:rPr>
          <w:rFonts w:ascii="Arial" w:cs="Arial" w:eastAsia="Arial" w:hAnsi="Arial"/>
          <w:sz w:val="17"/>
          <w:szCs w:val="17"/>
          <w:color w:val="auto"/>
        </w:rPr>
        <w:t>Financial instruments that potentially subject the Company to concentrations of credit risk consist principally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casino accounts receivable. The Company issues markers to approved casino customers following background checks and assessments of creditworthiness. Trade receivables, including casino and hotel receivables, are typically non</w:t>
      </w:r>
      <w:r>
        <w:rPr>
          <w:rFonts w:ascii="MS PGothic" w:cs="MS PGothic" w:eastAsia="MS PGothic" w:hAnsi="MS PGothic"/>
          <w:sz w:val="17"/>
          <w:szCs w:val="17"/>
          <w:color w:val="auto"/>
        </w:rPr>
        <w:t>‑</w:t>
      </w:r>
      <w:r>
        <w:rPr>
          <w:rFonts w:ascii="Arial" w:cs="Arial" w:eastAsia="Arial" w:hAnsi="Arial"/>
          <w:sz w:val="17"/>
          <w:szCs w:val="17"/>
          <w:color w:val="auto"/>
        </w:rPr>
        <w:t>interest bearing. Accounts are written off when management deems the account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historical collection experience and current economic and business conditions. Management believes that as of December 31, 2018 and 2017, no significant concentrations of credit risk related to receivables existed.</w:t>
      </w:r>
    </w:p>
    <w:p>
      <w:pPr>
        <w:spacing w:after="0" w:line="206" w:lineRule="exact"/>
        <w:rPr>
          <w:sz w:val="20"/>
          <w:szCs w:val="20"/>
          <w:color w:val="auto"/>
        </w:rPr>
      </w:pPr>
    </w:p>
    <w:p>
      <w:pPr>
        <w:ind w:right="60" w:firstLine="555"/>
        <w:spacing w:after="0" w:line="223" w:lineRule="exact"/>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are stated at the lower of average cost, using a first</w:t>
      </w:r>
      <w:r>
        <w:rPr>
          <w:rFonts w:ascii="MS PGothic" w:cs="MS PGothic" w:eastAsia="MS PGothic" w:hAnsi="MS PGothic"/>
          <w:sz w:val="18"/>
          <w:szCs w:val="18"/>
          <w:color w:val="auto"/>
        </w:rPr>
        <w:t>‑</w:t>
      </w:r>
      <w:r>
        <w:rPr>
          <w:rFonts w:ascii="Arial" w:cs="Arial" w:eastAsia="Arial" w:hAnsi="Arial"/>
          <w:sz w:val="18"/>
          <w:szCs w:val="18"/>
          <w:color w:val="auto"/>
        </w:rPr>
        <w:t>in, first</w:t>
      </w:r>
      <w:r>
        <w:rPr>
          <w:rFonts w:ascii="MS PGothic" w:cs="MS PGothic" w:eastAsia="MS PGothic" w:hAnsi="MS PGothic"/>
          <w:sz w:val="18"/>
          <w:szCs w:val="18"/>
          <w:color w:val="auto"/>
        </w:rPr>
        <w:t>‑</w:t>
      </w:r>
      <w:r>
        <w:rPr>
          <w:rFonts w:ascii="Arial" w:cs="Arial" w:eastAsia="Arial" w:hAnsi="Arial"/>
          <w:sz w:val="18"/>
          <w:szCs w:val="18"/>
          <w:color w:val="auto"/>
        </w:rPr>
        <w:t>out basis, or net realizable value. Inventories consist primarily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food and beverage, retail merchandise and operating supplies.</w:t>
      </w:r>
    </w:p>
    <w:p>
      <w:pPr>
        <w:spacing w:after="0" w:line="203"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b w:val="1"/>
          <w:bCs w:val="1"/>
          <w:i w:val="1"/>
          <w:iCs w:val="1"/>
          <w:color w:val="auto"/>
        </w:rPr>
        <w:t xml:space="preserve">Corporate Expense. </w:t>
      </w:r>
      <w:r>
        <w:rPr>
          <w:rFonts w:ascii="Arial" w:cs="Arial" w:eastAsia="Arial" w:hAnsi="Arial"/>
          <w:sz w:val="18"/>
          <w:szCs w:val="18"/>
          <w:color w:val="auto"/>
        </w:rPr>
        <w:t>Corporate expense represents unallocated payroll, travel costs, professional fees and various other expenses not directly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casino resort operations. In addition, corporate expense includes costs associated with the Company’s evaluation and pursuit of new business opportunities, which are expensed as incurred.</w:t>
      </w:r>
    </w:p>
    <w:p>
      <w:pPr>
        <w:spacing w:after="0" w:line="181" w:lineRule="exact"/>
        <w:rPr>
          <w:sz w:val="20"/>
          <w:szCs w:val="20"/>
          <w:color w:val="auto"/>
        </w:rPr>
      </w:pPr>
    </w:p>
    <w:p>
      <w:pPr>
        <w:jc w:val="both"/>
        <w:ind w:right="540" w:firstLine="555"/>
        <w:spacing w:after="0" w:line="264" w:lineRule="auto"/>
        <w:rPr>
          <w:sz w:val="20"/>
          <w:szCs w:val="20"/>
          <w:color w:val="auto"/>
        </w:rPr>
      </w:pPr>
      <w:r>
        <w:rPr>
          <w:rFonts w:ascii="Arial" w:cs="Arial" w:eastAsia="Arial" w:hAnsi="Arial"/>
          <w:sz w:val="18"/>
          <w:szCs w:val="18"/>
          <w:b w:val="1"/>
          <w:bCs w:val="1"/>
          <w:i w:val="1"/>
          <w:iCs w:val="1"/>
          <w:color w:val="auto"/>
        </w:rPr>
        <w:t xml:space="preserve">Preopening and Start-up Expenses. </w:t>
      </w:r>
      <w:r>
        <w:rPr>
          <w:rFonts w:ascii="Arial" w:cs="Arial" w:eastAsia="Arial" w:hAnsi="Arial"/>
          <w:sz w:val="18"/>
          <w:szCs w:val="18"/>
          <w:color w:val="auto"/>
        </w:rPr>
        <w:t>Preopening and start-up costs, including organizational costs, are expensed as incurred. Costs classified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preopening and start-up expenses include payroll, outside services, advertising, and other expenses related to new or start-up operations. Expenses are reported in operating expenses on the Consolidated Statements of Income.</w:t>
      </w:r>
    </w:p>
    <w:p>
      <w:pPr>
        <w:spacing w:after="0" w:line="181" w:lineRule="exact"/>
        <w:rPr>
          <w:sz w:val="20"/>
          <w:szCs w:val="20"/>
          <w:color w:val="auto"/>
        </w:rPr>
      </w:pPr>
    </w:p>
    <w:p>
      <w:pPr>
        <w:ind w:right="60" w:firstLine="555"/>
        <w:spacing w:after="0" w:line="221" w:lineRule="exact"/>
        <w:rPr>
          <w:sz w:val="20"/>
          <w:szCs w:val="20"/>
          <w:color w:val="auto"/>
        </w:rPr>
      </w:pPr>
      <w:r>
        <w:rPr>
          <w:rFonts w:ascii="Arial" w:cs="Arial" w:eastAsia="Arial" w:hAnsi="Arial"/>
          <w:sz w:val="17"/>
          <w:szCs w:val="17"/>
          <w:b w:val="1"/>
          <w:bCs w:val="1"/>
          <w:i w:val="1"/>
          <w:iCs w:val="1"/>
          <w:color w:val="auto"/>
        </w:rPr>
        <w:t xml:space="preserve">Property and Equipment. </w:t>
      </w:r>
      <w:r>
        <w:rPr>
          <w:rFonts w:ascii="Arial" w:cs="Arial" w:eastAsia="Arial" w:hAnsi="Arial"/>
          <w:sz w:val="17"/>
          <w:szCs w:val="17"/>
          <w:color w:val="auto"/>
        </w:rPr>
        <w:t>Property and equipment are stated at cost. Depreciation is computed using the straight</w:t>
      </w:r>
      <w:r>
        <w:rPr>
          <w:rFonts w:ascii="MS PGothic" w:cs="MS PGothic" w:eastAsia="MS PGothic" w:hAnsi="MS PGothic"/>
          <w:sz w:val="17"/>
          <w:szCs w:val="17"/>
          <w:color w:val="auto"/>
        </w:rPr>
        <w:t>‑</w:t>
      </w:r>
      <w:r>
        <w:rPr>
          <w:rFonts w:ascii="Arial" w:cs="Arial" w:eastAsia="Arial" w:hAnsi="Arial"/>
          <w:sz w:val="17"/>
          <w:szCs w:val="17"/>
          <w:color w:val="auto"/>
        </w:rPr>
        <w:t>line method over the estimated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useful life of the asset or the term of the lease, whichever is less. Costs of major improvements are capitalized, while costs of normal repairs and maintenance are charged to expense as incurred. Gains or losses on the disposal of property and equipment are included in operating income.</w:t>
      </w:r>
    </w:p>
    <w:p>
      <w:pPr>
        <w:spacing w:after="0" w:line="379"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Buildings and improvements</w:t>
            </w:r>
          </w:p>
        </w:tc>
        <w:tc>
          <w:tcPr>
            <w:tcW w:w="2860" w:type="dxa"/>
            <w:vAlign w:val="bottom"/>
            <w:shd w:val="clear" w:color="auto" w:fill="CFF0FC"/>
          </w:tcPr>
          <w:p>
            <w:pPr>
              <w:jc w:val="center"/>
              <w:ind w:left="1210"/>
              <w:spacing w:after="0"/>
              <w:rPr>
                <w:sz w:val="20"/>
                <w:szCs w:val="20"/>
                <w:color w:val="auto"/>
              </w:rPr>
            </w:pPr>
            <w:r>
              <w:rPr>
                <w:rFonts w:ascii="Arial" w:cs="Arial" w:eastAsia="Arial" w:hAnsi="Arial"/>
                <w:sz w:val="18"/>
                <w:szCs w:val="18"/>
                <w:color w:val="auto"/>
                <w:w w:val="87"/>
              </w:rPr>
              <w:t>10 to 40 years</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Land improvements</w:t>
            </w:r>
          </w:p>
        </w:tc>
        <w:tc>
          <w:tcPr>
            <w:tcW w:w="2860" w:type="dxa"/>
            <w:vAlign w:val="bottom"/>
          </w:tcPr>
          <w:p>
            <w:pPr>
              <w:jc w:val="center"/>
              <w:ind w:left="1210"/>
              <w:spacing w:after="0"/>
              <w:rPr>
                <w:sz w:val="20"/>
                <w:szCs w:val="20"/>
                <w:color w:val="auto"/>
              </w:rPr>
            </w:pPr>
            <w:r>
              <w:rPr>
                <w:rFonts w:ascii="Arial" w:cs="Arial" w:eastAsia="Arial" w:hAnsi="Arial"/>
                <w:sz w:val="18"/>
                <w:szCs w:val="18"/>
                <w:color w:val="auto"/>
                <w:w w:val="87"/>
              </w:rPr>
              <w:t>10 to 20 years</w:t>
            </w: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equipment</w:t>
            </w:r>
          </w:p>
        </w:tc>
        <w:tc>
          <w:tcPr>
            <w:tcW w:w="2860" w:type="dxa"/>
            <w:vAlign w:val="bottom"/>
            <w:shd w:val="clear" w:color="auto" w:fill="CFF0FC"/>
          </w:tcPr>
          <w:p>
            <w:pPr>
              <w:jc w:val="center"/>
              <w:ind w:left="1210"/>
              <w:spacing w:after="0"/>
              <w:rPr>
                <w:sz w:val="20"/>
                <w:szCs w:val="20"/>
                <w:color w:val="auto"/>
              </w:rPr>
            </w:pPr>
            <w:r>
              <w:rPr>
                <w:rFonts w:ascii="Arial" w:cs="Arial" w:eastAsia="Arial" w:hAnsi="Arial"/>
                <w:sz w:val="18"/>
                <w:szCs w:val="18"/>
                <w:color w:val="auto"/>
                <w:w w:val="88"/>
              </w:rPr>
              <w:t>3 to 20 years</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Riverboats</w:t>
            </w:r>
          </w:p>
        </w:tc>
        <w:tc>
          <w:tcPr>
            <w:tcW w:w="2860" w:type="dxa"/>
            <w:vAlign w:val="bottom"/>
          </w:tcPr>
          <w:p>
            <w:pPr>
              <w:jc w:val="center"/>
              <w:ind w:left="1210"/>
              <w:spacing w:after="0"/>
              <w:rPr>
                <w:sz w:val="20"/>
                <w:szCs w:val="20"/>
                <w:color w:val="auto"/>
              </w:rPr>
            </w:pPr>
            <w:r>
              <w:rPr>
                <w:rFonts w:ascii="Arial" w:cs="Arial" w:eastAsia="Arial" w:hAnsi="Arial"/>
                <w:sz w:val="18"/>
                <w:szCs w:val="18"/>
                <w:color w:val="auto"/>
                <w:w w:val="88"/>
              </w:rPr>
              <w:t>5 to 25 years</w:t>
            </w:r>
          </w:p>
        </w:tc>
      </w:tr>
    </w:tbl>
    <w:p>
      <w:pPr>
        <w:spacing w:after="0" w:line="201" w:lineRule="exact"/>
        <w:rPr>
          <w:sz w:val="20"/>
          <w:szCs w:val="20"/>
          <w:color w:val="auto"/>
        </w:rPr>
      </w:pPr>
    </w:p>
    <w:p>
      <w:pPr>
        <w:ind w:right="20" w:firstLine="555"/>
        <w:spacing w:after="0" w:line="269" w:lineRule="auto"/>
        <w:rPr>
          <w:sz w:val="20"/>
          <w:szCs w:val="20"/>
          <w:color w:val="auto"/>
        </w:rPr>
      </w:pPr>
      <w:r>
        <w:rPr>
          <w:rFonts w:ascii="Arial" w:cs="Arial" w:eastAsia="Arial" w:hAnsi="Arial"/>
          <w:sz w:val="17"/>
          <w:szCs w:val="17"/>
          <w:color w:val="auto"/>
        </w:rPr>
        <w:t>The Company evaluates its property and equipment and other long-lived assets for impairment based on its classification as held for sale or to be held and used. Several criteria must be met before an asset is classified as held for sale, including that management with the appropriate authority commits to a plan to sell the asset at a reasonable price in relation to its fair value and is actively seeking a buyer. For assets held for sale, the Company recognizes the asset at the lower of carrying value or fair market value less costs to sell, as estimated based on comparable asset sales, offers received, or a discounted cash flow model. For assets to be held and used, the Company reviews for impairment whenever indicators of impairment exist. The Company then compares the estimated future cash flows of the asset, on an undiscounted basis, to the carrying value of the asset. If the undiscounted cash flows exceed the carrying value, no impairment is indicated. If the undiscounted cash flows do not exceed the carrying value, then an impairment charge is recorded. All recognized impairment losses, whether for assets held for sale or assets to be held and used, are recorded as operating expenses. For the years ended December 31, 2018, 2017 and 2016, no impairment charges were recorded for assets held and used. For the year ended December 31, 2018, an impairment charge of $3.8 million was recorded related to the property and equipment held for sale at Nemacolin (see Note 5); no impairment was recorded for the years ended December 31, 2017 and 2016.</w:t>
      </w:r>
    </w:p>
    <w:p>
      <w:pPr>
        <w:spacing w:after="0" w:line="210" w:lineRule="exact"/>
        <w:rPr>
          <w:sz w:val="20"/>
          <w:szCs w:val="20"/>
          <w:color w:val="auto"/>
        </w:rPr>
      </w:pPr>
    </w:p>
    <w:p>
      <w:pPr>
        <w:ind w:right="20" w:firstLine="555"/>
        <w:spacing w:after="0" w:line="286" w:lineRule="auto"/>
        <w:rPr>
          <w:sz w:val="20"/>
          <w:szCs w:val="20"/>
          <w:color w:val="auto"/>
        </w:rPr>
      </w:pPr>
      <w:r>
        <w:rPr>
          <w:rFonts w:ascii="Arial" w:cs="Arial" w:eastAsia="Arial" w:hAnsi="Arial"/>
          <w:sz w:val="17"/>
          <w:szCs w:val="17"/>
          <w:b w:val="1"/>
          <w:bCs w:val="1"/>
          <w:i w:val="1"/>
          <w:iCs w:val="1"/>
          <w:color w:val="auto"/>
        </w:rPr>
        <w:t xml:space="preserve">Investments in and Advances to Unconsolidated Affiliates. </w:t>
      </w:r>
      <w:r>
        <w:rPr>
          <w:rFonts w:ascii="Arial" w:cs="Arial" w:eastAsia="Arial" w:hAnsi="Arial"/>
          <w:sz w:val="17"/>
          <w:szCs w:val="17"/>
          <w:color w:val="auto"/>
        </w:rPr>
        <w:t>The Company’s investments in unconsolidated affiliates which are 50% or less owned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accounted for under the equity method and are included in other assets, net. The Company does have variable interests in variable interest entities; however, we are not the primary beneficiary. All intercompany balances and transactions have been eliminated in consolidation.</w:t>
      </w:r>
    </w:p>
    <w:p>
      <w:pPr>
        <w:spacing w:after="0" w:line="166" w:lineRule="exact"/>
        <w:rPr>
          <w:sz w:val="20"/>
          <w:szCs w:val="20"/>
          <w:color w:val="auto"/>
        </w:rPr>
      </w:pPr>
    </w:p>
    <w:p>
      <w:pPr>
        <w:ind w:right="200" w:firstLine="555"/>
        <w:spacing w:after="0" w:line="259" w:lineRule="auto"/>
        <w:rPr>
          <w:sz w:val="20"/>
          <w:szCs w:val="20"/>
          <w:color w:val="auto"/>
        </w:rPr>
      </w:pPr>
      <w:r>
        <w:rPr>
          <w:rFonts w:ascii="Arial" w:cs="Arial" w:eastAsia="Arial" w:hAnsi="Arial"/>
          <w:sz w:val="18"/>
          <w:szCs w:val="18"/>
          <w:color w:val="auto"/>
        </w:rPr>
        <w:t>The Company considers whether the fair values of any of its equity method investments have declined below their carrying value whenever adverse events or changes in circumstances indicate that recorded values may not be recoverable. Estimated fair value is determined using a discounted cash flow analysis based on estimated future results of the investee. There were no impairments of the Company’s equity method investments during 2018, 2017 or 2016.</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5" w:name="page86"/>
    <w:bookmarkEnd w:id="85"/>
    <w:p>
      <w:pPr>
        <w:ind w:right="20" w:firstLine="555"/>
        <w:spacing w:after="0" w:line="272" w:lineRule="auto"/>
        <w:rPr>
          <w:sz w:val="20"/>
          <w:szCs w:val="20"/>
          <w:color w:val="auto"/>
        </w:rPr>
      </w:pPr>
      <w:r>
        <w:rPr>
          <w:rFonts w:ascii="Arial" w:cs="Arial" w:eastAsia="Arial" w:hAnsi="Arial"/>
          <w:sz w:val="17"/>
          <w:szCs w:val="17"/>
          <w:b w:val="1"/>
          <w:bCs w:val="1"/>
          <w:i w:val="1"/>
          <w:iCs w:val="1"/>
          <w:color w:val="auto"/>
        </w:rPr>
        <w:t xml:space="preserve">Goodwill and Other Intangible Assets. </w:t>
      </w:r>
      <w:r>
        <w:rPr>
          <w:rFonts w:ascii="Arial" w:cs="Arial" w:eastAsia="Arial" w:hAnsi="Arial"/>
          <w:sz w:val="17"/>
          <w:szCs w:val="17"/>
          <w:color w:val="auto"/>
        </w:rPr>
        <w:t>Goodwill represents the excess of purchase price over fair market value of net assets acquired in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combinations. Goodwill and indefinite-lived intangible assets must be reviewed for impairment at least annually and between annual test dates in certain circumstances. The Company performs its annual impairment tests as of October 1 of each fiscal year. As a result of the annual impairment review for goodwill and indefinite-lived intangible assets, the Company recorded impairment charges of $34.9 million and $3.1 million related to goodwill and trade names, respectively, in 2017. No impairments were indicated as a result of the annual impairment review for goodwill and indefinite-lived intangible assets in 2018 and 2016. However, in conjunction with the classification of Vicksburg’s operations as assets held for sale at March 31, 2018, an impairment charge totaling $9.8 million to goodwill was recorded (see Note 5).</w:t>
      </w:r>
    </w:p>
    <w:p>
      <w:pPr>
        <w:spacing w:after="0" w:line="178" w:lineRule="exact"/>
        <w:rPr>
          <w:sz w:val="20"/>
          <w:szCs w:val="20"/>
          <w:color w:val="auto"/>
        </w:rPr>
      </w:pPr>
    </w:p>
    <w:p>
      <w:pPr>
        <w:ind w:firstLine="555"/>
        <w:spacing w:after="0" w:line="221" w:lineRule="exact"/>
        <w:rPr>
          <w:sz w:val="20"/>
          <w:szCs w:val="20"/>
          <w:color w:val="auto"/>
        </w:rPr>
      </w:pPr>
      <w:r>
        <w:rPr>
          <w:rFonts w:ascii="Arial" w:cs="Arial" w:eastAsia="Arial" w:hAnsi="Arial"/>
          <w:sz w:val="18"/>
          <w:szCs w:val="18"/>
          <w:color w:val="auto"/>
        </w:rPr>
        <w:t>Indefinite</w:t>
      </w:r>
      <w:r>
        <w:rPr>
          <w:rFonts w:ascii="MS PGothic" w:cs="MS PGothic" w:eastAsia="MS PGothic" w:hAnsi="MS PGothic"/>
          <w:sz w:val="18"/>
          <w:szCs w:val="18"/>
          <w:color w:val="auto"/>
        </w:rPr>
        <w:t>‑</w:t>
      </w:r>
      <w:r>
        <w:rPr>
          <w:rFonts w:ascii="Arial" w:cs="Arial" w:eastAsia="Arial" w:hAnsi="Arial"/>
          <w:sz w:val="18"/>
          <w:szCs w:val="18"/>
          <w:color w:val="auto"/>
        </w:rPr>
        <w:t>lived intangible assets consist primarily of expenditures associated with obtaining racing and gaming licenses. Indefinite</w:t>
      </w:r>
      <w:r>
        <w:rPr>
          <w:rFonts w:ascii="MS PGothic" w:cs="MS PGothic" w:eastAsia="MS PGothic" w:hAnsi="MS PGothic"/>
          <w:sz w:val="18"/>
          <w:szCs w:val="18"/>
          <w:color w:val="auto"/>
        </w:rPr>
        <w:t>‑</w:t>
      </w:r>
      <w:r>
        <w:rPr>
          <w:rFonts w:ascii="Arial" w:cs="Arial" w:eastAsia="Arial" w:hAnsi="Arial"/>
          <w:sz w:val="18"/>
          <w:szCs w:val="18"/>
          <w:color w:val="auto"/>
        </w:rPr>
        <w:t>lived intangible assets are not subject to amortization but are subject to an annual impairment test. If the carrying amount of an indefinite</w:t>
      </w:r>
      <w:r>
        <w:rPr>
          <w:rFonts w:ascii="MS PGothic" w:cs="MS PGothic" w:eastAsia="MS PGothic" w:hAnsi="MS PGothic"/>
          <w:sz w:val="18"/>
          <w:szCs w:val="18"/>
          <w:color w:val="auto"/>
        </w:rPr>
        <w:t>‑</w:t>
      </w:r>
      <w:r>
        <w:rPr>
          <w:rFonts w:ascii="Arial" w:cs="Arial" w:eastAsia="Arial" w:hAnsi="Arial"/>
          <w:sz w:val="18"/>
          <w:szCs w:val="18"/>
          <w:color w:val="auto"/>
        </w:rPr>
        <w:t>lived intangible asset exceeds its fair value, an impairment loss is recognized in an amount equal to that excess amount.</w:t>
      </w:r>
    </w:p>
    <w:p>
      <w:pPr>
        <w:spacing w:after="0" w:line="202" w:lineRule="exact"/>
        <w:rPr>
          <w:sz w:val="20"/>
          <w:szCs w:val="20"/>
          <w:color w:val="auto"/>
        </w:rPr>
      </w:pPr>
    </w:p>
    <w:p>
      <w:pPr>
        <w:ind w:right="40" w:firstLine="555"/>
        <w:spacing w:after="0" w:line="302" w:lineRule="auto"/>
        <w:rPr>
          <w:sz w:val="20"/>
          <w:szCs w:val="20"/>
          <w:color w:val="auto"/>
        </w:rPr>
      </w:pPr>
      <w:r>
        <w:rPr>
          <w:rFonts w:ascii="Arial" w:cs="Arial" w:eastAsia="Arial" w:hAnsi="Arial"/>
          <w:sz w:val="16"/>
          <w:szCs w:val="16"/>
          <w:color w:val="auto"/>
        </w:rPr>
        <w:t>Finite-lived intangible assets consist of trade names and player loyalty programs acquired in business combinations. Amortization is completed using the straight-line method over the estimated useful life of the asset. The Company evaluates for impairment whenever indicators of impairment exist. When indicators are noted, the Company then compares estimated future cash flows, undiscounted, to the carrying value of the asset. If the undiscounted cash flows exceed the carrying value, no impairment is recorded. For the years ended December 31, 2018, 2017 and 2016, no impairment charges were recorded.</w:t>
      </w:r>
    </w:p>
    <w:p>
      <w:pPr>
        <w:spacing w:after="0" w:line="154" w:lineRule="exact"/>
        <w:rPr>
          <w:sz w:val="20"/>
          <w:szCs w:val="20"/>
          <w:color w:val="auto"/>
        </w:rPr>
      </w:pPr>
    </w:p>
    <w:p>
      <w:pPr>
        <w:ind w:right="80" w:firstLine="555"/>
        <w:spacing w:after="0" w:line="218" w:lineRule="exact"/>
        <w:rPr>
          <w:sz w:val="20"/>
          <w:szCs w:val="20"/>
          <w:color w:val="auto"/>
        </w:rPr>
      </w:pPr>
      <w:r>
        <w:rPr>
          <w:rFonts w:ascii="Arial" w:cs="Arial" w:eastAsia="Arial" w:hAnsi="Arial"/>
          <w:sz w:val="16"/>
          <w:szCs w:val="16"/>
          <w:b w:val="1"/>
          <w:bCs w:val="1"/>
          <w:i w:val="1"/>
          <w:iCs w:val="1"/>
          <w:color w:val="auto"/>
        </w:rPr>
        <w:t>Non</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 xml:space="preserve">Operating Real Properties. </w:t>
      </w:r>
      <w:r>
        <w:rPr>
          <w:rFonts w:ascii="Arial" w:cs="Arial" w:eastAsia="Arial" w:hAnsi="Arial"/>
          <w:sz w:val="16"/>
          <w:szCs w:val="16"/>
          <w:color w:val="auto"/>
        </w:rPr>
        <w:t>We have designated certain assets, consisting principally of land and undeveloped properties, as non</w:t>
      </w:r>
      <w:r>
        <w:rPr>
          <w:rFonts w:ascii="MS PGothic" w:cs="MS PGothic" w:eastAsia="MS PGothic" w:hAnsi="MS PGothic"/>
          <w:sz w:val="16"/>
          <w:szCs w:val="16"/>
          <w:color w:val="auto"/>
        </w:rPr>
        <w:t>‑</w:t>
      </w:r>
      <w:r>
        <w:rPr>
          <w:rFonts w:ascii="Arial" w:cs="Arial" w:eastAsia="Arial" w:hAnsi="Arial"/>
          <w:sz w:val="16"/>
          <w:szCs w:val="16"/>
          <w:color w:val="auto"/>
        </w:rPr>
        <w:t>operating real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and have declared our intent to sell those assets. However, we do not anticipate that we will sell the majority of the assets within the next twelve months. As such, these properties are not classified as held</w:t>
      </w:r>
      <w:r>
        <w:rPr>
          <w:rFonts w:ascii="MS PGothic" w:cs="MS PGothic" w:eastAsia="MS PGothic" w:hAnsi="MS PGothic"/>
          <w:sz w:val="16"/>
          <w:szCs w:val="16"/>
          <w:color w:val="auto"/>
        </w:rPr>
        <w:t>‑</w:t>
      </w:r>
      <w:r>
        <w:rPr>
          <w:rFonts w:ascii="Arial" w:cs="Arial" w:eastAsia="Arial" w:hAnsi="Arial"/>
          <w:sz w:val="16"/>
          <w:szCs w:val="16"/>
          <w:color w:val="auto"/>
        </w:rPr>
        <w:t>for</w:t>
      </w:r>
      <w:r>
        <w:rPr>
          <w:rFonts w:ascii="MS PGothic" w:cs="MS PGothic" w:eastAsia="MS PGothic" w:hAnsi="MS PGothic"/>
          <w:sz w:val="16"/>
          <w:szCs w:val="16"/>
          <w:color w:val="auto"/>
        </w:rPr>
        <w:t>‑</w:t>
      </w:r>
      <w:r>
        <w:rPr>
          <w:rFonts w:ascii="Arial" w:cs="Arial" w:eastAsia="Arial" w:hAnsi="Arial"/>
          <w:sz w:val="16"/>
          <w:szCs w:val="16"/>
          <w:color w:val="auto"/>
        </w:rPr>
        <w:t>sale as of December 31, 2018. For undeveloped properties, including non</w:t>
      </w:r>
      <w:r>
        <w:rPr>
          <w:rFonts w:ascii="MS PGothic" w:cs="MS PGothic" w:eastAsia="MS PGothic" w:hAnsi="MS PGothic"/>
          <w:sz w:val="16"/>
          <w:szCs w:val="16"/>
          <w:color w:val="auto"/>
        </w:rPr>
        <w:t>‑</w:t>
      </w:r>
      <w:r>
        <w:rPr>
          <w:rFonts w:ascii="Arial" w:cs="Arial" w:eastAsia="Arial" w:hAnsi="Arial"/>
          <w:sz w:val="16"/>
          <w:szCs w:val="16"/>
          <w:color w:val="auto"/>
        </w:rPr>
        <w:t>operating real properties, when indicators of impairment are present, properties are evaluated for impairment and losses are recorded when undiscounted cash flows estimated to be generated by an asset or market comparisons are less than the asset’s carrying amount. The amount of the impairment loss is calculated as the excess of the asset’s carrying value over its fair value, which is determined using a discounted cash flow analysis, management estimates or market comparisons. No impairment indicators were noted for the years ended December 31, 2018, 2017 and 2016.</w:t>
      </w:r>
    </w:p>
    <w:p>
      <w:pPr>
        <w:spacing w:after="0" w:line="205" w:lineRule="exact"/>
        <w:rPr>
          <w:sz w:val="20"/>
          <w:szCs w:val="20"/>
          <w:color w:val="auto"/>
        </w:rPr>
      </w:pPr>
    </w:p>
    <w:p>
      <w:pPr>
        <w:ind w:right="120" w:firstLine="555"/>
        <w:spacing w:after="0" w:line="271" w:lineRule="auto"/>
        <w:rPr>
          <w:sz w:val="20"/>
          <w:szCs w:val="20"/>
          <w:color w:val="auto"/>
        </w:rPr>
      </w:pPr>
      <w:r>
        <w:rPr>
          <w:rFonts w:ascii="Arial" w:cs="Arial" w:eastAsia="Arial" w:hAnsi="Arial"/>
          <w:sz w:val="17"/>
          <w:szCs w:val="17"/>
          <w:b w:val="1"/>
          <w:bCs w:val="1"/>
          <w:i w:val="1"/>
          <w:iCs w:val="1"/>
          <w:color w:val="auto"/>
        </w:rPr>
        <w:t xml:space="preserve">Financing Obligation with GLPI. </w:t>
      </w:r>
      <w:r>
        <w:rPr>
          <w:rFonts w:ascii="Arial" w:cs="Arial" w:eastAsia="Arial" w:hAnsi="Arial"/>
          <w:sz w:val="17"/>
          <w:szCs w:val="17"/>
          <w:color w:val="auto"/>
        </w:rPr>
        <w:t>Substantially concurrently with the consummation of the Tropicana Acquisition, the Company entered into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Master Lease with Gaming and Leisure Properties Inc. (“GLPI”) (see Note 3). The Master Lease was evaluated as a sale-leaseback of real estate; however, based on certain prohibited forms of continuing involvement in the leased assets, the Master Lease did not qualify for sale-leaseback accounting and was accounted for as a financing obligation. Under a failed sale-leaseback transaction, the real estate assets generally remain on the consolidated balance sheet at their historical net book value and are depreciated over their remaining useful lives with a failed sale-leaseback financing obligation recognized for the proceeds received. However, in the absence of cash proceeds, the value of the failed sale-leaseback financing obligations recognized is determined to be the fair value of the leased real estate assets. As a result, the Company calculated a financing obligation at the inception of the Master Lease based on the fair value of the real estate assets subject to the Master Lease (see Note 10).</w:t>
      </w:r>
    </w:p>
    <w:p>
      <w:pPr>
        <w:spacing w:after="0" w:line="179" w:lineRule="exact"/>
        <w:rPr>
          <w:sz w:val="20"/>
          <w:szCs w:val="20"/>
          <w:color w:val="auto"/>
        </w:rPr>
      </w:pPr>
    </w:p>
    <w:p>
      <w:pPr>
        <w:ind w:right="80" w:firstLine="555"/>
        <w:spacing w:after="0" w:line="297" w:lineRule="auto"/>
        <w:rPr>
          <w:sz w:val="20"/>
          <w:szCs w:val="20"/>
          <w:color w:val="auto"/>
        </w:rPr>
      </w:pPr>
      <w:r>
        <w:rPr>
          <w:rFonts w:ascii="Arial" w:cs="Arial" w:eastAsia="Arial" w:hAnsi="Arial"/>
          <w:sz w:val="16"/>
          <w:szCs w:val="16"/>
          <w:color w:val="auto"/>
        </w:rPr>
        <w:t>As described above, for failed sale-leaseback transactions, the Company continues to reflect the real estate assets on the Consolidated Balance Sheets as if the Company were the legal owner, and the Company continues to recognize depreciation expense over the estimated useful lives. We do not recognize rent expense related to these leased assets, rather we have recorded a liability for the failed sale-leaseback obligation and the minimum lease payments are recognized as interest expense. In the initial periods, cash payments are less than the interest expense recognized in the Consolidated Statements of Income, which causes the failed sale-leaseback obligation to increase during the initial years of the lease term (see Note 10).</w:t>
      </w:r>
    </w:p>
    <w:p>
      <w:pPr>
        <w:spacing w:after="0" w:line="158" w:lineRule="exact"/>
        <w:rPr>
          <w:sz w:val="20"/>
          <w:szCs w:val="20"/>
          <w:color w:val="auto"/>
        </w:rPr>
      </w:pPr>
    </w:p>
    <w:p>
      <w:pPr>
        <w:ind w:right="60" w:firstLine="555"/>
        <w:spacing w:after="0" w:line="218" w:lineRule="exact"/>
        <w:rPr>
          <w:sz w:val="20"/>
          <w:szCs w:val="20"/>
          <w:color w:val="auto"/>
        </w:rPr>
      </w:pPr>
      <w:r>
        <w:rPr>
          <w:rFonts w:ascii="Arial" w:cs="Arial" w:eastAsia="Arial" w:hAnsi="Arial"/>
          <w:sz w:val="16"/>
          <w:szCs w:val="16"/>
          <w:b w:val="1"/>
          <w:bCs w:val="1"/>
          <w:i w:val="1"/>
          <w:iCs w:val="1"/>
          <w:color w:val="auto"/>
        </w:rPr>
        <w:t>Self</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 xml:space="preserve">Insurance Reserves. </w:t>
      </w:r>
      <w:r>
        <w:rPr>
          <w:rFonts w:ascii="Arial" w:cs="Arial" w:eastAsia="Arial" w:hAnsi="Arial"/>
          <w:sz w:val="16"/>
          <w:szCs w:val="16"/>
          <w:color w:val="auto"/>
        </w:rPr>
        <w:t>The Company is self</w:t>
      </w:r>
      <w:r>
        <w:rPr>
          <w:rFonts w:ascii="MS PGothic" w:cs="MS PGothic" w:eastAsia="MS PGothic" w:hAnsi="MS PGothic"/>
          <w:sz w:val="16"/>
          <w:szCs w:val="16"/>
          <w:color w:val="auto"/>
        </w:rPr>
        <w:t>‑</w:t>
      </w:r>
      <w:r>
        <w:rPr>
          <w:rFonts w:ascii="Arial" w:cs="Arial" w:eastAsia="Arial" w:hAnsi="Arial"/>
          <w:sz w:val="16"/>
          <w:szCs w:val="16"/>
          <w:color w:val="auto"/>
        </w:rPr>
        <w:t>insured for various levels of general liability, employee medical insurance coverage and workers’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coverage. Insurance claims and reserves include accruals of estimated settlements for known claims, as well as accruals of estimates for claims incurred but not yet reported. We utilize independent consultants to assist management in its determination of estimated insurance liabilities. While the total cost of claims incurred depends on future developments, in managements’ opinion, recorded reserves are adequate to cover future claims payments. Self-insurance reserves for employee medical claims and workers’ compensations are included in accrued payroll and related on the Consolidated Balance Sheets. Self-insurance reserves for general liability claims are included in accrued other liabilities on the Consolidated Balance Sheets.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6" w:name="page87"/>
    <w:bookmarkEnd w:id="86"/>
    <w:p>
      <w:pPr>
        <w:ind w:firstLine="555"/>
        <w:spacing w:after="0" w:line="286" w:lineRule="auto"/>
        <w:rPr>
          <w:sz w:val="20"/>
          <w:szCs w:val="20"/>
          <w:color w:val="auto"/>
        </w:rPr>
      </w:pPr>
      <w:r>
        <w:rPr>
          <w:rFonts w:ascii="Arial" w:cs="Arial" w:eastAsia="Arial" w:hAnsi="Arial"/>
          <w:sz w:val="17"/>
          <w:szCs w:val="17"/>
          <w:b w:val="1"/>
          <w:bCs w:val="1"/>
          <w:i w:val="1"/>
          <w:iCs w:val="1"/>
          <w:color w:val="auto"/>
        </w:rPr>
        <w:t xml:space="preserve">Treasury Shares. </w:t>
      </w:r>
      <w:r>
        <w:rPr>
          <w:rFonts w:ascii="Arial" w:cs="Arial" w:eastAsia="Arial" w:hAnsi="Arial"/>
          <w:sz w:val="17"/>
          <w:szCs w:val="17"/>
          <w:color w:val="auto"/>
        </w:rPr>
        <w:t>We account for the repurchase of our shares at the amount of consideration paid. The repurchased shares are classified as treasury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and are presented as a deduction from equity. When treasury shares are sold or reissued subsequently, the amount received is recognized as an increase in equity and the resulting surplus or deficit on the transaction is presented within additional paid-in capital.</w:t>
      </w:r>
    </w:p>
    <w:p>
      <w:pPr>
        <w:spacing w:after="0" w:line="166" w:lineRule="exact"/>
        <w:rPr>
          <w:sz w:val="20"/>
          <w:szCs w:val="20"/>
          <w:color w:val="auto"/>
        </w:rPr>
      </w:pPr>
    </w:p>
    <w:p>
      <w:pPr>
        <w:ind w:right="200" w:firstLine="555"/>
        <w:spacing w:after="0" w:line="255" w:lineRule="auto"/>
        <w:rPr>
          <w:sz w:val="20"/>
          <w:szCs w:val="20"/>
          <w:color w:val="auto"/>
        </w:rPr>
      </w:pPr>
      <w:r>
        <w:rPr>
          <w:rFonts w:ascii="Arial" w:cs="Arial" w:eastAsia="Arial" w:hAnsi="Arial"/>
          <w:sz w:val="18"/>
          <w:szCs w:val="18"/>
          <w:b w:val="1"/>
          <w:bCs w:val="1"/>
          <w:i w:val="1"/>
          <w:iCs w:val="1"/>
          <w:color w:val="auto"/>
        </w:rPr>
        <w:t xml:space="preserve">Outstanding Chip Liability. </w:t>
      </w:r>
      <w:r>
        <w:rPr>
          <w:rFonts w:ascii="Arial" w:cs="Arial" w:eastAsia="Arial" w:hAnsi="Arial"/>
          <w:sz w:val="18"/>
          <w:szCs w:val="18"/>
          <w:color w:val="auto"/>
        </w:rPr>
        <w:t>The Company recognizes the impact on gaming revenues on an annual basis to reflect an estimate of the change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of outstanding chips that are not expected to be redeemed. This estimate is determined by measuring the difference between the total value of chips placed in service less the value of chips in the inventory of chips under our control. This measurement is performed on an annual basis utilizing a methodology in which a consistent formula is applied to estimate the percentage value of chips not in custody that are not expected to be redeemed. In addition to the formula, certain judgments are made with regard to various denominations and souvenir chips. The outstanding chip liability is included in accrued other liabilities on the Consolidated Balance Sheets.</w:t>
      </w:r>
    </w:p>
    <w:p>
      <w:pPr>
        <w:spacing w:after="0" w:line="193" w:lineRule="exact"/>
        <w:rPr>
          <w:sz w:val="20"/>
          <w:szCs w:val="20"/>
          <w:color w:val="auto"/>
        </w:rPr>
      </w:pPr>
    </w:p>
    <w:p>
      <w:pPr>
        <w:ind w:right="20" w:firstLine="555"/>
        <w:spacing w:after="0" w:line="293" w:lineRule="auto"/>
        <w:rPr>
          <w:sz w:val="20"/>
          <w:szCs w:val="20"/>
          <w:color w:val="auto"/>
        </w:rPr>
      </w:pPr>
      <w:r>
        <w:rPr>
          <w:rFonts w:ascii="Arial" w:cs="Arial" w:eastAsia="Arial" w:hAnsi="Arial"/>
          <w:sz w:val="16"/>
          <w:szCs w:val="16"/>
          <w:b w:val="1"/>
          <w:bCs w:val="1"/>
          <w:i w:val="1"/>
          <w:iCs w:val="1"/>
          <w:color w:val="auto"/>
        </w:rPr>
        <w:t xml:space="preserve">Player Loyalty Program. </w:t>
      </w:r>
      <w:r>
        <w:rPr>
          <w:rFonts w:ascii="Arial" w:cs="Arial" w:eastAsia="Arial" w:hAnsi="Arial"/>
          <w:sz w:val="16"/>
          <w:szCs w:val="16"/>
          <w:color w:val="auto"/>
        </w:rPr>
        <w:t>The Company offers programs at its properties whereby participating customers can accumulate points for wagering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 be redeemed for credits for free play on slot machines, lodging, food and beverage, merchandise and, in limited situations, cash. The incentives earned by customers under these programs are based on previous revenue transactions and represent separate performance obligations. Points earned, less estimated breakage, are recorded as a reduction of casino revenues at the standalone selling price of the points when earned based upon the retail value of the benefits, historical redemption rates and estimated breakage and recognized as departmental revenue based on where such points are redeemed upon fulfillment of the performance obligation. The loyalty program liability represents a deferral of revenue until redemption occurs, which is typically less than one year.</w:t>
      </w:r>
    </w:p>
    <w:p>
      <w:pPr>
        <w:spacing w:after="0" w:line="165" w:lineRule="exact"/>
        <w:rPr>
          <w:sz w:val="20"/>
          <w:szCs w:val="20"/>
          <w:color w:val="auto"/>
        </w:rPr>
      </w:pPr>
    </w:p>
    <w:p>
      <w:pPr>
        <w:ind w:right="180" w:firstLine="555"/>
        <w:spacing w:after="0" w:line="259" w:lineRule="auto"/>
        <w:rPr>
          <w:sz w:val="20"/>
          <w:szCs w:val="20"/>
          <w:color w:val="auto"/>
        </w:rPr>
      </w:pPr>
      <w:r>
        <w:rPr>
          <w:rFonts w:ascii="Arial" w:cs="Arial" w:eastAsia="Arial" w:hAnsi="Arial"/>
          <w:sz w:val="18"/>
          <w:szCs w:val="18"/>
          <w:b w:val="1"/>
          <w:bCs w:val="1"/>
          <w:i w:val="1"/>
          <w:iCs w:val="1"/>
          <w:color w:val="auto"/>
        </w:rPr>
        <w:t xml:space="preserve">Complimentaries. </w:t>
      </w:r>
      <w:r>
        <w:rPr>
          <w:rFonts w:ascii="Arial" w:cs="Arial" w:eastAsia="Arial" w:hAnsi="Arial"/>
          <w:sz w:val="18"/>
          <w:szCs w:val="18"/>
          <w:color w:val="auto"/>
        </w:rPr>
        <w:t>The Company offers discretionary coupons and other discretionary complimentaries to customers outside of the loyalty program.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retail value of complimentary food, beverage, hotel rooms and other services provided to customers is recognized as a reduction to the revenues for the department which issued the complimentary and a credit to the revenue for the department redeemed. Complimentaries provided by third parties at the discretion and under the control of the Company is recorded as an expense when incurred.</w:t>
      </w:r>
    </w:p>
    <w:p>
      <w:pPr>
        <w:spacing w:after="0" w:line="187" w:lineRule="exact"/>
        <w:rPr>
          <w:sz w:val="20"/>
          <w:szCs w:val="20"/>
          <w:color w:val="auto"/>
        </w:rPr>
      </w:pPr>
    </w:p>
    <w:p>
      <w:pPr>
        <w:ind w:right="120" w:firstLine="555"/>
        <w:spacing w:after="0" w:line="277" w:lineRule="auto"/>
        <w:rPr>
          <w:sz w:val="20"/>
          <w:szCs w:val="20"/>
          <w:color w:val="auto"/>
        </w:rPr>
      </w:pPr>
      <w:r>
        <w:rPr>
          <w:rFonts w:ascii="Arial" w:cs="Arial" w:eastAsia="Arial" w:hAnsi="Arial"/>
          <w:sz w:val="18"/>
          <w:szCs w:val="18"/>
          <w:color w:val="auto"/>
        </w:rPr>
        <w:t>The Company’s revenues included complimentaries and loyalty point redemptions totaling $210.8 million, $172.4 million and $112.8 million for the years ended December 31, 2018, 2017 and 2016, respectively.</w:t>
      </w:r>
    </w:p>
    <w:p>
      <w:pPr>
        <w:spacing w:after="0" w:line="170" w:lineRule="exact"/>
        <w:rPr>
          <w:sz w:val="20"/>
          <w:szCs w:val="20"/>
          <w:color w:val="auto"/>
        </w:rPr>
      </w:pPr>
    </w:p>
    <w:p>
      <w:pPr>
        <w:ind w:right="80" w:firstLine="555"/>
        <w:spacing w:after="0" w:line="290" w:lineRule="auto"/>
        <w:rPr>
          <w:sz w:val="20"/>
          <w:szCs w:val="20"/>
          <w:color w:val="auto"/>
        </w:rPr>
      </w:pPr>
      <w:r>
        <w:rPr>
          <w:rFonts w:ascii="Arial" w:cs="Arial" w:eastAsia="Arial" w:hAnsi="Arial"/>
          <w:sz w:val="16"/>
          <w:szCs w:val="16"/>
          <w:b w:val="1"/>
          <w:bCs w:val="1"/>
          <w:i w:val="1"/>
          <w:iCs w:val="1"/>
          <w:color w:val="auto"/>
        </w:rPr>
        <w:t xml:space="preserve">Casino Revenue and Pari-mutuel Commissions. </w:t>
      </w:r>
      <w:r>
        <w:rPr>
          <w:rFonts w:ascii="Arial" w:cs="Arial" w:eastAsia="Arial" w:hAnsi="Arial"/>
          <w:sz w:val="16"/>
          <w:szCs w:val="16"/>
          <w:color w:val="auto"/>
        </w:rPr>
        <w:t>The Company recognizes as casino revenue the net win from gaming activities, which is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difference between gaming wins and losses, not the total amount wagered. Progressive jackpots are accrued and charged to revenue at the time the obligation to pay the jackpot is established. Gaming revenues are recognized net of certain cash and free play incentives. Pari-mutuel commissions consist of commissions earned from thoroughbred and harness racing and importing of simulcast signals from other race tracks and are recognized at the time wagers are made. Such commissions are a designated portion of the wagering handle as determined by state racing commissions and are shown net of the taxes assessed by state and local agencies, as well as purses and other contractual amounts paid to horsemen associations. The Company recognizes revenues from fees earned through the exporting of simulcast signals to other race tracks at the time wagers are made and recorded on a gross basis. Such fees are based upon a predetermined percentage of handle as contracted with the other race tracks.</w:t>
      </w:r>
    </w:p>
    <w:p>
      <w:pPr>
        <w:spacing w:after="0" w:line="193" w:lineRule="exact"/>
        <w:rPr>
          <w:sz w:val="20"/>
          <w:szCs w:val="20"/>
          <w:color w:val="auto"/>
        </w:rPr>
      </w:pPr>
    </w:p>
    <w:p>
      <w:pPr>
        <w:ind w:right="100" w:firstLine="555"/>
        <w:spacing w:after="0" w:line="293" w:lineRule="auto"/>
        <w:rPr>
          <w:sz w:val="20"/>
          <w:szCs w:val="20"/>
          <w:color w:val="auto"/>
        </w:rPr>
      </w:pPr>
      <w:r>
        <w:rPr>
          <w:rFonts w:ascii="Arial" w:cs="Arial" w:eastAsia="Arial" w:hAnsi="Arial"/>
          <w:sz w:val="16"/>
          <w:szCs w:val="16"/>
          <w:b w:val="1"/>
          <w:bCs w:val="1"/>
          <w:i w:val="1"/>
          <w:iCs w:val="1"/>
          <w:color w:val="auto"/>
        </w:rPr>
        <w:t xml:space="preserve">Non-gaming Revenue. </w:t>
      </w:r>
      <w:r>
        <w:rPr>
          <w:rFonts w:ascii="Arial" w:cs="Arial" w:eastAsia="Arial" w:hAnsi="Arial"/>
          <w:sz w:val="16"/>
          <w:szCs w:val="16"/>
          <w:color w:val="auto"/>
        </w:rPr>
        <w:t>Hotel, food and beverage, and other operating revenues are recognized as services are performed and is the net amount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collected from the customer for such goods and services. Hotel, food and beverage services have been determined to be separate, stand-alone performance obligations and is recorded as revenue as the good or service is transferred to the customer over the customer’s stay at the hotel or when the delivery is made for the food and beverage. Advance deposits for future hotel occupancy, convention space or food and beverage services contracts are recorded as deferred income until the revenue recognition criteria has been met. The Company also provides goods and services that may include multiple performance obligations, such as for packages, for which revenues are allocated on a pro rata basis based on each service's stand-alone selling price.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7" w:name="page88"/>
    <w:bookmarkEnd w:id="87"/>
    <w:p>
      <w:pPr>
        <w:ind w:right="260" w:firstLine="555"/>
        <w:spacing w:after="0" w:line="264" w:lineRule="auto"/>
        <w:rPr>
          <w:sz w:val="20"/>
          <w:szCs w:val="20"/>
          <w:color w:val="auto"/>
        </w:rPr>
      </w:pPr>
      <w:r>
        <w:rPr>
          <w:rFonts w:ascii="Arial" w:cs="Arial" w:eastAsia="Arial" w:hAnsi="Arial"/>
          <w:sz w:val="18"/>
          <w:szCs w:val="18"/>
          <w:color w:val="auto"/>
        </w:rPr>
        <w:t>The Company’s Consolidated Statements of Income presents net revenue disaggregated by type or nature of the good or service. A summary of net revenues disaggregated by type of revenue and reportable segment is presented below (amounts in thousands). Refer to Note 19 for a discussion of the Company’s reportable segments.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7"/>
          </w:tcPr>
          <w:p>
            <w:pPr>
              <w:jc w:val="right"/>
              <w:ind w:right="353"/>
              <w:spacing w:after="0"/>
              <w:rPr>
                <w:sz w:val="20"/>
                <w:szCs w:val="20"/>
                <w:color w:val="auto"/>
              </w:rPr>
            </w:pPr>
            <w:r>
              <w:rPr>
                <w:rFonts w:ascii="Arial" w:cs="Arial" w:eastAsia="Arial" w:hAnsi="Arial"/>
                <w:sz w:val="14"/>
                <w:szCs w:val="14"/>
                <w:b w:val="1"/>
                <w:bCs w:val="1"/>
                <w:color w:val="auto"/>
              </w:rPr>
              <w:t>Year Ended December 31, 2018</w:t>
            </w: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West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Midwest</w:t>
            </w:r>
          </w:p>
        </w:tc>
        <w:tc>
          <w:tcPr>
            <w:tcW w:w="160" w:type="dxa"/>
            <w:vAlign w:val="bottom"/>
          </w:tcPr>
          <w:p>
            <w:pPr>
              <w:spacing w:after="0"/>
              <w:rPr>
                <w:sz w:val="11"/>
                <w:szCs w:val="11"/>
                <w:color w:val="auto"/>
              </w:rPr>
            </w:pPr>
          </w:p>
        </w:tc>
        <w:tc>
          <w:tcPr>
            <w:tcW w:w="6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South</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East</w:t>
            </w:r>
          </w:p>
        </w:tc>
        <w:tc>
          <w:tcPr>
            <w:tcW w:w="140" w:type="dxa"/>
            <w:vAlign w:val="bottom"/>
          </w:tcPr>
          <w:p>
            <w:pPr>
              <w:spacing w:after="0"/>
              <w:rPr>
                <w:sz w:val="11"/>
                <w:szCs w:val="11"/>
                <w:color w:val="auto"/>
              </w:rPr>
            </w:pPr>
          </w:p>
        </w:tc>
        <w:tc>
          <w:tcPr>
            <w:tcW w:w="6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9"/>
              </w:rPr>
              <w:t>Central</w:t>
            </w:r>
          </w:p>
        </w:tc>
        <w:tc>
          <w:tcPr>
            <w:tcW w:w="220" w:type="dxa"/>
            <w:vAlign w:val="bottom"/>
          </w:tcPr>
          <w:p>
            <w:pPr>
              <w:spacing w:after="0"/>
              <w:rPr>
                <w:sz w:val="11"/>
                <w:szCs w:val="11"/>
                <w:color w:val="auto"/>
              </w:rPr>
            </w:pPr>
          </w:p>
        </w:tc>
        <w:tc>
          <w:tcPr>
            <w:tcW w:w="1020" w:type="dxa"/>
            <w:vAlign w:val="bottom"/>
            <w:gridSpan w:val="3"/>
          </w:tcPr>
          <w:p>
            <w:pPr>
              <w:ind w:left="80"/>
              <w:spacing w:after="0" w:line="133" w:lineRule="exact"/>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1"/>
                <w:szCs w:val="11"/>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Casino</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230,571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345,499</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365,365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476,993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116,526</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1,534,954</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Pari-mutuel commissions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10,383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8,054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Food and beverage</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109,038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27,364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52,924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43,167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14,839</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247,332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Hotel</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108,327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16,365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24,792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26,694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7,620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183,798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35,596</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7,780</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7,717</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16,364</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71,486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Pr>
          <w:p>
            <w:pPr>
              <w:ind w:left="26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483,532</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397,008</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461,181</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571,272</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142,485</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2,056,007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right"/>
              <w:ind w:right="353"/>
              <w:spacing w:after="0"/>
              <w:rPr>
                <w:sz w:val="20"/>
                <w:szCs w:val="20"/>
                <w:color w:val="auto"/>
              </w:rPr>
            </w:pPr>
            <w:r>
              <w:rPr>
                <w:rFonts w:ascii="Arial" w:cs="Arial" w:eastAsia="Arial" w:hAnsi="Arial"/>
                <w:sz w:val="14"/>
                <w:szCs w:val="14"/>
                <w:b w:val="1"/>
                <w:bCs w:val="1"/>
                <w:color w:val="auto"/>
              </w:rPr>
              <w:t>Year Ended December 31, 2017</w:t>
            </w: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West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Midwest</w:t>
            </w:r>
          </w:p>
        </w:tc>
        <w:tc>
          <w:tcPr>
            <w:tcW w:w="160" w:type="dxa"/>
            <w:vAlign w:val="bottom"/>
          </w:tcPr>
          <w:p>
            <w:pPr>
              <w:spacing w:after="0"/>
              <w:rPr>
                <w:sz w:val="11"/>
                <w:szCs w:val="11"/>
                <w:color w:val="auto"/>
              </w:rPr>
            </w:pPr>
          </w:p>
        </w:tc>
        <w:tc>
          <w:tcPr>
            <w:tcW w:w="6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South</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East</w:t>
            </w:r>
          </w:p>
        </w:tc>
        <w:tc>
          <w:tcPr>
            <w:tcW w:w="140" w:type="dxa"/>
            <w:vAlign w:val="bottom"/>
          </w:tcPr>
          <w:p>
            <w:pPr>
              <w:spacing w:after="0"/>
              <w:rPr>
                <w:sz w:val="11"/>
                <w:szCs w:val="11"/>
                <w:color w:val="auto"/>
              </w:rPr>
            </w:pPr>
          </w:p>
        </w:tc>
        <w:tc>
          <w:tcPr>
            <w:tcW w:w="6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9"/>
              </w:rPr>
              <w:t>Central</w:t>
            </w:r>
          </w:p>
        </w:tc>
        <w:tc>
          <w:tcPr>
            <w:tcW w:w="220" w:type="dxa"/>
            <w:vAlign w:val="bottom"/>
          </w:tcPr>
          <w:p>
            <w:pPr>
              <w:spacing w:after="0"/>
              <w:rPr>
                <w:sz w:val="11"/>
                <w:szCs w:val="11"/>
                <w:color w:val="auto"/>
              </w:rPr>
            </w:pPr>
          </w:p>
        </w:tc>
        <w:tc>
          <w:tcPr>
            <w:tcW w:w="1020" w:type="dxa"/>
            <w:vAlign w:val="bottom"/>
            <w:gridSpan w:val="3"/>
          </w:tcPr>
          <w:p>
            <w:pPr>
              <w:ind w:left="80"/>
              <w:spacing w:after="0" w:line="133" w:lineRule="exact"/>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1"/>
                <w:szCs w:val="11"/>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Casino</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186,779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231,366</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262,937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403,932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1,085,014</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Pari-mutuel commissions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5,743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8,270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Food and beverage</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102,244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20,452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42,114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33,436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198,246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Hotel</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91,811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12,177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21,459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7,891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133,338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29,485</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4,884</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6,006</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9,306</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50,187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Pr>
          <w:p>
            <w:pPr>
              <w:ind w:left="26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410,319</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268,879</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338,259</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462,835</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1,480,798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right"/>
              <w:ind w:right="353"/>
              <w:spacing w:after="0"/>
              <w:rPr>
                <w:sz w:val="20"/>
                <w:szCs w:val="20"/>
                <w:color w:val="auto"/>
              </w:rPr>
            </w:pPr>
            <w:r>
              <w:rPr>
                <w:rFonts w:ascii="Arial" w:cs="Arial" w:eastAsia="Arial" w:hAnsi="Arial"/>
                <w:sz w:val="14"/>
                <w:szCs w:val="14"/>
                <w:b w:val="1"/>
                <w:bCs w:val="1"/>
                <w:color w:val="auto"/>
              </w:rPr>
              <w:t>Year Ended December 31, 2016</w:t>
            </w: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West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Midwest</w:t>
            </w:r>
          </w:p>
        </w:tc>
        <w:tc>
          <w:tcPr>
            <w:tcW w:w="160" w:type="dxa"/>
            <w:vAlign w:val="bottom"/>
          </w:tcPr>
          <w:p>
            <w:pPr>
              <w:spacing w:after="0"/>
              <w:rPr>
                <w:sz w:val="11"/>
                <w:szCs w:val="11"/>
                <w:color w:val="auto"/>
              </w:rPr>
            </w:pPr>
          </w:p>
        </w:tc>
        <w:tc>
          <w:tcPr>
            <w:tcW w:w="6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South</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East</w:t>
            </w:r>
          </w:p>
        </w:tc>
        <w:tc>
          <w:tcPr>
            <w:tcW w:w="140" w:type="dxa"/>
            <w:vAlign w:val="bottom"/>
          </w:tcPr>
          <w:p>
            <w:pPr>
              <w:spacing w:after="0"/>
              <w:rPr>
                <w:sz w:val="11"/>
                <w:szCs w:val="11"/>
                <w:color w:val="auto"/>
              </w:rPr>
            </w:pPr>
          </w:p>
        </w:tc>
        <w:tc>
          <w:tcPr>
            <w:tcW w:w="6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9"/>
              </w:rPr>
              <w:t>Central</w:t>
            </w:r>
          </w:p>
        </w:tc>
        <w:tc>
          <w:tcPr>
            <w:tcW w:w="220" w:type="dxa"/>
            <w:vAlign w:val="bottom"/>
          </w:tcPr>
          <w:p>
            <w:pPr>
              <w:spacing w:after="0"/>
              <w:rPr>
                <w:sz w:val="11"/>
                <w:szCs w:val="11"/>
                <w:color w:val="auto"/>
              </w:rPr>
            </w:pPr>
          </w:p>
        </w:tc>
        <w:tc>
          <w:tcPr>
            <w:tcW w:w="1020" w:type="dxa"/>
            <w:vAlign w:val="bottom"/>
            <w:gridSpan w:val="3"/>
          </w:tcPr>
          <w:p>
            <w:pPr>
              <w:ind w:left="80"/>
              <w:spacing w:after="0" w:line="133" w:lineRule="exact"/>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1"/>
                <w:szCs w:val="11"/>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Casino</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121,623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92,108</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377,740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591,471</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Pari-mutuel commissions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8,544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Food and beverage</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96,708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26,133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32,376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155,217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Hotel</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79,880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12,246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8,336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100,462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29,330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44,771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Pr>
          <w:p>
            <w:pPr>
              <w:ind w:left="26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327,541</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133,557</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439,367</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900,465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555"/>
        <w:spacing w:after="0" w:line="264" w:lineRule="auto"/>
        <w:rPr>
          <w:sz w:val="20"/>
          <w:szCs w:val="20"/>
          <w:color w:val="auto"/>
        </w:rPr>
      </w:pPr>
      <w:r>
        <w:rPr>
          <w:rFonts w:ascii="Arial" w:cs="Arial" w:eastAsia="Arial" w:hAnsi="Arial"/>
          <w:sz w:val="18"/>
          <w:szCs w:val="18"/>
          <w:b w:val="1"/>
          <w:bCs w:val="1"/>
          <w:i w:val="1"/>
          <w:iCs w:val="1"/>
          <w:color w:val="auto"/>
        </w:rPr>
        <w:t xml:space="preserve">Advertising. </w:t>
      </w:r>
      <w:r>
        <w:rPr>
          <w:rFonts w:ascii="Arial" w:cs="Arial" w:eastAsia="Arial" w:hAnsi="Arial"/>
          <w:sz w:val="18"/>
          <w:szCs w:val="18"/>
          <w:color w:val="auto"/>
        </w:rPr>
        <w:t>Advertising costs are expensed in the period the advertising initially takes place and are included in marketing and promotions expenses.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Advertising costs included in marketing and promotion expenses were $33.9 million, $33.0 million and $15.5 million for the years ended December 31, 2018, 2017 and 2016, respectively.</w:t>
      </w:r>
    </w:p>
    <w:p>
      <w:pPr>
        <w:spacing w:after="0" w:line="181" w:lineRule="exact"/>
        <w:rPr>
          <w:sz w:val="20"/>
          <w:szCs w:val="20"/>
          <w:color w:val="auto"/>
        </w:rPr>
      </w:pPr>
    </w:p>
    <w:p>
      <w:pPr>
        <w:ind w:right="200" w:firstLine="555"/>
        <w:spacing w:after="0" w:line="257"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account for income taxes in accordance with ASC Topic 740, Income Taxes (“ASC 740”). ASC 740 requires the recognition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deferred income tax liabilities and deferred income tax assets for the difference between the book basis and tax basis of assets and liabilities. We have recorded valuation allowances related to certain state-specific net operating loss carry forwards and temporary differences. Recognizable future tax benefits are subject to a valuation allowance, unless such tax benefits are determined to be more-likely-than-not realizable. We recognize accrued interest and penalties related to unrecognized tax benefits in income tax expense.</w:t>
      </w:r>
    </w:p>
    <w:p>
      <w:pPr>
        <w:spacing w:after="0" w:line="188" w:lineRule="exact"/>
        <w:rPr>
          <w:sz w:val="20"/>
          <w:szCs w:val="20"/>
          <w:color w:val="auto"/>
        </w:rPr>
      </w:pPr>
    </w:p>
    <w:p>
      <w:pPr>
        <w:ind w:right="320" w:firstLine="555"/>
        <w:spacing w:after="0" w:line="220" w:lineRule="exact"/>
        <w:rPr>
          <w:sz w:val="20"/>
          <w:szCs w:val="20"/>
          <w:color w:val="auto"/>
        </w:rPr>
      </w:pPr>
      <w:r>
        <w:rPr>
          <w:rFonts w:ascii="Arial" w:cs="Arial" w:eastAsia="Arial" w:hAnsi="Arial"/>
          <w:sz w:val="16"/>
          <w:szCs w:val="16"/>
          <w:b w:val="1"/>
          <w:bCs w:val="1"/>
          <w:i w:val="1"/>
          <w:iCs w:val="1"/>
          <w:color w:val="auto"/>
        </w:rPr>
        <w:t>Stock</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 xml:space="preserve">Based Compensation. </w:t>
      </w:r>
      <w:r>
        <w:rPr>
          <w:rFonts w:ascii="Arial" w:cs="Arial" w:eastAsia="Arial" w:hAnsi="Arial"/>
          <w:sz w:val="16"/>
          <w:szCs w:val="16"/>
          <w:color w:val="auto"/>
        </w:rPr>
        <w:t>We account for stock</w:t>
      </w:r>
      <w:r>
        <w:rPr>
          <w:rFonts w:ascii="MS PGothic" w:cs="MS PGothic" w:eastAsia="MS PGothic" w:hAnsi="MS PGothic"/>
          <w:sz w:val="16"/>
          <w:szCs w:val="16"/>
          <w:color w:val="auto"/>
        </w:rPr>
        <w:t>‑</w:t>
      </w:r>
      <w:r>
        <w:rPr>
          <w:rFonts w:ascii="Arial" w:cs="Arial" w:eastAsia="Arial" w:hAnsi="Arial"/>
          <w:sz w:val="16"/>
          <w:szCs w:val="16"/>
          <w:color w:val="auto"/>
        </w:rPr>
        <w:t>based compensation in accordance with ASC Topic 718, Compensation—Stock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(“ASC 718”). ASC 718 requires all share</w:t>
      </w:r>
      <w:r>
        <w:rPr>
          <w:rFonts w:ascii="MS PGothic" w:cs="MS PGothic" w:eastAsia="MS PGothic" w:hAnsi="MS PGothic"/>
          <w:sz w:val="16"/>
          <w:szCs w:val="16"/>
          <w:color w:val="auto"/>
        </w:rPr>
        <w:t>‑</w:t>
      </w:r>
      <w:r>
        <w:rPr>
          <w:rFonts w:ascii="Arial" w:cs="Arial" w:eastAsia="Arial" w:hAnsi="Arial"/>
          <w:sz w:val="16"/>
          <w:szCs w:val="16"/>
          <w:color w:val="auto"/>
        </w:rPr>
        <w:t>based payments to employees and non</w:t>
      </w:r>
      <w:r>
        <w:rPr>
          <w:rFonts w:ascii="MS PGothic" w:cs="MS PGothic" w:eastAsia="MS PGothic" w:hAnsi="MS PGothic"/>
          <w:sz w:val="16"/>
          <w:szCs w:val="16"/>
          <w:color w:val="auto"/>
        </w:rPr>
        <w:t>‑</w:t>
      </w:r>
      <w:r>
        <w:rPr>
          <w:rFonts w:ascii="Arial" w:cs="Arial" w:eastAsia="Arial" w:hAnsi="Arial"/>
          <w:sz w:val="16"/>
          <w:szCs w:val="16"/>
          <w:color w:val="auto"/>
        </w:rPr>
        <w:t>employee members of the Board of Directors, including grants of stock options and restricted stock units (“RSUs”), to be recognized in the Consolidated Statements of Income based on their fair values and that compensation expense be recognized for awards over the requisite service period of the award or until an employee’s eligible retirement date, if earlier.</w:t>
      </w:r>
    </w:p>
    <w:p>
      <w:pPr>
        <w:spacing w:after="0" w:line="203" w:lineRule="exact"/>
        <w:rPr>
          <w:sz w:val="20"/>
          <w:szCs w:val="20"/>
          <w:color w:val="auto"/>
        </w:rPr>
      </w:pPr>
    </w:p>
    <w:p>
      <w:pPr>
        <w:ind w:right="80" w:firstLine="555"/>
        <w:spacing w:after="0" w:line="297" w:lineRule="auto"/>
        <w:rPr>
          <w:sz w:val="20"/>
          <w:szCs w:val="20"/>
          <w:color w:val="auto"/>
        </w:rPr>
      </w:pPr>
      <w:r>
        <w:rPr>
          <w:rFonts w:ascii="Arial" w:cs="Arial" w:eastAsia="Arial" w:hAnsi="Arial"/>
          <w:sz w:val="16"/>
          <w:szCs w:val="16"/>
          <w:b w:val="1"/>
          <w:bCs w:val="1"/>
          <w:i w:val="1"/>
          <w:iCs w:val="1"/>
          <w:color w:val="auto"/>
        </w:rPr>
        <w:t xml:space="preserve">Earnings per Share. </w:t>
      </w:r>
      <w:r>
        <w:rPr>
          <w:rFonts w:ascii="Arial" w:cs="Arial" w:eastAsia="Arial" w:hAnsi="Arial"/>
          <w:sz w:val="16"/>
          <w:szCs w:val="16"/>
          <w:color w:val="auto"/>
        </w:rPr>
        <w:t>Basic earnings per share is computed by dividing net income (loss) by the weighted average shares outstanding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reporting period. Diluted earnings per share is computed similarly to basic earnings per share except that the weighted average shares outstanding are increased to include additional shares from the assumed exercise of stock options and the assumed vesting of restricted share units, if dilutive. The number of additional shares is calculated by assuming that outstanding stock options were exercised, that outstanding restricted share units were released and that the proceeds from such activities were used to acquire shares of common stock at the average market price during the reporting period.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Certain reclassifications of prior period presentations have been made to conform to the current period presentation.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Pronouncements Implemented in 2018</w:t>
      </w:r>
    </w:p>
    <w:p>
      <w:pPr>
        <w:spacing w:after="0" w:line="117" w:lineRule="exact"/>
        <w:rPr>
          <w:sz w:val="20"/>
          <w:szCs w:val="20"/>
          <w:color w:val="auto"/>
        </w:rPr>
      </w:pPr>
    </w:p>
    <w:p>
      <w:pPr>
        <w:ind w:right="100" w:firstLine="555"/>
        <w:spacing w:after="0" w:line="276" w:lineRule="auto"/>
        <w:rPr>
          <w:sz w:val="20"/>
          <w:szCs w:val="20"/>
          <w:color w:val="auto"/>
        </w:rPr>
      </w:pPr>
      <w:r>
        <w:rPr>
          <w:rFonts w:ascii="Arial" w:cs="Arial" w:eastAsia="Arial" w:hAnsi="Arial"/>
          <w:sz w:val="17"/>
          <w:szCs w:val="17"/>
          <w:color w:val="auto"/>
        </w:rPr>
        <w:t>In May 2014 (amended January 2017), the Financial Accounting Standards Board (“FASB”) issued Accounting Standard Update (“ASU”) No. 2014-09, Revenue from Contracts with Customers (ASC 606) which provides a single comprehensive model for entities to use in accounting for revenue arising from contracts with customers and eliminates existing industry guidance, including revenue recognition guidance specific to the gaming industry. The core principle of the revenue model indicates that an entity should recognize revenue to depict the transfer of promised goods or services to customers in an amount that reflects the consideration to which the entity expects to be entitled in exchange for those goods or services.</w:t>
      </w:r>
    </w:p>
    <w:p>
      <w:pPr>
        <w:spacing w:after="0" w:line="173" w:lineRule="exact"/>
        <w:rPr>
          <w:sz w:val="20"/>
          <w:szCs w:val="20"/>
          <w:color w:val="auto"/>
        </w:rPr>
      </w:pPr>
    </w:p>
    <w:p>
      <w:pPr>
        <w:ind w:right="20" w:firstLine="555"/>
        <w:spacing w:after="0" w:line="253" w:lineRule="auto"/>
        <w:rPr>
          <w:sz w:val="20"/>
          <w:szCs w:val="20"/>
          <w:color w:val="auto"/>
        </w:rPr>
      </w:pPr>
      <w:r>
        <w:rPr>
          <w:rFonts w:ascii="Arial" w:cs="Arial" w:eastAsia="Arial" w:hAnsi="Arial"/>
          <w:sz w:val="18"/>
          <w:szCs w:val="18"/>
          <w:color w:val="auto"/>
        </w:rPr>
        <w:t>The Company adopted this standard effective January 1, 2018 and elected to apply the full retrospective adoption method. The adoption of ASC 606 on January 1, 2018 principally affected the presentation of promotional allowances and how the Company measured the liability associated with our customer loyalty programs. The presentation of gross revenues for complimentary goods and services provided to guests with a corresponding offsetting amount included in promotional allowances was eliminated. This adjustment in presentation of promotional allowances did not have an impact on the Company’s historically reported net revenues. The majority of such amounts previously included in promotional allowances now offset casino revenues based on an allocation of revenues using stand-alone selling price. Food, beverage, hotel and other services furnished to our guests on a complimentary basis are measured at the respective estimated standalone selling prices and included as revenues within food and beverage, hotel, and other, which generally resulted in a corresponding decrease in gaming revenues. The costs of providing such complimentary goods and services are included as expenses within food and beverage, hotel, and other.</w:t>
      </w:r>
    </w:p>
    <w:p>
      <w:pPr>
        <w:spacing w:after="0" w:line="197" w:lineRule="exact"/>
        <w:rPr>
          <w:sz w:val="20"/>
          <w:szCs w:val="20"/>
          <w:color w:val="auto"/>
        </w:rPr>
      </w:pPr>
    </w:p>
    <w:p>
      <w:pPr>
        <w:jc w:val="both"/>
        <w:ind w:right="140" w:firstLine="555"/>
        <w:spacing w:after="0" w:line="264" w:lineRule="auto"/>
        <w:rPr>
          <w:sz w:val="20"/>
          <w:szCs w:val="20"/>
          <w:color w:val="auto"/>
        </w:rPr>
      </w:pPr>
      <w:r>
        <w:rPr>
          <w:rFonts w:ascii="Arial" w:cs="Arial" w:eastAsia="Arial" w:hAnsi="Arial"/>
          <w:sz w:val="18"/>
          <w:szCs w:val="18"/>
          <w:color w:val="auto"/>
        </w:rPr>
        <w:t>Additionally, as a result of the adoption of the new standard, certain adjustments and other reclassifications to and between revenue categories and to and between expense categories were required; however, the amounts associated with such adjustments did not have a significant impact on the Company’s previously reported operating income or net income.</w:t>
      </w:r>
    </w:p>
    <w:p>
      <w:pPr>
        <w:spacing w:after="0" w:line="181" w:lineRule="exact"/>
        <w:rPr>
          <w:sz w:val="20"/>
          <w:szCs w:val="20"/>
          <w:color w:val="auto"/>
        </w:rPr>
      </w:pPr>
    </w:p>
    <w:p>
      <w:pPr>
        <w:ind w:right="80" w:firstLine="555"/>
        <w:spacing w:after="0" w:line="257" w:lineRule="auto"/>
        <w:rPr>
          <w:sz w:val="20"/>
          <w:szCs w:val="20"/>
          <w:color w:val="auto"/>
        </w:rPr>
      </w:pPr>
      <w:r>
        <w:rPr>
          <w:rFonts w:ascii="Arial" w:cs="Arial" w:eastAsia="Arial" w:hAnsi="Arial"/>
          <w:sz w:val="18"/>
          <w:szCs w:val="18"/>
          <w:color w:val="auto"/>
        </w:rPr>
        <w:t>Liabilities associated with our player loyalty programs are no longer valued at cost; rather a deferred revenue model is used to account for the classification and timing of revenue to be recognized related to the redemption of player loyalty program liabilities by our customers. Points earned under the Company’s player loyalty programs are deemed to be separate performance obligations and recorded as a reduction of casino revenues when earned at the retail value of such benefits owed to the customer and recognized as departmental revenue based on where such points are redeemed, upon fulfillment of the performance obligation.</w:t>
      </w:r>
    </w:p>
    <w:p>
      <w:pPr>
        <w:spacing w:after="0" w:line="188"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The Company elected to adopt the full retrospective method to apply the new guidance to each prior reporting period presented as if it had been in effect since January 1, 2015, with a pre-tax cumulative effect adjustment to our retained earnings upon adoption totaling $4.7 million. Net of tax, the cumulative effect adjustment to our retained earnings upon adoption was $3.5 million. This was primarily related to our player loyalty program point liability, which increased from an estimated incremental cost model to a deferred revenue model at retail value.</w:t>
      </w:r>
    </w:p>
    <w:p>
      <w:pPr>
        <w:spacing w:after="0" w:line="187"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In January 2017, the FASB issued ASU No. 2017-01, Business Combinations – Clarifying the Definition of a Business</w:t>
      </w:r>
      <w:r>
        <w:rPr>
          <w:rFonts w:ascii="Arial" w:cs="Arial" w:eastAsia="Arial" w:hAnsi="Arial"/>
          <w:sz w:val="17"/>
          <w:szCs w:val="17"/>
          <w:i w:val="1"/>
          <w:iCs w:val="1"/>
          <w:color w:val="auto"/>
        </w:rPr>
        <w:t>.</w:t>
      </w:r>
      <w:r>
        <w:rPr>
          <w:rFonts w:ascii="Arial" w:cs="Arial" w:eastAsia="Arial" w:hAnsi="Arial"/>
          <w:sz w:val="17"/>
          <w:szCs w:val="17"/>
          <w:color w:val="auto"/>
        </w:rPr>
        <w:t xml:space="preserve"> This amendment was intended to clarify the definition of a business with the objective of adding guidance to assist entities with evaluating whether transactions should be accounted for as acquisition (or disposals) of assets or businesses. Amendments in this update provide a more robust framework to use in determining when a set of assets and activities is a business and to provide more consistency in applying the guidance, reduce the costs of application, and make the definition of a business more operable. The amendments were effective for interim and annual periods beginning after December 15, 2017. We adopted this accounting standard during the first quarter of 2018, and it had no impact on our Consolidated Financial Statements or disclosures.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9" w:name="page90"/>
    <w:bookmarkEnd w:id="89"/>
    <w:p>
      <w:pPr>
        <w:ind w:right="160" w:firstLine="555"/>
        <w:spacing w:after="0" w:line="290" w:lineRule="auto"/>
        <w:rPr>
          <w:sz w:val="20"/>
          <w:szCs w:val="20"/>
          <w:color w:val="auto"/>
        </w:rPr>
      </w:pPr>
      <w:r>
        <w:rPr>
          <w:rFonts w:ascii="Arial" w:cs="Arial" w:eastAsia="Arial" w:hAnsi="Arial"/>
          <w:sz w:val="16"/>
          <w:szCs w:val="16"/>
          <w:color w:val="auto"/>
        </w:rPr>
        <w:t>In November 2016, the FASB issued ASU No. 2016-18, Statement of Cashflows (Topic 230): Restricted Cash related to the inclusion of restricted cash in the statement of cash flows. This new guidance required that a statement of cash flows present the change during the period in the total of cash, cash equivalents and amounts generally described as restricted cash or restricted cash equivalent. This update was effective in fiscal years, including interim periods, beginning after December 15, 2017. The Company adopted this standard effective January 1, 2018 and elected to apply the full retrospective adoption method. Upon adoption, the Company included a reconciliation of cash, cash equivalents and restricted cash reported within the Consolidated Balance Sheets to the total shown in the Consolidated Statements of Cash Flows. Adoptions of this guidance had no other impact on the Consolidated Financial Statements or disclosures. Certain amounts have been retrospectively reclassified for the years ended December 31, 2017 and 2016 to reflect the change in the Company’s Consolidated Statements of Cash Flows required with the adoption of ASU No. 2016-18.</w:t>
      </w:r>
    </w:p>
    <w:p>
      <w:pPr>
        <w:spacing w:after="0" w:line="166"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In August 2016, the FASB issued ASU No. 2016-15, Classification of Certain Cash Receipts and Cash Payments. This new guidance was intended to reduce diversity in practice in how certain cash receipts and payments are classified in the Statement of Cash Flows, including debt prepayment or extinguishment costs, the settlement of contingent liabilities arising from a business combination, proceeds from insurance settlements, and distributions from certain equity method investees. The guidance was effective for interim and annual periods beginning after December 15, 2017. The guidance required application using a retrospective transition method. We adopted this standard effective January 1, 2018. The adoption of this standard did not have a significant impact on our Consolidated Statements of Cash Flows.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Pronouncements to Be Implemented in Future Periods</w:t>
      </w:r>
    </w:p>
    <w:p>
      <w:pPr>
        <w:spacing w:after="0" w:line="117" w:lineRule="exact"/>
        <w:rPr>
          <w:sz w:val="20"/>
          <w:szCs w:val="20"/>
          <w:color w:val="auto"/>
        </w:rPr>
      </w:pPr>
    </w:p>
    <w:p>
      <w:pPr>
        <w:ind w:right="60" w:firstLine="555"/>
        <w:spacing w:after="0" w:line="272" w:lineRule="auto"/>
        <w:rPr>
          <w:sz w:val="20"/>
          <w:szCs w:val="20"/>
          <w:color w:val="auto"/>
        </w:rPr>
      </w:pPr>
      <w:r>
        <w:rPr>
          <w:rFonts w:ascii="Arial" w:cs="Arial" w:eastAsia="Arial" w:hAnsi="Arial"/>
          <w:sz w:val="17"/>
          <w:szCs w:val="17"/>
          <w:color w:val="auto"/>
        </w:rPr>
        <w:t>In June 2016 (modified in November 2018), the FASB issued ASU No 2016-13, Financial Instruments – Credit Losses related to timing on recognizing impairment losses on financial assets. The new guidance lowers the threshold on when losses are incurred, from a determination that a loss is probable to a determination that a loss is expected. The change in guidance will be applicable to our evaluation of the CRDA investments obtained through the Tropicana acquisition. The guidance is effective for interim and annual periods beginning after December 15, 2019, and early adoption is allowed for interim and annual periods beginning after December 15, 2018. Adoption of the guidance will require a modified-retrospective approach and a cumulative adjustment to retained earnings to the first reporting period that the update is effective. We currently anticipate adopting this guidance during the first quarter of 2019 and do not expect a cumulative effect on our Consolidated Financial Statements.</w:t>
      </w:r>
    </w:p>
    <w:p>
      <w:pPr>
        <w:spacing w:after="0" w:line="178"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In August 2018, the FASB issued ASU 2018-15, Customer’s Accounting for Implementation Costs Incurred in a Cloud Computing Arrangement That is a Service Contract. This amendment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This generally means that an intangible asset is recognized for the software license and, to the extent that the payments attributable to the software license are made over time, a liability also is recognized. If a cloud computing arrangement does not include a software license, the entity should account for the arrangement as a service contract. This generally means that the fees associated with the hosting element (service) of the arrangement are expensed as incurred. The amendment is effective for annual and interim periods beginning after December 15, 2019, with early adoption allowed. We expect to adopt the new guidance on January 1, 2020 and are evaluating the qualitative and quantitative effects of the new guidance, but do not believe it will have a significant impact on our Consolidated Financial Statements.</w:t>
      </w:r>
    </w:p>
    <w:p>
      <w:pPr>
        <w:spacing w:after="0" w:line="182" w:lineRule="exact"/>
        <w:rPr>
          <w:sz w:val="20"/>
          <w:szCs w:val="20"/>
          <w:color w:val="auto"/>
        </w:rPr>
      </w:pPr>
    </w:p>
    <w:p>
      <w:pPr>
        <w:ind w:right="520" w:firstLine="555"/>
        <w:spacing w:after="0" w:line="259" w:lineRule="auto"/>
        <w:rPr>
          <w:sz w:val="20"/>
          <w:szCs w:val="20"/>
          <w:color w:val="auto"/>
        </w:rPr>
      </w:pPr>
      <w:r>
        <w:rPr>
          <w:rFonts w:ascii="Arial" w:cs="Arial" w:eastAsia="Arial" w:hAnsi="Arial"/>
          <w:sz w:val="18"/>
          <w:szCs w:val="18"/>
          <w:color w:val="auto"/>
        </w:rPr>
        <w:t>In August 2018, the FASB issued ASU No 2018-14, Compensation –Retirement Benefits – Defined Benefit Plans – General. This amendment improves disclosures over defined benefit plans and is effective for interim and annual periods ending after December 15, 2020 with early adoption allowed. We anticipate adopting this amendment during the first quarter of 2021, and do not expect it to have a significant impact on our Consolidated Financial Statements</w:t>
      </w:r>
    </w:p>
    <w:p>
      <w:pPr>
        <w:spacing w:after="0" w:line="187" w:lineRule="exact"/>
        <w:rPr>
          <w:sz w:val="20"/>
          <w:szCs w:val="20"/>
          <w:color w:val="auto"/>
        </w:rPr>
      </w:pPr>
    </w:p>
    <w:p>
      <w:pPr>
        <w:ind w:right="180" w:firstLine="555"/>
        <w:spacing w:after="0" w:line="259" w:lineRule="auto"/>
        <w:rPr>
          <w:sz w:val="20"/>
          <w:szCs w:val="20"/>
          <w:color w:val="auto"/>
        </w:rPr>
      </w:pPr>
      <w:r>
        <w:rPr>
          <w:rFonts w:ascii="Arial" w:cs="Arial" w:eastAsia="Arial" w:hAnsi="Arial"/>
          <w:sz w:val="18"/>
          <w:szCs w:val="18"/>
          <w:color w:val="auto"/>
        </w:rPr>
        <w:t>In August 2018, the FASB issued ASU 2018-13, Disclosure Framework-Changes to the Disclosure Requirements for Fair Value Measurement. This amendment modifies the disclosure requirements for fair value measurements and is effective for annual and interim periods beginning after December 15, 2019, with early adoption allowed. The Company is evaluating the qualitative and quantitative effect the new guidance will have on our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90" w:name="page91"/>
    <w:bookmarkEnd w:id="90"/>
    <w:p>
      <w:pPr>
        <w:ind w:right="40" w:firstLine="555"/>
        <w:spacing w:after="0" w:line="253" w:lineRule="auto"/>
        <w:rPr>
          <w:sz w:val="20"/>
          <w:szCs w:val="20"/>
          <w:color w:val="auto"/>
        </w:rPr>
      </w:pPr>
      <w:r>
        <w:rPr>
          <w:rFonts w:ascii="Arial" w:cs="Arial" w:eastAsia="Arial" w:hAnsi="Arial"/>
          <w:sz w:val="18"/>
          <w:szCs w:val="18"/>
          <w:color w:val="auto"/>
        </w:rPr>
        <w:t>In February 2016 (as amended through December 2018), the FASB issued ASU No. 2016-02 codified as Accounting Standards Codification (“ASC”) 842, Leases, (“ASC 842”) which addresses the recognition and measurement of leases. Under the new guidance, for all leases (with the exception of short-term leases), at the commencement date, lessees will be required to recognize a lease liability, which is a lessee’s obligation to make lease payments arising from a lease, measured on a discounted basis, and a right-of-use (“ROU”) asset, which is an asset that represents the lessee’s right to control the use of a specified asset for the lease term. Under the new guidance, lessor accounting is largely unchanged. The effective date for this update is for the annual and interim periods beginning after December 15, 2018 with early adoption permitted. ASC 842 requires a transition adoption election using either 1) a modified retrospective approach with periods prior to the adoption date being recast or 2) a prospective adoption approach with a cumulative-effect adjustment recognized to the opening balance of retained earnings on the adoption date with prior periods continuing to be reported under current lease accounting guidance.</w:t>
      </w:r>
    </w:p>
    <w:p>
      <w:pPr>
        <w:spacing w:after="0" w:line="224" w:lineRule="exact"/>
        <w:rPr>
          <w:sz w:val="20"/>
          <w:szCs w:val="20"/>
          <w:color w:val="auto"/>
        </w:rPr>
      </w:pPr>
    </w:p>
    <w:p>
      <w:pPr>
        <w:ind w:right="60" w:firstLine="555"/>
        <w:spacing w:after="0" w:line="273" w:lineRule="auto"/>
        <w:rPr>
          <w:sz w:val="20"/>
          <w:szCs w:val="20"/>
          <w:color w:val="auto"/>
        </w:rPr>
      </w:pPr>
      <w:r>
        <w:rPr>
          <w:rFonts w:ascii="Arial" w:cs="Arial" w:eastAsia="Arial" w:hAnsi="Arial"/>
          <w:sz w:val="17"/>
          <w:szCs w:val="17"/>
          <w:color w:val="auto"/>
        </w:rPr>
        <w:t>The Company will adopt ASC 842 on January 1, 2019 using the prospective adoption approach, and therefore, comparative periods will continue to be reported under current lease accounting guidance consistent with previously issued financial statements. We currently expect to elect the package of practical expedients permitted under the transition guidance within ASC 842, which among other things, allows us to carry forward the historical lease identification, lease classification and treatment of initial direct costs for leases entered into prior to January 1, 2019. We will also make an accounting policy election to not record short-term leases with an initial term of 12 months or less on the balance sheet for all classes of underlying assets. We have also elected to not adopt the hindsight practical expedient for determining lease terms.</w:t>
      </w:r>
    </w:p>
    <w:p>
      <w:pPr>
        <w:spacing w:after="0" w:line="205" w:lineRule="exact"/>
        <w:rPr>
          <w:sz w:val="20"/>
          <w:szCs w:val="20"/>
          <w:color w:val="auto"/>
        </w:rPr>
      </w:pPr>
    </w:p>
    <w:p>
      <w:pPr>
        <w:ind w:firstLine="555"/>
        <w:spacing w:after="0" w:line="290" w:lineRule="auto"/>
        <w:rPr>
          <w:sz w:val="20"/>
          <w:szCs w:val="20"/>
          <w:color w:val="auto"/>
        </w:rPr>
      </w:pPr>
      <w:r>
        <w:rPr>
          <w:rFonts w:ascii="Arial" w:cs="Arial" w:eastAsia="Arial" w:hAnsi="Arial"/>
          <w:sz w:val="16"/>
          <w:szCs w:val="16"/>
          <w:color w:val="auto"/>
        </w:rPr>
        <w:t>Currently, the Company has operating leases in which the Company is the lessor and we expect such arrangements will be accounted for in the same manner. Our operating leases, in which we are the lessee, will be recorded on the balance sheet as an ROU asset with a corresponding lease liability. The lease liability will be remeasured each reporting period with a corresponding change to the ROU. The qualitative and quantitative effects of adoption of ASC 842 are still being analyzed, and the Company is in the process of evaluating the full effect, including the total amount of both financing and operating leases, the new guidance will have on our Consolidated Financial Statements. We have substantially completed the process of collecting and analyzing the Company’s lease contracts but our implementation effort for our new leasing software and selection of incremental borrowing rates are ongoing. Additionally, we are in the process of evaluating our existing failed sale leaseback transactions that are currently accounted for as financing obligations. While our assessment of the impacts of the standard remains open, we do not believe the standard will significantly impact our consolidated net income.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Purchase Price Accounting and Pro forma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Tropicana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Summary</w:t>
      </w:r>
    </w:p>
    <w:p>
      <w:pPr>
        <w:spacing w:after="0" w:line="117" w:lineRule="exact"/>
        <w:rPr>
          <w:sz w:val="20"/>
          <w:szCs w:val="20"/>
          <w:color w:val="auto"/>
        </w:rPr>
      </w:pPr>
    </w:p>
    <w:p>
      <w:pPr>
        <w:ind w:right="140" w:firstLine="555"/>
        <w:spacing w:after="0" w:line="290" w:lineRule="auto"/>
        <w:rPr>
          <w:sz w:val="20"/>
          <w:szCs w:val="20"/>
          <w:color w:val="auto"/>
        </w:rPr>
      </w:pPr>
      <w:r>
        <w:rPr>
          <w:rFonts w:ascii="Arial" w:cs="Arial" w:eastAsia="Arial" w:hAnsi="Arial"/>
          <w:sz w:val="16"/>
          <w:szCs w:val="16"/>
          <w:color w:val="auto"/>
        </w:rPr>
        <w:t>On April 15, 2018 the Company announced that it had entered into a definitive agreement to acquire Tropicana in a cash transaction valued at $1.9 billion. At the closing of the transaction on October 1, 2018, a subsidiary of the Company merged into Tropicana and Tropicana became a wholly-owned subsidiary of the Company. Immediately prior to the merger, Tropicana sold Tropicana Aruba Resort and Casino and GLPI acquired substantially all of Tropicana’s real estate, other than the real estate underlying MontBleu and Lumière, for approximately $964 million and the Company acquired Tropicana’s operations and certain real estate for $927.3 million. Substantially concurrently with the acquisition of the real estate portfolio by GLPI, the Company also entered into a triple net master lease (see Note 10). The Company funded the purchase of the real estate underlying Lumière with the proceeds of a $246 million loan (see Note 11) and funded the remaining consideration payable with cash on hand at the Company and Tropicana, borrowings under the Company’s revolving credit facility and proceeds from the Company’s offering of $600 million in aggregate principal amount of 6% senior notes due 2026.</w:t>
      </w:r>
    </w:p>
    <w:p>
      <w:pPr>
        <w:spacing w:after="0" w:line="166" w:lineRule="exact"/>
        <w:rPr>
          <w:sz w:val="20"/>
          <w:szCs w:val="20"/>
          <w:color w:val="auto"/>
        </w:rPr>
      </w:pPr>
    </w:p>
    <w:p>
      <w:pPr>
        <w:ind w:right="320" w:firstLine="555"/>
        <w:spacing w:after="0" w:line="308" w:lineRule="auto"/>
        <w:rPr>
          <w:sz w:val="20"/>
          <w:szCs w:val="20"/>
          <w:color w:val="auto"/>
        </w:rPr>
      </w:pPr>
      <w:r>
        <w:rPr>
          <w:rFonts w:ascii="Arial" w:cs="Arial" w:eastAsia="Arial" w:hAnsi="Arial"/>
          <w:sz w:val="17"/>
          <w:szCs w:val="17"/>
          <w:color w:val="auto"/>
        </w:rPr>
        <w:t>Transaction expenses related to the Tropicana Acquisition for the year ended December 31, 2018 totaled $18.3 million. As of December 31, 2018, $0.5 million of accrued costs and expenses related to the Tropicana Acquisition are included in accrued other liabilities.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1" w:name="page92"/>
    <w:bookmarkEnd w:id="91"/>
    <w:p>
      <w:pPr>
        <w:spacing w:after="0"/>
        <w:rPr>
          <w:sz w:val="20"/>
          <w:szCs w:val="20"/>
          <w:color w:val="auto"/>
        </w:rPr>
      </w:pPr>
      <w:r>
        <w:rPr>
          <w:rFonts w:ascii="Arial" w:cs="Arial" w:eastAsia="Arial" w:hAnsi="Arial"/>
          <w:sz w:val="18"/>
          <w:szCs w:val="18"/>
          <w:i w:val="1"/>
          <w:iCs w:val="1"/>
          <w:color w:val="auto"/>
        </w:rPr>
        <w:t>Preliminary Purchase Price Accounting</w:t>
      </w:r>
    </w:p>
    <w:p>
      <w:pPr>
        <w:spacing w:after="0" w:line="117" w:lineRule="exact"/>
        <w:rPr>
          <w:sz w:val="20"/>
          <w:szCs w:val="20"/>
          <w:color w:val="auto"/>
        </w:rPr>
      </w:pPr>
    </w:p>
    <w:p>
      <w:pPr>
        <w:ind w:right="480" w:firstLine="555"/>
        <w:spacing w:after="0" w:line="277" w:lineRule="auto"/>
        <w:rPr>
          <w:sz w:val="20"/>
          <w:szCs w:val="20"/>
          <w:color w:val="auto"/>
        </w:rPr>
      </w:pPr>
      <w:r>
        <w:rPr>
          <w:rFonts w:ascii="Arial" w:cs="Arial" w:eastAsia="Arial" w:hAnsi="Arial"/>
          <w:sz w:val="18"/>
          <w:szCs w:val="18"/>
          <w:color w:val="auto"/>
        </w:rPr>
        <w:t>The total purchase consideration for the Tropicana Acquisition was $927.3 million. The estimated purchase consideration in the acquisition was determined with reference to its acquisition date fair value.</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8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Purchase consideration calculation (dollars in thousands)</w:t>
            </w:r>
          </w:p>
        </w:tc>
        <w:tc>
          <w:tcPr>
            <w:tcW w:w="280" w:type="dxa"/>
            <w:vAlign w:val="bottom"/>
            <w:tcBorders>
              <w:bottom w:val="single" w:sz="8" w:color="CFF0FC"/>
            </w:tcBorders>
          </w:tcPr>
          <w:p>
            <w:pPr>
              <w:spacing w:after="0"/>
              <w:rPr>
                <w:sz w:val="14"/>
                <w:szCs w:val="14"/>
                <w:color w:val="auto"/>
              </w:rPr>
            </w:pPr>
          </w:p>
        </w:tc>
        <w:tc>
          <w:tcPr>
            <w:tcW w:w="500" w:type="dxa"/>
            <w:vAlign w:val="bottom"/>
            <w:tcBorders>
              <w:bottom w:val="single" w:sz="8" w:color="CFF0FC"/>
            </w:tcBorders>
          </w:tcPr>
          <w:p>
            <w:pPr>
              <w:spacing w:after="0"/>
              <w:rPr>
                <w:sz w:val="14"/>
                <w:szCs w:val="14"/>
                <w:color w:val="auto"/>
              </w:rPr>
            </w:pPr>
          </w:p>
        </w:tc>
        <w:tc>
          <w:tcPr>
            <w:tcW w:w="10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r>
      <w:tr>
        <w:trPr>
          <w:trHeight w:val="223"/>
        </w:trPr>
        <w:tc>
          <w:tcPr>
            <w:tcW w:w="8340" w:type="dxa"/>
            <w:vAlign w:val="bottom"/>
            <w:shd w:val="clear" w:color="auto" w:fill="CFF0FC"/>
          </w:tcPr>
          <w:p>
            <w:pPr>
              <w:spacing w:after="0"/>
              <w:rPr>
                <w:sz w:val="20"/>
                <w:szCs w:val="20"/>
                <w:color w:val="auto"/>
              </w:rPr>
            </w:pPr>
            <w:r>
              <w:rPr>
                <w:rFonts w:ascii="Arial" w:cs="Arial" w:eastAsia="Arial" w:hAnsi="Arial"/>
                <w:sz w:val="18"/>
                <w:szCs w:val="18"/>
                <w:color w:val="auto"/>
              </w:rPr>
              <w:t>Cash consideration paid</w:t>
            </w:r>
          </w:p>
        </w:tc>
        <w:tc>
          <w:tcPr>
            <w:tcW w:w="78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640,000</w:t>
            </w:r>
          </w:p>
        </w:tc>
        <w:tc>
          <w:tcPr>
            <w:tcW w:w="120" w:type="dxa"/>
            <w:vAlign w:val="bottom"/>
            <w:shd w:val="clear" w:color="auto" w:fill="CFF0FC"/>
          </w:tcPr>
          <w:p>
            <w:pPr>
              <w:spacing w:after="0"/>
              <w:rPr>
                <w:sz w:val="19"/>
                <w:szCs w:val="19"/>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Lumière Loan</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246,000</w:t>
            </w:r>
          </w:p>
        </w:tc>
        <w:tc>
          <w:tcPr>
            <w:tcW w:w="120" w:type="dxa"/>
            <w:vAlign w:val="bottom"/>
          </w:tcPr>
          <w:p>
            <w:pPr>
              <w:spacing w:after="0"/>
              <w:rPr>
                <w:sz w:val="19"/>
                <w:szCs w:val="19"/>
                <w:color w:val="auto"/>
              </w:rPr>
            </w:pPr>
          </w:p>
        </w:tc>
      </w:tr>
      <w:tr>
        <w:trPr>
          <w:trHeight w:val="230"/>
        </w:trPr>
        <w:tc>
          <w:tcPr>
            <w:tcW w:w="8340" w:type="dxa"/>
            <w:vAlign w:val="bottom"/>
            <w:shd w:val="clear" w:color="auto" w:fill="CFF0FC"/>
          </w:tcPr>
          <w:p>
            <w:pPr>
              <w:spacing w:after="0"/>
              <w:rPr>
                <w:sz w:val="20"/>
                <w:szCs w:val="20"/>
                <w:color w:val="auto"/>
              </w:rPr>
            </w:pPr>
            <w:r>
              <w:rPr>
                <w:rFonts w:ascii="Arial" w:cs="Arial" w:eastAsia="Arial" w:hAnsi="Arial"/>
                <w:sz w:val="18"/>
                <w:szCs w:val="18"/>
                <w:color w:val="auto"/>
              </w:rPr>
              <w:t>Cash paid to retire Tropicana's long-term debt</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FF0FC"/>
          </w:tcPr>
          <w:p>
            <w:pPr>
              <w:spacing w:after="0"/>
              <w:rPr>
                <w:sz w:val="19"/>
                <w:szCs w:val="19"/>
                <w:color w:val="auto"/>
              </w:rPr>
            </w:pPr>
          </w:p>
        </w:tc>
      </w:tr>
      <w:tr>
        <w:trPr>
          <w:trHeight w:val="230"/>
        </w:trPr>
        <w:tc>
          <w:tcPr>
            <w:tcW w:w="8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ERI portion of taxes due</w:t>
            </w:r>
          </w:p>
        </w:tc>
        <w:tc>
          <w:tcPr>
            <w:tcW w:w="2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6,333</w:t>
            </w:r>
          </w:p>
        </w:tc>
        <w:tc>
          <w:tcPr>
            <w:tcW w:w="120" w:type="dxa"/>
            <w:vAlign w:val="bottom"/>
            <w:tcBorders>
              <w:bottom w:val="single" w:sz="8" w:color="CFF0FC"/>
            </w:tcBorders>
          </w:tcPr>
          <w:p>
            <w:pPr>
              <w:spacing w:after="0"/>
              <w:rPr>
                <w:sz w:val="19"/>
                <w:szCs w:val="19"/>
                <w:color w:val="auto"/>
              </w:rPr>
            </w:pPr>
          </w:p>
        </w:tc>
      </w:tr>
      <w:tr>
        <w:trPr>
          <w:trHeight w:val="223"/>
        </w:trPr>
        <w:tc>
          <w:tcPr>
            <w:tcW w:w="83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Purchase consideration</w:t>
            </w:r>
          </w:p>
        </w:tc>
        <w:tc>
          <w:tcPr>
            <w:tcW w:w="2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927,333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555"/>
        <w:spacing w:after="0" w:line="302" w:lineRule="auto"/>
        <w:rPr>
          <w:sz w:val="20"/>
          <w:szCs w:val="20"/>
          <w:color w:val="auto"/>
        </w:rPr>
      </w:pPr>
      <w:r>
        <w:rPr>
          <w:rFonts w:ascii="Arial" w:cs="Arial" w:eastAsia="Arial" w:hAnsi="Arial"/>
          <w:sz w:val="16"/>
          <w:szCs w:val="16"/>
          <w:color w:val="auto"/>
        </w:rPr>
        <w:t>The fair values are based on management’s analysis including preliminary work performed by third party valuation specialists, which are subject to finalization and review. The purchase price accounting for Tropicana is preliminary as it relates to determining the fair value of certain assets and liabilities, including goodwill, and is subject to change. The following table summarizes the preliminary allocation of the purchase consideration to the identifiable assets acquired and liabilities assumed of Tropicana, with the excess recorded as goodwill as of December 31, 2018 (dollars in thousands):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8600" w:type="dxa"/>
            <w:vAlign w:val="bottom"/>
            <w:shd w:val="clear" w:color="auto" w:fill="CFF0FC"/>
          </w:tcPr>
          <w:p>
            <w:pPr>
              <w:spacing w:after="0"/>
              <w:rPr>
                <w:sz w:val="20"/>
                <w:szCs w:val="20"/>
                <w:color w:val="auto"/>
              </w:rPr>
            </w:pPr>
            <w:r>
              <w:rPr>
                <w:rFonts w:ascii="Arial" w:cs="Arial" w:eastAsia="Arial" w:hAnsi="Arial"/>
                <w:sz w:val="18"/>
                <w:szCs w:val="18"/>
                <w:color w:val="auto"/>
              </w:rPr>
              <w:t>Current and other assets</w:t>
            </w:r>
          </w:p>
        </w:tc>
        <w:tc>
          <w:tcPr>
            <w:tcW w:w="420" w:type="dxa"/>
            <w:vAlign w:val="bottom"/>
            <w:gridSpan w:val="2"/>
            <w:shd w:val="clear" w:color="auto" w:fill="CFF0FC"/>
          </w:tcPr>
          <w:p>
            <w:pPr>
              <w:jc w:val="right"/>
              <w:ind w:right="245"/>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183,292</w:t>
            </w:r>
          </w:p>
        </w:tc>
        <w:tc>
          <w:tcPr>
            <w:tcW w:w="120" w:type="dxa"/>
            <w:vAlign w:val="bottom"/>
            <w:shd w:val="clear" w:color="auto" w:fill="CFF0FC"/>
          </w:tcPr>
          <w:p>
            <w:pPr>
              <w:spacing w:after="0"/>
              <w:rPr>
                <w:sz w:val="19"/>
                <w:szCs w:val="19"/>
                <w:color w:val="auto"/>
              </w:rPr>
            </w:pP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432,758</w:t>
            </w:r>
          </w:p>
        </w:tc>
        <w:tc>
          <w:tcPr>
            <w:tcW w:w="120" w:type="dxa"/>
            <w:vAlign w:val="bottom"/>
          </w:tcPr>
          <w:p>
            <w:pPr>
              <w:spacing w:after="0"/>
              <w:rPr>
                <w:sz w:val="19"/>
                <w:szCs w:val="19"/>
                <w:color w:val="auto"/>
              </w:rPr>
            </w:pPr>
          </w:p>
        </w:tc>
      </w:tr>
      <w:tr>
        <w:trPr>
          <w:trHeight w:val="230"/>
        </w:trPr>
        <w:tc>
          <w:tcPr>
            <w:tcW w:w="8600" w:type="dxa"/>
            <w:vAlign w:val="bottom"/>
            <w:shd w:val="clear" w:color="auto" w:fill="CFF0FC"/>
          </w:tcPr>
          <w:p>
            <w:pPr>
              <w:spacing w:after="0"/>
              <w:rPr>
                <w:sz w:val="20"/>
                <w:szCs w:val="20"/>
                <w:color w:val="auto"/>
              </w:rPr>
            </w:pPr>
            <w:r>
              <w:rPr>
                <w:rFonts w:ascii="Arial" w:cs="Arial" w:eastAsia="Arial" w:hAnsi="Arial"/>
                <w:sz w:val="18"/>
                <w:szCs w:val="18"/>
                <w:color w:val="auto"/>
              </w:rPr>
              <w:t>Property subject to the financing obligation</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957,300</w:t>
            </w:r>
          </w:p>
        </w:tc>
        <w:tc>
          <w:tcPr>
            <w:tcW w:w="120" w:type="dxa"/>
            <w:vAlign w:val="bottom"/>
            <w:shd w:val="clear" w:color="auto" w:fill="CFF0FC"/>
          </w:tcPr>
          <w:p>
            <w:pPr>
              <w:spacing w:after="0"/>
              <w:rPr>
                <w:sz w:val="19"/>
                <w:szCs w:val="19"/>
                <w:color w:val="auto"/>
              </w:rPr>
            </w:pP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220,482</w:t>
            </w:r>
          </w:p>
        </w:tc>
        <w:tc>
          <w:tcPr>
            <w:tcW w:w="120" w:type="dxa"/>
            <w:vAlign w:val="bottom"/>
          </w:tcPr>
          <w:p>
            <w:pPr>
              <w:spacing w:after="0"/>
              <w:rPr>
                <w:sz w:val="19"/>
                <w:szCs w:val="19"/>
                <w:color w:val="auto"/>
              </w:rPr>
            </w:pPr>
          </w:p>
        </w:tc>
      </w:tr>
      <w:tr>
        <w:trPr>
          <w:trHeight w:val="230"/>
        </w:trPr>
        <w:tc>
          <w:tcPr>
            <w:tcW w:w="86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(i)</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247,976</w:t>
            </w:r>
          </w:p>
        </w:tc>
        <w:tc>
          <w:tcPr>
            <w:tcW w:w="120" w:type="dxa"/>
            <w:vAlign w:val="bottom"/>
            <w:shd w:val="clear" w:color="auto" w:fill="CFF0FC"/>
          </w:tcPr>
          <w:p>
            <w:pPr>
              <w:spacing w:after="0"/>
              <w:rPr>
                <w:sz w:val="19"/>
                <w:szCs w:val="19"/>
                <w:color w:val="auto"/>
              </w:rPr>
            </w:pPr>
          </w:p>
        </w:tc>
      </w:tr>
      <w:tr>
        <w:trPr>
          <w:trHeight w:val="230"/>
        </w:trPr>
        <w:tc>
          <w:tcPr>
            <w:tcW w:w="8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38,276</w:t>
            </w:r>
          </w:p>
        </w:tc>
        <w:tc>
          <w:tcPr>
            <w:tcW w:w="120" w:type="dxa"/>
            <w:vAlign w:val="bottom"/>
            <w:tcBorders>
              <w:bottom w:val="single" w:sz="8" w:color="CFF0FC"/>
            </w:tcBorders>
          </w:tcPr>
          <w:p>
            <w:pPr>
              <w:spacing w:after="0"/>
              <w:rPr>
                <w:sz w:val="19"/>
                <w:szCs w:val="19"/>
                <w:color w:val="auto"/>
              </w:rPr>
            </w:pPr>
          </w:p>
        </w:tc>
      </w:tr>
      <w:tr>
        <w:trPr>
          <w:trHeight w:val="223"/>
        </w:trPr>
        <w:tc>
          <w:tcPr>
            <w:tcW w:w="8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assets</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2,080,084</w:t>
            </w:r>
          </w:p>
        </w:tc>
        <w:tc>
          <w:tcPr>
            <w:tcW w:w="120" w:type="dxa"/>
            <w:vAlign w:val="bottom"/>
            <w:shd w:val="clear" w:color="auto" w:fill="CFF0FC"/>
          </w:tcPr>
          <w:p>
            <w:pPr>
              <w:spacing w:after="0"/>
              <w:rPr>
                <w:sz w:val="19"/>
                <w:szCs w:val="19"/>
                <w:color w:val="auto"/>
              </w:rPr>
            </w:pP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(168,856)</w:t>
            </w:r>
          </w:p>
        </w:tc>
      </w:tr>
      <w:tr>
        <w:trPr>
          <w:trHeight w:val="230"/>
        </w:trPr>
        <w:tc>
          <w:tcPr>
            <w:tcW w:w="8600" w:type="dxa"/>
            <w:vAlign w:val="bottom"/>
            <w:shd w:val="clear" w:color="auto" w:fill="CFF0FC"/>
          </w:tcPr>
          <w:p>
            <w:pPr>
              <w:spacing w:after="0"/>
              <w:rPr>
                <w:sz w:val="20"/>
                <w:szCs w:val="20"/>
                <w:color w:val="auto"/>
              </w:rPr>
            </w:pPr>
            <w:r>
              <w:rPr>
                <w:rFonts w:ascii="Arial" w:cs="Arial" w:eastAsia="Arial" w:hAnsi="Arial"/>
                <w:sz w:val="18"/>
                <w:szCs w:val="18"/>
                <w:color w:val="auto"/>
              </w:rPr>
              <w:t>Financing obligation to GLPI</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(957,300)</w:t>
            </w: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(26,595)</w:t>
            </w:r>
          </w:p>
        </w:tc>
      </w:tr>
      <w:tr>
        <w:trPr>
          <w:trHeight w:val="223"/>
        </w:trPr>
        <w:tc>
          <w:tcPr>
            <w:tcW w:w="86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liabilities</w:t>
            </w:r>
          </w:p>
        </w:tc>
        <w:tc>
          <w:tcPr>
            <w:tcW w:w="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(1,152,751)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8600" w:type="dxa"/>
            <w:vAlign w:val="bottom"/>
          </w:tcPr>
          <w:p>
            <w:pPr>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927,333</w:t>
            </w:r>
          </w:p>
        </w:tc>
        <w:tc>
          <w:tcPr>
            <w:tcW w:w="120" w:type="dxa"/>
            <w:vAlign w:val="bottom"/>
          </w:tcPr>
          <w:p>
            <w:pPr>
              <w:spacing w:after="0"/>
              <w:rPr>
                <w:sz w:val="19"/>
                <w:szCs w:val="19"/>
                <w:color w:val="auto"/>
              </w:rPr>
            </w:pPr>
          </w:p>
        </w:tc>
      </w:tr>
      <w:tr>
        <w:trPr>
          <w:trHeight w:val="20"/>
        </w:trPr>
        <w:tc>
          <w:tcPr>
            <w:tcW w:w="8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right="20" w:hanging="552"/>
        <w:spacing w:after="0" w:line="277" w:lineRule="auto"/>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Intangible assets consist of gaming licenses valued at $124.9 million, trade names valued at $67.1 million and player loyalty programs valued at $55.9 million.</w:t>
      </w:r>
    </w:p>
    <w:p>
      <w:pPr>
        <w:spacing w:after="0" w:line="170"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Valuation methodologies under both a market and income approach used for the identifiable net assets acquired in the Tropicana Acquisition make use of Level 3 inputs including discounted cash flows.</w:t>
      </w:r>
    </w:p>
    <w:p>
      <w:pPr>
        <w:spacing w:after="0" w:line="170" w:lineRule="exact"/>
        <w:rPr>
          <w:sz w:val="20"/>
          <w:szCs w:val="20"/>
          <w:color w:val="auto"/>
        </w:rPr>
      </w:pPr>
    </w:p>
    <w:p>
      <w:pPr>
        <w:ind w:right="240" w:firstLine="555"/>
        <w:spacing w:after="0" w:line="277" w:lineRule="auto"/>
        <w:rPr>
          <w:sz w:val="20"/>
          <w:szCs w:val="20"/>
          <w:color w:val="auto"/>
        </w:rPr>
      </w:pPr>
      <w:r>
        <w:rPr>
          <w:rFonts w:ascii="Arial" w:cs="Arial" w:eastAsia="Arial" w:hAnsi="Arial"/>
          <w:sz w:val="18"/>
          <w:szCs w:val="18"/>
          <w:color w:val="auto"/>
        </w:rPr>
        <w:t>Trade receivables and payables, inventory and other current and noncurrent assets and liabilities were valued at the existing carrying values as they represented the estimated fair value of those items at the Tropicana Acquisition date.</w:t>
      </w:r>
    </w:p>
    <w:p>
      <w:pPr>
        <w:spacing w:after="0" w:line="170" w:lineRule="exact"/>
        <w:rPr>
          <w:sz w:val="20"/>
          <w:szCs w:val="20"/>
          <w:color w:val="auto"/>
        </w:rPr>
      </w:pPr>
    </w:p>
    <w:p>
      <w:pPr>
        <w:ind w:firstLine="555"/>
        <w:spacing w:after="0" w:line="287" w:lineRule="auto"/>
        <w:rPr>
          <w:sz w:val="20"/>
          <w:szCs w:val="20"/>
          <w:color w:val="auto"/>
        </w:rPr>
      </w:pPr>
      <w:r>
        <w:rPr>
          <w:rFonts w:ascii="Arial" w:cs="Arial" w:eastAsia="Arial" w:hAnsi="Arial"/>
          <w:sz w:val="16"/>
          <w:szCs w:val="16"/>
          <w:color w:val="auto"/>
        </w:rPr>
        <w:t>The fair value of land (excluding the real property acquired by GLPI) was determined using the market approach, which arrives at an indication of value by comparing the site being valued to sites that have been recently acquired in arm’s-length transactions. The market data is then adjusted for any significant differences, to the extent known, between the identified comparable sites and the site being valued. Building and site improvements were valued using the cost approach using a direct cost model built on estimates of replacement cost. With respect to personal property components of the assets, personal property assets with an active and identifiable secondary market such as riverboats, gaming equipment, computer equipment and vehicles were valued using the market approach. Other personal property assets such as furniture, fixtures, computer software, and restaurant equipment were valued using the cost approach which is based on replacement or reproduction costs of the asset. The cost approach is an estimation of fair value developed by computing the current cost of replacing a property and subtracting any depreciation resulting from one or more of the following factors: physical deterioration, functional obsolescence, and/or economic obsolescence. The income approach incorporates all tangible and intangible property and served as a ceiling for the fair values of the acquired assets of the ongoing business enterprise, while still taking into account the premise of highest and best use. In the instance where the business enterprise value developed via the income approach was exceeded by the initial fair values of the underlying assets, an adjustment to reflect economic obsolescence was made to the tangible assets on a pro rata basis to reflect the contributory value of each individual asset to the enterprise as a whole.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92" w:name="page93"/>
    <w:bookmarkEnd w:id="92"/>
    <w:p>
      <w:pPr>
        <w:ind w:right="20" w:firstLine="555"/>
        <w:spacing w:after="0" w:line="255" w:lineRule="auto"/>
        <w:rPr>
          <w:sz w:val="20"/>
          <w:szCs w:val="20"/>
          <w:color w:val="auto"/>
        </w:rPr>
      </w:pPr>
      <w:r>
        <w:rPr>
          <w:rFonts w:ascii="Arial" w:cs="Arial" w:eastAsia="Arial" w:hAnsi="Arial"/>
          <w:sz w:val="18"/>
          <w:szCs w:val="18"/>
          <w:color w:val="auto"/>
        </w:rPr>
        <w:t>The real estate assets that were sold to GLPI and leased back by the Company were first adjusted to fair value concurrently with the acquisition of Tropicana. The fair value of the properties was determined utilizing the direct capitalization method of the income approach. In allocating the fair value to the underlying acquired assets, a fair value for the buildings and improvements was determined using the above mentioned cost approach method. To determine the underlying land value, the extraction method was applied wherein the fair value of the building and improvements was deducted from the fair value of the property as derived from the direct capitalization approach to determine the fair value of the land. The fair value of GLPI’s real estate assets was determined to be $957.3 million.</w:t>
      </w:r>
    </w:p>
    <w:p>
      <w:pPr>
        <w:spacing w:after="0" w:line="193" w:lineRule="exact"/>
        <w:rPr>
          <w:sz w:val="20"/>
          <w:szCs w:val="20"/>
          <w:color w:val="auto"/>
        </w:rPr>
      </w:pPr>
    </w:p>
    <w:p>
      <w:pPr>
        <w:ind w:right="60" w:firstLine="555"/>
        <w:spacing w:after="0" w:line="290" w:lineRule="auto"/>
        <w:rPr>
          <w:sz w:val="20"/>
          <w:szCs w:val="20"/>
          <w:color w:val="auto"/>
        </w:rPr>
      </w:pPr>
      <w:r>
        <w:rPr>
          <w:rFonts w:ascii="Arial" w:cs="Arial" w:eastAsia="Arial" w:hAnsi="Arial"/>
          <w:sz w:val="16"/>
          <w:szCs w:val="16"/>
          <w:color w:val="auto"/>
        </w:rPr>
        <w:t>The fair value of the gaming licenses was determined using the excess earnings or replacement cost methodology, based on whether the license resides in gaming jurisdictions where competition is limited to a specified number of licensed gaming operators. The excess earnings methodology is an income approach methodology that estimates the projected cash flows of the business attributable to the gaming license intangible asset, which is net of charges for the use of other identifiable assets of the business including working capital, fixed assets and other intangible assets. Under the respective state’s gaming legislation, the property specific licenses can only be acquired if a theoretical buyer were to acquire each existing facility. The existing licenses could not be acquired and used for a different facility. The properties’ estimated future cash flows were the primary assumption in the respective valuations. Cash flow estimates included net gaming revenue, gaming operating expenses, general and administrative expenses, and tax expense. The replacement cost methodology is a cost approach methodology based on replacement or reproduction cost of the gaming license as an indicator of fair value.</w:t>
      </w:r>
    </w:p>
    <w:p>
      <w:pPr>
        <w:spacing w:after="0" w:line="166"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The Company has preliminarily assigned an indefinite useful life to the gaming licenses, in accordance with its review of the applicable guidance of ASC 350. The Company considered, among other things, the expected use of the asset, the expected useful life of other related assets or asset groups, any legal, regulatory, or contractual provisions that may limit the useful life, the Company’s own historical experience in renewing similar arrangements, the effects of obsolescence, demand and other economic factors, and the maintenance expenditures required to obtain the expected cash flows. The Company determined that no legal, regulatory, contractual, competitive, economic or other factors limit the useful lives of these intangible assets. Tropicana had licenses in New Jersey, Missouri, Mississippi, Nevada, Indiana, and Louisiana. The renewal of each state’s gaming license depends on a number of factors, including payment of certain fees and taxes, providing certain information to the state’s gaming regulator, and meeting certain inspection requirements. However, the Company’s historical experience has not indicated, nor does the Company expect, any limitations regarding its ability to continue to renew each license. No other competitive, contractual, or economic factor limits the useful lives of these assets. Accordingly, the Company has preliminarily concluded that the useful lives of these licenses are indefinite.</w:t>
      </w:r>
    </w:p>
    <w:p>
      <w:pPr>
        <w:spacing w:after="0" w:line="178" w:lineRule="exact"/>
        <w:rPr>
          <w:sz w:val="20"/>
          <w:szCs w:val="20"/>
          <w:color w:val="auto"/>
        </w:rPr>
      </w:pPr>
    </w:p>
    <w:p>
      <w:pPr>
        <w:ind w:right="80" w:firstLine="555"/>
        <w:spacing w:after="0" w:line="271" w:lineRule="auto"/>
        <w:rPr>
          <w:sz w:val="20"/>
          <w:szCs w:val="20"/>
          <w:color w:val="auto"/>
        </w:rPr>
      </w:pPr>
      <w:r>
        <w:rPr>
          <w:rFonts w:ascii="Arial" w:cs="Arial" w:eastAsia="Arial" w:hAnsi="Arial"/>
          <w:sz w:val="17"/>
          <w:szCs w:val="17"/>
          <w:color w:val="auto"/>
        </w:rPr>
        <w:t>Trade names are valued using the relief from royalty method, which presumes that without ownership of such trademarks, the Company would have to make a stream of payments to a brand or franchise owner in return for the right to use their name. By virtue of this asset, the Company avoids any such payments and records the related intangible value of the Company’s ownership of the brand name. The primary assumptions in the valuation included revenue, pre-tax royalty rate, and tax expense. The Company has preliminarily assigned an indefinite useful life to the trade names after considering, among other things, the expected use of the asset, the expected useful life of other related assets or asset groups, any legal, regulatory, or contractual provisions that may limit the useful life, ERI’s own historical experience in renewing similar arrangements, the effects of obsolescence, demand and other economic factors, and the maintenance expenditures required to obtain the expected cash flows. In that analysis, ERI determined that no legal, regulatory, contractual, competitive, economic or other factors limit the useful lives of these intangible assets.</w:t>
      </w:r>
    </w:p>
    <w:p>
      <w:pPr>
        <w:spacing w:after="0" w:line="179"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Player loyalty programs were valued using the cost approach and the incremental cash flow method under the income approach. The incremental cash flow method is used to estimate the fair value of an intangible asset based on a residual cash flow notion. This method measures the benefits (e.g., cash flows) derived from ownership of an acquired intangible asset as if it were in place, as compared to the acquirer’s expected cash flows as if the intangible asset were not in place (i.e., with-and-without). The residual or net cash flows of the two models is ascribable to the intangible asset. The Company has preliminarily estimated a 3-year useful life on the player loyalty programs.</w:t>
      </w:r>
    </w:p>
    <w:p>
      <w:pPr>
        <w:spacing w:after="0" w:line="188"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color w:val="auto"/>
        </w:rPr>
        <w:t>Goodwill is the result of expected synergies from combining operations of the acquired and acquirer. The goodwill acquired is fully amortizable for tax purposes.</w:t>
      </w:r>
    </w:p>
    <w:p>
      <w:pPr>
        <w:spacing w:after="0" w:line="170" w:lineRule="exact"/>
        <w:rPr>
          <w:sz w:val="20"/>
          <w:szCs w:val="20"/>
          <w:color w:val="auto"/>
        </w:rPr>
      </w:pPr>
    </w:p>
    <w:p>
      <w:pPr>
        <w:ind w:right="500" w:firstLine="555"/>
        <w:spacing w:after="0" w:line="277" w:lineRule="auto"/>
        <w:rPr>
          <w:sz w:val="20"/>
          <w:szCs w:val="20"/>
          <w:color w:val="auto"/>
        </w:rPr>
      </w:pPr>
      <w:r>
        <w:rPr>
          <w:rFonts w:ascii="Arial" w:cs="Arial" w:eastAsia="Arial" w:hAnsi="Arial"/>
          <w:sz w:val="18"/>
          <w:szCs w:val="18"/>
          <w:color w:val="auto"/>
        </w:rPr>
        <w:t>For the period from the Tropicana acquisition date of October 1, 2018 through December 31, 2018, Tropicana generated net revenues of $205.1 million and net loss of $8.7 million.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i w:val="1"/>
          <w:iCs w:val="1"/>
          <w:color w:val="auto"/>
        </w:rPr>
        <w:t>Elgin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Preliminary Purchase Price Accounting</w:t>
      </w:r>
    </w:p>
    <w:p>
      <w:pPr>
        <w:spacing w:after="0" w:line="117" w:lineRule="exact"/>
        <w:rPr>
          <w:sz w:val="20"/>
          <w:szCs w:val="20"/>
          <w:color w:val="auto"/>
        </w:rPr>
      </w:pPr>
    </w:p>
    <w:p>
      <w:pPr>
        <w:ind w:right="40" w:firstLine="555"/>
        <w:spacing w:after="0" w:line="286" w:lineRule="auto"/>
        <w:rPr>
          <w:sz w:val="20"/>
          <w:szCs w:val="20"/>
          <w:color w:val="auto"/>
        </w:rPr>
      </w:pPr>
      <w:r>
        <w:rPr>
          <w:rFonts w:ascii="Arial" w:cs="Arial" w:eastAsia="Arial" w:hAnsi="Arial"/>
          <w:sz w:val="17"/>
          <w:szCs w:val="17"/>
          <w:color w:val="auto"/>
        </w:rPr>
        <w:t>On August 7, 2018, the Company completed its acquisition of one hundred percent of the partnership interests in Elgin. The total purchase consideration for the Elgin Acquisition was $328.8 million, which was funded by cash on hand and borrowings from the Company’s revolving credit facility. The estimated purchase consideration in the acquisition was determined with reference to its acquisition date fair value.</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8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Purchase consideration calculation (dollars in thousands)</w:t>
            </w:r>
          </w:p>
        </w:tc>
        <w:tc>
          <w:tcPr>
            <w:tcW w:w="280" w:type="dxa"/>
            <w:vAlign w:val="bottom"/>
            <w:tcBorders>
              <w:bottom w:val="single" w:sz="8" w:color="CFF0FC"/>
            </w:tcBorders>
          </w:tcPr>
          <w:p>
            <w:pPr>
              <w:spacing w:after="0"/>
              <w:rPr>
                <w:sz w:val="14"/>
                <w:szCs w:val="14"/>
                <w:color w:val="auto"/>
              </w:rPr>
            </w:pPr>
          </w:p>
        </w:tc>
        <w:tc>
          <w:tcPr>
            <w:tcW w:w="500" w:type="dxa"/>
            <w:vAlign w:val="bottom"/>
            <w:tcBorders>
              <w:bottom w:val="single" w:sz="8" w:color="CFF0FC"/>
            </w:tcBorders>
          </w:tcPr>
          <w:p>
            <w:pPr>
              <w:spacing w:after="0"/>
              <w:rPr>
                <w:sz w:val="14"/>
                <w:szCs w:val="14"/>
                <w:color w:val="auto"/>
              </w:rPr>
            </w:pPr>
          </w:p>
        </w:tc>
        <w:tc>
          <w:tcPr>
            <w:tcW w:w="10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r>
      <w:tr>
        <w:trPr>
          <w:trHeight w:val="223"/>
        </w:trPr>
        <w:tc>
          <w:tcPr>
            <w:tcW w:w="8340" w:type="dxa"/>
            <w:vAlign w:val="bottom"/>
            <w:shd w:val="clear" w:color="auto" w:fill="CFF0FC"/>
          </w:tcPr>
          <w:p>
            <w:pPr>
              <w:spacing w:after="0"/>
              <w:rPr>
                <w:sz w:val="20"/>
                <w:szCs w:val="20"/>
                <w:color w:val="auto"/>
              </w:rPr>
            </w:pPr>
            <w:r>
              <w:rPr>
                <w:rFonts w:ascii="Arial" w:cs="Arial" w:eastAsia="Arial" w:hAnsi="Arial"/>
                <w:sz w:val="18"/>
                <w:szCs w:val="18"/>
                <w:color w:val="auto"/>
              </w:rPr>
              <w:t>Cash consideration paid</w:t>
            </w:r>
          </w:p>
        </w:tc>
        <w:tc>
          <w:tcPr>
            <w:tcW w:w="78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327,500</w:t>
            </w:r>
          </w:p>
        </w:tc>
        <w:tc>
          <w:tcPr>
            <w:tcW w:w="120" w:type="dxa"/>
            <w:vAlign w:val="bottom"/>
            <w:shd w:val="clear" w:color="auto" w:fill="CFF0FC"/>
          </w:tcPr>
          <w:p>
            <w:pPr>
              <w:spacing w:after="0"/>
              <w:rPr>
                <w:sz w:val="19"/>
                <w:szCs w:val="19"/>
                <w:color w:val="auto"/>
              </w:rPr>
            </w:pPr>
          </w:p>
        </w:tc>
      </w:tr>
      <w:tr>
        <w:trPr>
          <w:trHeight w:val="230"/>
        </w:trPr>
        <w:tc>
          <w:tcPr>
            <w:tcW w:w="8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Working capital and other adjustments</w:t>
            </w:r>
          </w:p>
        </w:tc>
        <w:tc>
          <w:tcPr>
            <w:tcW w:w="2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120" w:type="dxa"/>
            <w:vAlign w:val="bottom"/>
            <w:tcBorders>
              <w:bottom w:val="single" w:sz="8" w:color="CFF0FC"/>
            </w:tcBorders>
          </w:tcPr>
          <w:p>
            <w:pPr>
              <w:spacing w:after="0"/>
              <w:rPr>
                <w:sz w:val="19"/>
                <w:szCs w:val="19"/>
                <w:color w:val="auto"/>
              </w:rPr>
            </w:pPr>
          </w:p>
        </w:tc>
      </w:tr>
      <w:tr>
        <w:trPr>
          <w:trHeight w:val="223"/>
        </w:trPr>
        <w:tc>
          <w:tcPr>
            <w:tcW w:w="83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Purchase consideration</w:t>
            </w:r>
          </w:p>
        </w:tc>
        <w:tc>
          <w:tcPr>
            <w:tcW w:w="2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328,804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555"/>
        <w:spacing w:after="0" w:line="279" w:lineRule="auto"/>
        <w:rPr>
          <w:sz w:val="20"/>
          <w:szCs w:val="20"/>
          <w:color w:val="auto"/>
        </w:rPr>
      </w:pPr>
      <w:r>
        <w:rPr>
          <w:rFonts w:ascii="Arial" w:cs="Arial" w:eastAsia="Arial" w:hAnsi="Arial"/>
          <w:sz w:val="17"/>
          <w:szCs w:val="17"/>
          <w:color w:val="auto"/>
        </w:rPr>
        <w:t>The fair values are based on management’s analysis including preliminary work performed by third party valuation specialists, which are subject to finalization and review. The purchase price accounting for Elgin is preliminary as it relates to determining the fair value of the long-lived assets, including goodwill, and is subject to change. The following table summarizes the preliminary allocation of the purchase consideration to the identifiable assets acquired and liabilities assumed of Elgin, with the excess recorded as goodwill as of December 31, 2018 (dollars in thousands):</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8600" w:type="dxa"/>
            <w:vAlign w:val="bottom"/>
            <w:shd w:val="clear" w:color="auto" w:fill="CFF0FC"/>
          </w:tcPr>
          <w:p>
            <w:pPr>
              <w:spacing w:after="0"/>
              <w:rPr>
                <w:sz w:val="20"/>
                <w:szCs w:val="20"/>
                <w:color w:val="auto"/>
              </w:rPr>
            </w:pPr>
            <w:r>
              <w:rPr>
                <w:rFonts w:ascii="Arial" w:cs="Arial" w:eastAsia="Arial" w:hAnsi="Arial"/>
                <w:sz w:val="18"/>
                <w:szCs w:val="18"/>
                <w:color w:val="auto"/>
              </w:rPr>
              <w:t>Current and other</w:t>
            </w:r>
          </w:p>
        </w:tc>
        <w:tc>
          <w:tcPr>
            <w:tcW w:w="52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25,349</w:t>
            </w:r>
          </w:p>
        </w:tc>
        <w:tc>
          <w:tcPr>
            <w:tcW w:w="120" w:type="dxa"/>
            <w:vAlign w:val="bottom"/>
            <w:shd w:val="clear" w:color="auto" w:fill="CFF0FC"/>
          </w:tcPr>
          <w:p>
            <w:pPr>
              <w:spacing w:after="0"/>
              <w:rPr>
                <w:sz w:val="19"/>
                <w:szCs w:val="19"/>
                <w:color w:val="auto"/>
              </w:rPr>
            </w:pP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60,792</w:t>
            </w:r>
          </w:p>
        </w:tc>
        <w:tc>
          <w:tcPr>
            <w:tcW w:w="120" w:type="dxa"/>
            <w:vAlign w:val="bottom"/>
          </w:tcPr>
          <w:p>
            <w:pPr>
              <w:spacing w:after="0"/>
              <w:rPr>
                <w:sz w:val="19"/>
                <w:szCs w:val="19"/>
                <w:color w:val="auto"/>
              </w:rPr>
            </w:pPr>
          </w:p>
        </w:tc>
      </w:tr>
      <w:tr>
        <w:trPr>
          <w:trHeight w:val="230"/>
        </w:trPr>
        <w:tc>
          <w:tcPr>
            <w:tcW w:w="86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59,774</w:t>
            </w:r>
          </w:p>
        </w:tc>
        <w:tc>
          <w:tcPr>
            <w:tcW w:w="120" w:type="dxa"/>
            <w:vAlign w:val="bottom"/>
            <w:shd w:val="clear" w:color="auto" w:fill="CFF0FC"/>
          </w:tcPr>
          <w:p>
            <w:pPr>
              <w:spacing w:after="0"/>
              <w:rPr>
                <w:sz w:val="19"/>
                <w:szCs w:val="19"/>
                <w:color w:val="auto"/>
              </w:rPr>
            </w:pP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Intangible assets (i)</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205,296</w:t>
            </w:r>
          </w:p>
        </w:tc>
        <w:tc>
          <w:tcPr>
            <w:tcW w:w="120" w:type="dxa"/>
            <w:vAlign w:val="bottom"/>
          </w:tcPr>
          <w:p>
            <w:pPr>
              <w:spacing w:after="0"/>
              <w:rPr>
                <w:sz w:val="19"/>
                <w:szCs w:val="19"/>
                <w:color w:val="auto"/>
              </w:rPr>
            </w:pPr>
          </w:p>
        </w:tc>
      </w:tr>
      <w:tr>
        <w:trPr>
          <w:trHeight w:val="230"/>
        </w:trPr>
        <w:tc>
          <w:tcPr>
            <w:tcW w:w="860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w:t>
            </w:r>
          </w:p>
        </w:tc>
        <w:tc>
          <w:tcPr>
            <w:tcW w:w="120" w:type="dxa"/>
            <w:vAlign w:val="bottom"/>
            <w:shd w:val="clear" w:color="auto" w:fill="CFF0FC"/>
          </w:tcPr>
          <w:p>
            <w:pPr>
              <w:spacing w:after="0"/>
              <w:rPr>
                <w:sz w:val="19"/>
                <w:szCs w:val="19"/>
                <w:color w:val="auto"/>
              </w:rPr>
            </w:pPr>
          </w:p>
        </w:tc>
      </w:tr>
      <w:tr>
        <w:trPr>
          <w:trHeight w:val="223"/>
        </w:trPr>
        <w:tc>
          <w:tcPr>
            <w:tcW w:w="860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352,126</w:t>
            </w:r>
          </w:p>
        </w:tc>
        <w:tc>
          <w:tcPr>
            <w:tcW w:w="120" w:type="dxa"/>
            <w:vAlign w:val="bottom"/>
          </w:tcPr>
          <w:p>
            <w:pPr>
              <w:spacing w:after="0"/>
              <w:rPr>
                <w:sz w:val="19"/>
                <w:szCs w:val="19"/>
                <w:color w:val="auto"/>
              </w:rPr>
            </w:pPr>
          </w:p>
        </w:tc>
      </w:tr>
      <w:tr>
        <w:trPr>
          <w:trHeight w:val="230"/>
        </w:trPr>
        <w:tc>
          <w:tcPr>
            <w:tcW w:w="86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(21,572)</w:t>
            </w: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(1,750)</w:t>
            </w:r>
          </w:p>
        </w:tc>
      </w:tr>
      <w:tr>
        <w:trPr>
          <w:trHeight w:val="223"/>
        </w:trPr>
        <w:tc>
          <w:tcPr>
            <w:tcW w:w="86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liabilities</w:t>
            </w:r>
          </w:p>
        </w:tc>
        <w:tc>
          <w:tcPr>
            <w:tcW w:w="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(23,322)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8600" w:type="dxa"/>
            <w:vAlign w:val="bottom"/>
          </w:tcPr>
          <w:p>
            <w:pPr>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328,804</w:t>
            </w:r>
          </w:p>
        </w:tc>
        <w:tc>
          <w:tcPr>
            <w:tcW w:w="120" w:type="dxa"/>
            <w:vAlign w:val="bottom"/>
          </w:tcPr>
          <w:p>
            <w:pPr>
              <w:spacing w:after="0"/>
              <w:rPr>
                <w:sz w:val="19"/>
                <w:szCs w:val="19"/>
                <w:color w:val="auto"/>
              </w:rPr>
            </w:pPr>
          </w:p>
        </w:tc>
      </w:tr>
      <w:tr>
        <w:trPr>
          <w:trHeight w:val="20"/>
        </w:trPr>
        <w:tc>
          <w:tcPr>
            <w:tcW w:w="8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right="40" w:hanging="552"/>
        <w:spacing w:after="0" w:line="277" w:lineRule="auto"/>
        <w:tabs>
          <w:tab w:leader="none" w:pos="5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Intangible assets consist of gaming license valued at $163.9 million, trade names valued at $12.6 million and player loyalty programs valued at $28.8 million.</w:t>
      </w:r>
    </w:p>
    <w:p>
      <w:pPr>
        <w:spacing w:after="0" w:line="170" w:lineRule="exact"/>
        <w:rPr>
          <w:sz w:val="20"/>
          <w:szCs w:val="20"/>
          <w:color w:val="auto"/>
        </w:rPr>
      </w:pPr>
    </w:p>
    <w:p>
      <w:pPr>
        <w:jc w:val="both"/>
        <w:ind w:right="140" w:firstLine="555"/>
        <w:spacing w:after="0" w:line="264" w:lineRule="auto"/>
        <w:rPr>
          <w:sz w:val="20"/>
          <w:szCs w:val="20"/>
          <w:color w:val="auto"/>
        </w:rPr>
      </w:pPr>
      <w:r>
        <w:rPr>
          <w:rFonts w:ascii="Arial" w:cs="Arial" w:eastAsia="Arial" w:hAnsi="Arial"/>
          <w:sz w:val="18"/>
          <w:szCs w:val="18"/>
          <w:color w:val="auto"/>
        </w:rPr>
        <w:t>During the three months ended December 31, 2018, the Company adjusted the Elgin preliminary purchase price accounting previously disclosed in our September 30, 2018 Form 10-Q filings, to their updated values. The updated purchase price accounting resulted in minimal changes due to refinements made by management.</w:t>
      </w:r>
    </w:p>
    <w:p>
      <w:pPr>
        <w:spacing w:after="0" w:line="181"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Valuation methodologies under both a market and income approach used for the identifiable net assets acquired in the Elgin Acquisition make use of Level 3 inputs including discounted cash flows.</w:t>
      </w:r>
    </w:p>
    <w:p>
      <w:pPr>
        <w:spacing w:after="0" w:line="170"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color w:val="auto"/>
        </w:rPr>
        <w:t>Trade receivables and payables, inventory and other current and noncurrent assets and liabilities were valued at the existing carrying values as they represented the estimated fair value of those items at the Elgin Acquisition date.</w:t>
      </w:r>
    </w:p>
    <w:p>
      <w:pPr>
        <w:spacing w:after="0" w:line="170"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The fair value of land was determined using the market approach, which arrives at an indication of value by comparing the site being valued to sites that have been recently acquired in arm’s-length transactions. The market data is then adjusted for any significant differences, to the extent known, between the identified comparable sites and the site being valued. Building and site improvements were valued using the cost approach using a direct cost model built on estimates of replacement cost. With respect to personal property components of the assets, personal property assets with an active and identifiable secondary market such as riverboats, gaming equipment, computer equipment and vehicles were valued using the market approach. Other personal property assets such as furniture, fixtures, computer software, and restaurant equipment were valued using the cost approach which is based on replacement or reproduction costs of the asset.</w:t>
      </w:r>
    </w:p>
    <w:p>
      <w:pPr>
        <w:spacing w:after="0" w:line="189"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The cost approach is an estimation of fair value developed by computing the current cost of replacing a property and subtracting any depreciation resulting from one or more of the following factors: physical deterioration, functional obsolescence, and/or economic obsolescence. The income approach incorporates all tangible and intangible property and served as a ceiling for the fair values of the acquired assets of the ongoing business enterprise, while still taking into account the premise of highest and best use.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94" w:name="page95"/>
    <w:bookmarkEnd w:id="94"/>
    <w:p>
      <w:pPr>
        <w:ind w:right="40" w:firstLine="555"/>
        <w:spacing w:after="0" w:line="270" w:lineRule="auto"/>
        <w:rPr>
          <w:sz w:val="20"/>
          <w:szCs w:val="20"/>
          <w:color w:val="auto"/>
        </w:rPr>
      </w:pPr>
      <w:r>
        <w:rPr>
          <w:rFonts w:ascii="Arial" w:cs="Arial" w:eastAsia="Arial" w:hAnsi="Arial"/>
          <w:sz w:val="17"/>
          <w:szCs w:val="17"/>
          <w:color w:val="auto"/>
        </w:rPr>
        <w:t>The fair value of the gaming license was determined using the multi period excess earnings method. The excess earnings methodology, which is an income approach methodology that allocates the projected cash flows of the business to the gaming license intangible assets less charges for the use of other identifiable assets of Elgin including working capital, fixed assets and other intangible assets. This methodology was considered appropriate as the gaming license is the primary asset of Elgin. The property’s estimated future cash flows were the primary assumption in the respective valuations. Cash flow estimates included net gaming revenue, gaming operating expenses, general and administrative expenses, and tax expense. The renewal of the gaming license depends on a number of factors, including payment of certain fees and taxes, providing certain information to the state’s gaming regulator, and meeting certain inspection requirements. However, ERI’s historical experience has not indicated, nor does ERI expect, any limitations regarding its ability to continue to renew the license. No other competitive, contractual, or economic factor limits the useful lives of this asset. Accordingly, ERI has concluded that the useful life of this license is indefinite.</w:t>
      </w:r>
    </w:p>
    <w:p>
      <w:pPr>
        <w:spacing w:after="0" w:line="182" w:lineRule="exact"/>
        <w:rPr>
          <w:sz w:val="20"/>
          <w:szCs w:val="20"/>
          <w:color w:val="auto"/>
        </w:rPr>
      </w:pPr>
    </w:p>
    <w:p>
      <w:pPr>
        <w:ind w:right="180" w:firstLine="555"/>
        <w:spacing w:after="0" w:line="257" w:lineRule="auto"/>
        <w:rPr>
          <w:sz w:val="20"/>
          <w:szCs w:val="20"/>
          <w:color w:val="auto"/>
        </w:rPr>
      </w:pPr>
      <w:r>
        <w:rPr>
          <w:rFonts w:ascii="Arial" w:cs="Arial" w:eastAsia="Arial" w:hAnsi="Arial"/>
          <w:sz w:val="18"/>
          <w:szCs w:val="18"/>
          <w:color w:val="auto"/>
        </w:rPr>
        <w:t>The player loyalty program was valued using the cost approach and the incremental cash flow method under the income approach. The incremental cash flow method is used to estimate the fair value of an intangible asset based on a residual cash flow notion. This method measures the benefits (e.g., cash flows) derived from ownership of an acquired intangible asset as if it were in place, as compared to the acquirer’s expected cash flows as if the intangible asset were not in place (i.e., with-and-without). The residual or net cash flows of the two models is ascribable to the intangible asset. The Company has preliminarily estimated a 4-year useful life on the player loyalty programs.</w:t>
      </w:r>
    </w:p>
    <w:p>
      <w:pPr>
        <w:spacing w:after="0" w:line="188" w:lineRule="exact"/>
        <w:rPr>
          <w:sz w:val="20"/>
          <w:szCs w:val="20"/>
          <w:color w:val="auto"/>
        </w:rPr>
      </w:pPr>
    </w:p>
    <w:p>
      <w:pPr>
        <w:ind w:right="20" w:firstLine="555"/>
        <w:spacing w:after="0" w:line="219" w:lineRule="exact"/>
        <w:rPr>
          <w:sz w:val="20"/>
          <w:szCs w:val="20"/>
          <w:color w:val="auto"/>
        </w:rPr>
      </w:pPr>
      <w:r>
        <w:rPr>
          <w:rFonts w:ascii="Arial" w:cs="Arial" w:eastAsia="Arial" w:hAnsi="Arial"/>
          <w:sz w:val="18"/>
          <w:szCs w:val="18"/>
          <w:color w:val="auto"/>
        </w:rPr>
        <w:t>The trade name was valued using the relief</w:t>
      </w:r>
      <w:r>
        <w:rPr>
          <w:rFonts w:ascii="MS PGothic" w:cs="MS PGothic" w:eastAsia="MS PGothic" w:hAnsi="MS PGothic"/>
          <w:sz w:val="18"/>
          <w:szCs w:val="18"/>
          <w:color w:val="auto"/>
        </w:rPr>
        <w:t>‑</w:t>
      </w:r>
      <w:r>
        <w:rPr>
          <w:rFonts w:ascii="Arial" w:cs="Arial" w:eastAsia="Arial" w:hAnsi="Arial"/>
          <w:sz w:val="18"/>
          <w:szCs w:val="18"/>
          <w:color w:val="auto"/>
        </w:rPr>
        <w:t>from</w:t>
      </w:r>
      <w:r>
        <w:rPr>
          <w:rFonts w:ascii="MS PGothic" w:cs="MS PGothic" w:eastAsia="MS PGothic" w:hAnsi="MS PGothic"/>
          <w:sz w:val="18"/>
          <w:szCs w:val="18"/>
          <w:color w:val="auto"/>
        </w:rPr>
        <w:t>‑</w:t>
      </w:r>
      <w:r>
        <w:rPr>
          <w:rFonts w:ascii="Arial" w:cs="Arial" w:eastAsia="Arial" w:hAnsi="Arial"/>
          <w:sz w:val="18"/>
          <w:szCs w:val="18"/>
          <w:color w:val="auto"/>
        </w:rPr>
        <w:t>royalty method. The primary assumptions in the valuation included revenue, pre-tax royalty rate, and tax expense. ERI has assigned the trade name an indefinite useful life after considering, among other things, the expected use of the asset, the expected useful life of other related assets or asset groups, any legal, regulatory, or contractual provisions that may limit the useful life, ERI’s own historical experience in renewing similar arrangements, the effects of obsolescence, demand and other economic factors, and the maintenance expenditures required to obtain the expected cash flows. In that analysis, ERI determined that no legal, regulatory, contractual, competitive, economic or other factors limit the useful lives of these intangible assets.</w:t>
      </w:r>
    </w:p>
    <w:p>
      <w:pPr>
        <w:spacing w:after="0" w:line="203"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color w:val="auto"/>
        </w:rPr>
        <w:t>Goodwill is the result of expected synergies from combining operations of the acquired and acquirer. The goodwill acquired is fully amortizable for tax purposes.</w:t>
      </w:r>
    </w:p>
    <w:p>
      <w:pPr>
        <w:spacing w:after="0" w:line="170"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color w:val="auto"/>
        </w:rPr>
        <w:t>For the period from the Elgin acquisition date on August 7, 2018 through December 31, 2018, Elgin generated net revenues of $63.0 million and net income of $7.6 million.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Final Purchase Price Accounting</w:t>
      </w:r>
    </w:p>
    <w:p>
      <w:pPr>
        <w:spacing w:after="0" w:line="117"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color w:val="auto"/>
        </w:rPr>
        <w:t>On May 1, 2017, the Company completed its acquisition of Isle. As of March 31, 2018, the Company finalized its purchase price accounting related to the Isle Acquisition. The total purchase consideration in the Isle Acquisition was determined with reference to the fair value on the date of the Merger Agreement relating to the Isle Acquisition (the “Isle Merger Agreement”)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gridSpan w:val="2"/>
          </w:tcPr>
          <w:p>
            <w:pPr>
              <w:spacing w:after="0"/>
              <w:rPr>
                <w:sz w:val="20"/>
                <w:szCs w:val="20"/>
                <w:color w:val="auto"/>
              </w:rPr>
            </w:pPr>
            <w:r>
              <w:rPr>
                <w:rFonts w:ascii="Arial" w:cs="Arial" w:eastAsia="Arial" w:hAnsi="Arial"/>
                <w:sz w:val="14"/>
                <w:szCs w:val="14"/>
                <w:b w:val="1"/>
                <w:bCs w:val="1"/>
                <w:color w:val="auto"/>
              </w:rPr>
              <w:t>Purchase consideration calculation (dollars in thousands, except shares and stock price)</w:t>
            </w:r>
          </w:p>
        </w:tc>
        <w:tc>
          <w:tcPr>
            <w:tcW w:w="1240" w:type="dxa"/>
            <w:vAlign w:val="bottom"/>
          </w:tcPr>
          <w:p>
            <w:pPr>
              <w:ind w:left="42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3"/>
          </w:tcPr>
          <w:p>
            <w:pPr>
              <w:jc w:val="right"/>
              <w:ind w:right="870"/>
              <w:spacing w:after="0"/>
              <w:rPr>
                <w:sz w:val="20"/>
                <w:szCs w:val="20"/>
                <w:color w:val="auto"/>
              </w:rPr>
            </w:pPr>
            <w:r>
              <w:rPr>
                <w:rFonts w:ascii="Arial" w:cs="Arial" w:eastAsia="Arial" w:hAnsi="Arial"/>
                <w:sz w:val="14"/>
                <w:szCs w:val="14"/>
                <w:b w:val="1"/>
                <w:bCs w:val="1"/>
                <w:color w:val="auto"/>
              </w:rPr>
              <w:t>Per share</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6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 paid for outstanding Isle common stock (1)</w:t>
            </w:r>
          </w:p>
        </w:tc>
        <w:tc>
          <w:tcPr>
            <w:tcW w:w="20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CFF0FC"/>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552,050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Shares of ERI common stock issued for Isle common stock (2)</w:t>
            </w:r>
          </w:p>
        </w:tc>
        <w:tc>
          <w:tcPr>
            <w:tcW w:w="1240" w:type="dxa"/>
            <w:vAlign w:val="bottom"/>
          </w:tcPr>
          <w:p>
            <w:pPr>
              <w:ind w:left="420"/>
              <w:spacing w:after="0"/>
              <w:rPr>
                <w:sz w:val="20"/>
                <w:szCs w:val="20"/>
                <w:color w:val="auto"/>
              </w:rPr>
            </w:pPr>
            <w:r>
              <w:rPr>
                <w:rFonts w:ascii="Arial" w:cs="Arial" w:eastAsia="Arial" w:hAnsi="Arial"/>
                <w:sz w:val="18"/>
                <w:szCs w:val="18"/>
                <w:color w:val="auto"/>
                <w:w w:val="88"/>
              </w:rPr>
              <w:t>28,468,182</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19.12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544,312</w:t>
            </w:r>
          </w:p>
        </w:tc>
        <w:tc>
          <w:tcPr>
            <w:tcW w:w="100" w:type="dxa"/>
            <w:vAlign w:val="bottom"/>
          </w:tcPr>
          <w:p>
            <w:pPr>
              <w:spacing w:after="0"/>
              <w:rPr>
                <w:sz w:val="19"/>
                <w:szCs w:val="19"/>
                <w:color w:val="auto"/>
              </w:rPr>
            </w:pPr>
          </w:p>
        </w:tc>
      </w:tr>
      <w:tr>
        <w:trPr>
          <w:trHeight w:val="230"/>
        </w:trPr>
        <w:tc>
          <w:tcPr>
            <w:tcW w:w="6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paid by ERI to retire Isle's long-term debt (3)</w:t>
            </w:r>
          </w:p>
        </w:tc>
        <w:tc>
          <w:tcPr>
            <w:tcW w:w="1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828,000</w:t>
            </w:r>
          </w:p>
        </w:tc>
        <w:tc>
          <w:tcPr>
            <w:tcW w:w="100" w:type="dxa"/>
            <w:vAlign w:val="bottom"/>
            <w:shd w:val="clear" w:color="auto" w:fill="CFF0FC"/>
          </w:tcPr>
          <w:p>
            <w:pPr>
              <w:spacing w:after="0"/>
              <w:rPr>
                <w:sz w:val="19"/>
                <w:szCs w:val="19"/>
                <w:color w:val="auto"/>
              </w:rPr>
            </w:pPr>
          </w:p>
        </w:tc>
      </w:tr>
      <w:tr>
        <w:trPr>
          <w:trHeight w:val="230"/>
        </w:trPr>
        <w:tc>
          <w:tcPr>
            <w:tcW w:w="69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Shares of ERI common stock for Isle equity awards (4)</w:t>
            </w:r>
          </w:p>
        </w:tc>
        <w:tc>
          <w:tcPr>
            <w:tcW w:w="124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10,383</w:t>
            </w:r>
          </w:p>
        </w:tc>
        <w:tc>
          <w:tcPr>
            <w:tcW w:w="100" w:type="dxa"/>
            <w:vAlign w:val="bottom"/>
            <w:tcBorders>
              <w:bottom w:val="single" w:sz="8" w:color="CFF0FC"/>
            </w:tcBorders>
          </w:tcPr>
          <w:p>
            <w:pPr>
              <w:spacing w:after="0"/>
              <w:rPr>
                <w:sz w:val="19"/>
                <w:szCs w:val="19"/>
                <w:color w:val="auto"/>
              </w:rPr>
            </w:pPr>
          </w:p>
        </w:tc>
      </w:tr>
      <w:tr>
        <w:trPr>
          <w:trHeight w:val="223"/>
        </w:trPr>
        <w:tc>
          <w:tcPr>
            <w:tcW w:w="694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Purchase consideration</w:t>
            </w:r>
          </w:p>
        </w:tc>
        <w:tc>
          <w:tcPr>
            <w:tcW w:w="1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1,934,745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right="320" w:hanging="552"/>
        <w:spacing w:after="0" w:line="279" w:lineRule="auto"/>
        <w:tabs>
          <w:tab w:leader="none" w:pos="5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cash component of the consideration represents 58% of the aggregate consideration paid in the Isle Acquisition. The Isle Merger Agreement provided that Isle stockholders could elect to exchange each share of Isle common stock for either $23.00 in cash or 1.638 shares of ERI common stock, subject to proration such that the outstanding shares of Isle common stock will be exchanged for aggregate consideration comprised of 58% cash and 42% ERI common stock. See discussion of the stock consideration component in note (2) below.</w:t>
      </w:r>
    </w:p>
    <w:p>
      <w:pPr>
        <w:spacing w:after="0" w:line="63" w:lineRule="exact"/>
        <w:rPr>
          <w:rFonts w:ascii="Arial" w:cs="Arial" w:eastAsia="Arial" w:hAnsi="Arial"/>
          <w:sz w:val="17"/>
          <w:szCs w:val="17"/>
          <w:color w:val="auto"/>
        </w:rPr>
      </w:pPr>
    </w:p>
    <w:p>
      <w:pPr>
        <w:ind w:left="560" w:right="60" w:hanging="552"/>
        <w:spacing w:after="0" w:line="302" w:lineRule="auto"/>
        <w:tabs>
          <w:tab w:leader="none" w:pos="5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Stock Consideration component of the consideration represents 42% of the aggregate consideration paid in the Isle Acquisition. The Merger Agreement provided that 58% of the aggregate consideration would be paid by ERI in cash, as described in note (1) above. The remaining 42% of the aggregate consideration was paid in shares of ERI common stock. The total Stock Consideration and per share consideration above were based on the ERI stock price on April 28, 2017 (the last business day prior to Isle Acquisition Date) which was $19.12 per share.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5" w:name="page96"/>
    <w:bookmarkEnd w:id="95"/>
    <w:p>
      <w:pPr>
        <w:ind w:left="560" w:hanging="552"/>
        <w:spacing w:after="0"/>
        <w:tabs>
          <w:tab w:leader="none" w:pos="5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 addition to the cash paid to retire the principal amounts outstanding of Isle’s long-term debt, ERI paid $26.6 million in premiums and interest.</w:t>
      </w:r>
    </w:p>
    <w:p>
      <w:pPr>
        <w:spacing w:after="0" w:line="128" w:lineRule="exact"/>
        <w:rPr>
          <w:rFonts w:ascii="Arial" w:cs="Arial" w:eastAsia="Arial" w:hAnsi="Arial"/>
          <w:sz w:val="17"/>
          <w:szCs w:val="17"/>
          <w:color w:val="auto"/>
        </w:rPr>
      </w:pPr>
    </w:p>
    <w:p>
      <w:pPr>
        <w:ind w:left="560" w:right="100" w:hanging="552"/>
        <w:spacing w:after="0" w:line="286" w:lineRule="auto"/>
        <w:tabs>
          <w:tab w:leader="none" w:pos="5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This amount represents consideration paid for the replacement of Isle’s outstanding equity awards. As discussed in Note 1, Isle’s outstanding equity awards were replaced by ERI equity awards with similar terms. A portion of the fair value of ERI awards issued represents consideration transferred, while a portion represents compensation expense based on the vesting terms of the equity awards.</w:t>
      </w:r>
    </w:p>
    <w:p>
      <w:pPr>
        <w:spacing w:after="0" w:line="166"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The following table summarizes the purchase accounting of the purchase consideration to the identifiable assets acquired and liabilities assumed in the Isle Acquisition as of the Isle Acquisition Date, with the excess recorded as goodwill. The fair values were based on management’s analysis, including work performed by third-party valuation specialists. The following table summarizes our final purchase price accounting of the acquired assets and liabilities as of December 31, 2018 (dollars in thousands):</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Current and other assets, net</w:t>
            </w:r>
          </w:p>
        </w:tc>
        <w:tc>
          <w:tcPr>
            <w:tcW w:w="374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135,925</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908,816</w:t>
            </w: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3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709,087</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Intangible assets (i)</w:t>
            </w:r>
          </w:p>
        </w:tc>
        <w:tc>
          <w:tcPr>
            <w:tcW w:w="3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517,470</w:t>
            </w: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33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15,082</w:t>
            </w:r>
          </w:p>
        </w:tc>
        <w:tc>
          <w:tcPr>
            <w:tcW w:w="120" w:type="dxa"/>
            <w:vAlign w:val="bottom"/>
            <w:shd w:val="clear" w:color="auto" w:fill="CFF0FC"/>
          </w:tcPr>
          <w:p>
            <w:pPr>
              <w:spacing w:after="0"/>
              <w:rPr>
                <w:sz w:val="19"/>
                <w:szCs w:val="19"/>
                <w:color w:val="auto"/>
              </w:rPr>
            </w:pPr>
          </w:p>
        </w:tc>
      </w:tr>
      <w:tr>
        <w:trPr>
          <w:trHeight w:val="223"/>
        </w:trPr>
        <w:tc>
          <w:tcPr>
            <w:tcW w:w="53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assets</w:t>
            </w:r>
          </w:p>
        </w:tc>
        <w:tc>
          <w:tcPr>
            <w:tcW w:w="33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2,286,380</w:t>
            </w:r>
          </w:p>
        </w:tc>
        <w:tc>
          <w:tcPr>
            <w:tcW w:w="120" w:type="dxa"/>
            <w:vAlign w:val="bottom"/>
            <w:tcBorders>
              <w:bottom w:val="single" w:sz="8" w:color="CFF0FC"/>
            </w:tcBorders>
          </w:tcPr>
          <w:p>
            <w:pPr>
              <w:spacing w:after="0"/>
              <w:rPr>
                <w:sz w:val="19"/>
                <w:szCs w:val="19"/>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(144,306)</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Deferred income taxes (ii)</w:t>
            </w:r>
          </w:p>
        </w:tc>
        <w:tc>
          <w:tcPr>
            <w:tcW w:w="3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(189,952)</w:t>
            </w: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3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(17,377)</w:t>
            </w:r>
          </w:p>
        </w:tc>
      </w:tr>
      <w:tr>
        <w:trPr>
          <w:trHeight w:val="223"/>
        </w:trPr>
        <w:tc>
          <w:tcPr>
            <w:tcW w:w="53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liabilities</w:t>
            </w:r>
          </w:p>
        </w:tc>
        <w:tc>
          <w:tcPr>
            <w:tcW w:w="330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(351,635)</w:t>
            </w:r>
          </w:p>
        </w:tc>
        <w:tc>
          <w:tcPr>
            <w:tcW w:w="120" w:type="dxa"/>
            <w:vAlign w:val="bottom"/>
            <w:tcBorders>
              <w:bottom w:val="single" w:sz="8" w:color="CFF0FC"/>
            </w:tcBorders>
          </w:tcPr>
          <w:p>
            <w:pPr>
              <w:spacing w:after="0"/>
              <w:rPr>
                <w:sz w:val="19"/>
                <w:szCs w:val="19"/>
                <w:color w:val="auto"/>
              </w:rPr>
            </w:pPr>
          </w:p>
        </w:tc>
      </w:tr>
      <w:tr>
        <w:trPr>
          <w:trHeight w:val="223"/>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assets acquired</w:t>
            </w:r>
          </w:p>
        </w:tc>
        <w:tc>
          <w:tcPr>
            <w:tcW w:w="33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1,934,745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right="320" w:hanging="552"/>
        <w:spacing w:after="0" w:line="277" w:lineRule="auto"/>
        <w:tabs>
          <w:tab w:leader="none" w:pos="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Intangible assets consist of gaming licenses valued at $395.1 million, trade names valued at $108.3 million, and player loyalty programs valued at $14.1 million.</w:t>
      </w:r>
    </w:p>
    <w:p>
      <w:pPr>
        <w:spacing w:after="0" w:line="62" w:lineRule="exact"/>
        <w:rPr>
          <w:rFonts w:ascii="Arial" w:cs="Arial" w:eastAsia="Arial" w:hAnsi="Arial"/>
          <w:sz w:val="18"/>
          <w:szCs w:val="18"/>
          <w:color w:val="auto"/>
        </w:rPr>
      </w:pPr>
    </w:p>
    <w:p>
      <w:pPr>
        <w:ind w:left="560" w:hanging="552"/>
        <w:spacing w:after="0"/>
        <w:tabs>
          <w:tab w:leader="none" w:pos="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Deferred tax liabilities were derived based on fair value adjustments for property and equipment and identified intangibles.</w:t>
      </w:r>
    </w:p>
    <w:p>
      <w:pPr>
        <w:spacing w:after="0" w:line="225" w:lineRule="exact"/>
        <w:rPr>
          <w:sz w:val="20"/>
          <w:szCs w:val="20"/>
          <w:color w:val="auto"/>
        </w:rPr>
      </w:pPr>
    </w:p>
    <w:p>
      <w:pPr>
        <w:ind w:firstLine="555"/>
        <w:spacing w:after="0" w:line="302" w:lineRule="auto"/>
        <w:rPr>
          <w:sz w:val="20"/>
          <w:szCs w:val="20"/>
          <w:color w:val="auto"/>
        </w:rPr>
      </w:pPr>
      <w:r>
        <w:rPr>
          <w:rFonts w:ascii="Arial" w:cs="Arial" w:eastAsia="Arial" w:hAnsi="Arial"/>
          <w:sz w:val="16"/>
          <w:szCs w:val="16"/>
          <w:color w:val="auto"/>
        </w:rPr>
        <w:t>During the three months ended March 31, 2018, the Company finalized its valuation procedures and adjusted the Isle of Capri preliminary purchase price accounting, as disclosed in the Annual Report on Form 10-K for the year ended December 31, 2017, to their updated values. Except for other long-term liabilities related to Bettendorf and Nemacolin (see Note 11) and a corresponding goodwill adjustment totaling $6.1 million (net of tax), the finalization of our purchase price accounting resulted in minimal changes and refinements by management as of, and for the three months ended, March 31, 2018.</w:t>
      </w:r>
    </w:p>
    <w:p>
      <w:pPr>
        <w:spacing w:after="0" w:line="154" w:lineRule="exact"/>
        <w:rPr>
          <w:sz w:val="20"/>
          <w:szCs w:val="20"/>
          <w:color w:val="auto"/>
        </w:rPr>
      </w:pPr>
    </w:p>
    <w:p>
      <w:pPr>
        <w:ind w:right="260" w:firstLine="555"/>
        <w:spacing w:after="0" w:line="277" w:lineRule="auto"/>
        <w:rPr>
          <w:sz w:val="20"/>
          <w:szCs w:val="20"/>
          <w:color w:val="auto"/>
        </w:rPr>
      </w:pPr>
      <w:r>
        <w:rPr>
          <w:rFonts w:ascii="Arial" w:cs="Arial" w:eastAsia="Arial" w:hAnsi="Arial"/>
          <w:sz w:val="18"/>
          <w:szCs w:val="18"/>
          <w:color w:val="auto"/>
        </w:rPr>
        <w:t>Valuation methodologies under both a market and income approach used for the identifiable net assets acquired in the Isle Acquisition make use of Level 3 inputs.</w:t>
      </w:r>
    </w:p>
    <w:p>
      <w:pPr>
        <w:spacing w:after="0" w:line="170" w:lineRule="exact"/>
        <w:rPr>
          <w:sz w:val="20"/>
          <w:szCs w:val="20"/>
          <w:color w:val="auto"/>
        </w:rPr>
      </w:pPr>
    </w:p>
    <w:p>
      <w:pPr>
        <w:ind w:right="240" w:firstLine="555"/>
        <w:spacing w:after="0" w:line="308" w:lineRule="auto"/>
        <w:rPr>
          <w:sz w:val="20"/>
          <w:szCs w:val="20"/>
          <w:color w:val="auto"/>
        </w:rPr>
      </w:pPr>
      <w:r>
        <w:rPr>
          <w:rFonts w:ascii="Arial" w:cs="Arial" w:eastAsia="Arial" w:hAnsi="Arial"/>
          <w:sz w:val="17"/>
          <w:szCs w:val="17"/>
          <w:color w:val="auto"/>
        </w:rPr>
        <w:t>Trade receivables and payables, inventory and other current and noncurrent assets and liabilities were valued at the existing carrying values as they represented the estimated fair value of those items at the Isle Acquisition Date, based on management’s judgement and estimates.</w:t>
      </w:r>
    </w:p>
    <w:p>
      <w:pPr>
        <w:spacing w:after="0" w:line="147"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color w:val="auto"/>
        </w:rPr>
        <w:t>The fair value of land was determined using the market approach, which arrives at an indication of value by comparing the site being valued to sites that have been recently acquired in arm’s-length transactions. The market data is then adjusted for any significant differences, to the extent known, between the identified comparable sites and the site being valued. Building and site improvements were valued using the cost approach using a direct cost model built on estimates of replacement cost. With respect to personal property components of the assets, personal property assets with an active and identifiable secondary market such as riverboats, gaming equipment, computer equipment and vehicles were valued using the market approach. Other personal property assets such as furniture, fixtures, computer software, and restaurant equipment were valued using the cost approach which is based on replacement or reproduction costs of the asset.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96" w:name="page97"/>
    <w:bookmarkEnd w:id="96"/>
    <w:p>
      <w:pPr>
        <w:ind w:right="40" w:firstLine="555"/>
        <w:spacing w:after="0" w:line="273" w:lineRule="auto"/>
        <w:rPr>
          <w:sz w:val="20"/>
          <w:szCs w:val="20"/>
          <w:color w:val="auto"/>
        </w:rPr>
      </w:pPr>
      <w:r>
        <w:rPr>
          <w:rFonts w:ascii="Arial" w:cs="Arial" w:eastAsia="Arial" w:hAnsi="Arial"/>
          <w:sz w:val="17"/>
          <w:szCs w:val="17"/>
          <w:color w:val="auto"/>
        </w:rPr>
        <w:t>The cost approach is an estimation of fair value developed by computing the current cost of replacing a property and subtracting any depreciation resulting from one or more of the following factors: physical deterioration, functional obsolescence, and/or economic obsolescence. The income approach incorporates all tangible and intangible property and served as a ceiling for the fair values of the acquired assets of the ongoing business enterprise, while still taking into account the premise of highest and best use. In the instance where the business enterprise value developed via the income approach was exceeded by the initial fair values of the underlying assets, an adjustment to reflect economic obsolescence was made to the tangible assets on a pro rata basis to reflect the contributory value of each individual asset to the enterprise as a whole.</w:t>
      </w:r>
    </w:p>
    <w:p>
      <w:pPr>
        <w:spacing w:after="0" w:line="178" w:lineRule="exact"/>
        <w:rPr>
          <w:sz w:val="20"/>
          <w:szCs w:val="20"/>
          <w:color w:val="auto"/>
        </w:rPr>
      </w:pPr>
    </w:p>
    <w:p>
      <w:pPr>
        <w:ind w:firstLine="555"/>
        <w:spacing w:after="0" w:line="253" w:lineRule="auto"/>
        <w:rPr>
          <w:sz w:val="20"/>
          <w:szCs w:val="20"/>
          <w:color w:val="auto"/>
        </w:rPr>
      </w:pPr>
      <w:r>
        <w:rPr>
          <w:rFonts w:ascii="Arial" w:cs="Arial" w:eastAsia="Arial" w:hAnsi="Arial"/>
          <w:sz w:val="18"/>
          <w:szCs w:val="18"/>
          <w:color w:val="auto"/>
        </w:rPr>
        <w:t>The fair value of the gaming licenses was determined using the excess earnings or replacement cost methodology based on the respective states’ legislation. The excess earnings methodology, which is an income approach methodology that allocates the projected cash flows of the business to the gaming license intangible assets less charges for the use of other identifiable assets of Isle including working capital, fixed assets and other intangible assets. This methodology was considered appropriate as the gaming licenses are the primary asset of Isle and the licenses are linked to each respective facility. Under the respective state’s gaming legislation, the property specific licenses can only be acquired if a theoretical buyer were to acquire each existing facility. The existing licenses could not be acquired and used for a different facility. The properties’ estimated future cash flows were the primary assumption in the respective valuations. Cash flow estimates included net gaming revenue, gaming operating expenses, general and administrative expenses, and tax expense. The replacement cost methodology is a cost approach methodology based on replacement or reproduction cost of the gaming license as an indicator of fair value.</w:t>
      </w:r>
    </w:p>
    <w:p>
      <w:pPr>
        <w:spacing w:after="0" w:line="197"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Player loyalty programs were valued using the cost approach and the incremental cash flow method under the income approach. The incremental cash flow method is used to estimate the fair value of an intangible asset based on a residual cash flow notion. This method measures the benefits (e.g., cash flows) derived from ownership of an acquired intangible asset as if it were in place, as compared to the acquirer’s expected cash flows as if the intangible asset were not in place (i.e., with-and-without). The residual or net cash flows of the two models is ascribable to the intangible asset. The Company has estimated a 3-year useful life on the player loyalty programs.</w:t>
      </w:r>
    </w:p>
    <w:p>
      <w:pPr>
        <w:spacing w:after="0" w:line="188" w:lineRule="exact"/>
        <w:rPr>
          <w:sz w:val="20"/>
          <w:szCs w:val="20"/>
          <w:color w:val="auto"/>
        </w:rPr>
      </w:pPr>
    </w:p>
    <w:p>
      <w:pPr>
        <w:ind w:right="20" w:firstLine="555"/>
        <w:spacing w:after="0" w:line="254" w:lineRule="auto"/>
        <w:rPr>
          <w:sz w:val="20"/>
          <w:szCs w:val="20"/>
          <w:color w:val="auto"/>
        </w:rPr>
      </w:pPr>
      <w:r>
        <w:rPr>
          <w:rFonts w:ascii="Arial" w:cs="Arial" w:eastAsia="Arial" w:hAnsi="Arial"/>
          <w:sz w:val="18"/>
          <w:szCs w:val="18"/>
          <w:color w:val="auto"/>
        </w:rPr>
        <w:t>Trademarks are valued using the relief from royalty method, which presumes that without ownership of such trademarks, ERI would have to make a stream of payments to a brand or franchise owner in return for the right to use their name. By virtue of this asset, ERI avoids any such payments and record the related intangible value of ERI’s ownership of the brand name. The primary assumptions in the valuation included revenue, pre-tax royalty rate, and tax expense. ERI has assigned the trade name an indefinite useful life after considering, among other things, the expected use of the asset, the expected useful life of other related assets or asset groups, any legal, regulatory, or contractual provisions that may limit the useful life, ERI’s own historical experience in renewing similar arrangements, the effects of obsolescence, demand and other economic factors, and the maintenance expenditures required to obtain the expected cash flows. In that analysis, ERI determined that no legal, regulatory, contractual, competitive, economic or other factors limit the useful lives of these intangible assets.</w:t>
      </w:r>
    </w:p>
    <w:p>
      <w:pPr>
        <w:spacing w:after="0" w:line="192" w:lineRule="exact"/>
        <w:rPr>
          <w:sz w:val="20"/>
          <w:szCs w:val="20"/>
          <w:color w:val="auto"/>
        </w:rPr>
      </w:pPr>
    </w:p>
    <w:p>
      <w:pPr>
        <w:ind w:right="60" w:firstLine="555"/>
        <w:spacing w:after="0" w:line="270" w:lineRule="auto"/>
        <w:rPr>
          <w:sz w:val="20"/>
          <w:szCs w:val="20"/>
          <w:color w:val="auto"/>
        </w:rPr>
      </w:pPr>
      <w:r>
        <w:rPr>
          <w:rFonts w:ascii="Arial" w:cs="Arial" w:eastAsia="Arial" w:hAnsi="Arial"/>
          <w:sz w:val="17"/>
          <w:szCs w:val="17"/>
          <w:color w:val="auto"/>
        </w:rPr>
        <w:t>ERI has assigned an indefinite useful life to the gaming licenses, in accordance with its review of the applicable guidance of ASC Topic 350, Intangibles-Goodwill and Other (“ASC 350”). The standard required ERI to consider, among other things, the expected use of the asset, the expected useful life of other related assets or asset groups, any legal, regulatory, or contractual provisions that may limit the useful life, ERI’s own historical experience in renewing similar arrangements, the effects of obsolescence, demand and other economic factors, and the maintenance expenditures required to obtain the expected cash flows. In that analysis, ERI determined that no legal, regulatory, contractual, competitive, economic or other factors limit the useful lives of these intangible assets. The acquired Isle properties currently have licenses in Louisiana, Pennsylvania, Iowa, Missouri, Mississippi, Florida and Colorado. The renewal of each state’s gaming license depends on a number of factors, including payment of certain fees and taxes, providing certain information to the state’s gaming regulator, and meeting certain inspection requirements. However, ERI’s historical experience has not indicated, nor does ERI expect, any limitations regarding its ability to continue to renew each license. No other competitive, contractual, or economic factor limits the useful lives of these assets. Accordingly, ERI has concluded that the useful lives of these licenses are indefinite.</w:t>
      </w:r>
    </w:p>
    <w:p>
      <w:pPr>
        <w:spacing w:after="0" w:line="178"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color w:val="auto"/>
        </w:rPr>
        <w:t>For the period from the Isle Acquisition date of May 1, 2017 through December 31, 2017, Isle and its subsidiaries generated net revenue of $600.1 million and net income of $102.5 million.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w:t>
      </w:r>
    </w:p>
    <w:p>
      <w:pPr>
        <w:spacing w:after="0" w:line="117"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color w:val="auto"/>
        </w:rPr>
        <w:t>The following unaudited pro forma information presents the results of operations of the Company for the year ended December 31, 2018 and 2017, as if the Tropicana Acquisition had occurred on January 1, 2017 (in thousands).</w:t>
      </w:r>
    </w:p>
    <w:p>
      <w:pPr>
        <w:spacing w:after="0" w:line="203"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14"/>
                <w:szCs w:val="14"/>
                <w:color w:val="auto"/>
              </w:rPr>
            </w:pPr>
          </w:p>
        </w:tc>
        <w:tc>
          <w:tcPr>
            <w:tcW w:w="1780" w:type="dxa"/>
            <w:vAlign w:val="bottom"/>
            <w:gridSpan w:val="2"/>
          </w:tcPr>
          <w:p>
            <w:pPr>
              <w:ind w:left="380"/>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12"/>
                <w:szCs w:val="12"/>
                <w:color w:val="auto"/>
              </w:rPr>
            </w:pPr>
          </w:p>
        </w:tc>
        <w:tc>
          <w:tcPr>
            <w:tcW w:w="178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4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78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Net operating revenues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2,735,760</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2,361,372</w:t>
            </w:r>
          </w:p>
        </w:tc>
        <w:tc>
          <w:tcPr>
            <w:tcW w:w="100" w:type="dxa"/>
            <w:vAlign w:val="bottom"/>
            <w:shd w:val="clear" w:color="auto" w:fill="CFF0FC"/>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92,556</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16,651</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ind w:right="280" w:firstLine="555"/>
        <w:spacing w:after="0" w:line="286" w:lineRule="auto"/>
        <w:rPr>
          <w:sz w:val="20"/>
          <w:szCs w:val="20"/>
          <w:color w:val="auto"/>
        </w:rPr>
      </w:pPr>
      <w:r>
        <w:rPr>
          <w:rFonts w:ascii="Arial" w:cs="Arial" w:eastAsia="Arial" w:hAnsi="Arial"/>
          <w:sz w:val="17"/>
          <w:szCs w:val="17"/>
          <w:color w:val="auto"/>
        </w:rPr>
        <w:t>These pro forma results do not necessarily represent the results of operations that would have been achieved if the acquisition had taken place on January 1, 2017, nor are they indicative of the results of operations for future periods. The pro forma amounts include the historical operating results of the Company and Tropicana prior to the Tropicana Acquisition with adjustments directly attributable to the Tropicana Acquisition.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Elgin</w:t>
      </w:r>
    </w:p>
    <w:p>
      <w:pPr>
        <w:spacing w:after="0" w:line="117"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color w:val="auto"/>
        </w:rPr>
        <w:t>The following unaudited pro forma information presents the results of operations of the Company for the year ended December 31, 2018 and 2017, as if the Elgin Acquisition had occurred on January 1, 2017 (in thousands).</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14"/>
                <w:szCs w:val="14"/>
                <w:color w:val="auto"/>
              </w:rPr>
            </w:pPr>
          </w:p>
        </w:tc>
        <w:tc>
          <w:tcPr>
            <w:tcW w:w="1780" w:type="dxa"/>
            <w:vAlign w:val="bottom"/>
            <w:gridSpan w:val="2"/>
          </w:tcPr>
          <w:p>
            <w:pPr>
              <w:ind w:left="380"/>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12"/>
                <w:szCs w:val="12"/>
                <w:color w:val="auto"/>
              </w:rPr>
            </w:pPr>
          </w:p>
        </w:tc>
        <w:tc>
          <w:tcPr>
            <w:tcW w:w="178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4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78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Net operating revenues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2,152,948</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1,644,907</w:t>
            </w:r>
          </w:p>
        </w:tc>
        <w:tc>
          <w:tcPr>
            <w:tcW w:w="100" w:type="dxa"/>
            <w:vAlign w:val="bottom"/>
            <w:shd w:val="clear" w:color="auto" w:fill="CFF0FC"/>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105,689</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79,158</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ind w:right="280" w:firstLine="555"/>
        <w:spacing w:after="0" w:line="286" w:lineRule="auto"/>
        <w:rPr>
          <w:sz w:val="20"/>
          <w:szCs w:val="20"/>
          <w:color w:val="auto"/>
        </w:rPr>
      </w:pPr>
      <w:r>
        <w:rPr>
          <w:rFonts w:ascii="Arial" w:cs="Arial" w:eastAsia="Arial" w:hAnsi="Arial"/>
          <w:sz w:val="17"/>
          <w:szCs w:val="17"/>
          <w:color w:val="auto"/>
        </w:rPr>
        <w:t>These pro forma results do not necessarily represent the results of operations that would have been achieved if the acquisition had taken place on January 1, 2017, nor are they indicative of the results of operations for future periods. The pro forma amounts include the historical operating results of the Company and Elgin prior to the Elgin Acquisition with adjustments directly attributable to the Elgin Acquisition.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Isle</w:t>
      </w:r>
    </w:p>
    <w:p>
      <w:pPr>
        <w:spacing w:after="0" w:line="117"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The following unaudited pro forma information presents the results of operations of the Company for the year ended December 31, 2017 as if the Isle Acquisition, which closed on May 1, 2017, had occurred on January 1, 2016 (in thousands).</w:t>
      </w:r>
    </w:p>
    <w:p>
      <w:pPr>
        <w:spacing w:after="0" w:line="243" w:lineRule="exact"/>
        <w:rPr>
          <w:sz w:val="20"/>
          <w:szCs w:val="20"/>
          <w:color w:val="auto"/>
        </w:rPr>
      </w:pPr>
    </w:p>
    <w:p>
      <w:pPr>
        <w:jc w:val="center"/>
        <w:ind w:left="6160"/>
        <w:spacing w:after="0"/>
        <w:rPr>
          <w:sz w:val="20"/>
          <w:szCs w:val="20"/>
          <w:color w:val="auto"/>
        </w:rPr>
      </w:pPr>
      <w:r>
        <w:rPr>
          <w:rFonts w:ascii="Arial" w:cs="Arial" w:eastAsia="Arial" w:hAnsi="Arial"/>
          <w:sz w:val="14"/>
          <w:szCs w:val="14"/>
          <w:b w:val="1"/>
          <w:bCs w:val="1"/>
          <w:color w:val="auto"/>
        </w:rPr>
        <w:t>Year Ended</w:t>
      </w:r>
    </w:p>
    <w:p>
      <w:pPr>
        <w:spacing w:after="0" w:line="11" w:lineRule="exact"/>
        <w:rPr>
          <w:sz w:val="20"/>
          <w:szCs w:val="20"/>
          <w:color w:val="auto"/>
        </w:rPr>
      </w:pPr>
    </w:p>
    <w:p>
      <w:pPr>
        <w:jc w:val="center"/>
        <w:ind w:left="6160"/>
        <w:spacing w:after="0"/>
        <w:rPr>
          <w:sz w:val="20"/>
          <w:szCs w:val="20"/>
          <w:color w:val="auto"/>
        </w:rPr>
      </w:pPr>
      <w:r>
        <w:rPr>
          <w:rFonts w:ascii="Arial" w:cs="Arial" w:eastAsia="Arial" w:hAnsi="Arial"/>
          <w:sz w:val="14"/>
          <w:szCs w:val="14"/>
          <w:b w:val="1"/>
          <w:bCs w:val="1"/>
          <w:color w:val="auto"/>
        </w:rPr>
        <w:t>December 31, 2017</w:t>
      </w:r>
    </w:p>
    <w:tbl>
      <w:tblPr>
        <w:tblLayout w:type="fixed"/>
        <w:tblInd w:w="1720" w:type="dxa"/>
        <w:tblCellMar>
          <w:top w:w="0" w:type="dxa"/>
          <w:left w:w="0" w:type="dxa"/>
          <w:bottom w:w="0" w:type="dxa"/>
          <w:right w:w="0" w:type="dxa"/>
        </w:tblCellMar>
      </w:tblPr>
      <w:tr>
        <w:trPr>
          <w:trHeight w:val="223"/>
        </w:trPr>
        <w:tc>
          <w:tcPr>
            <w:tcW w:w="6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operating revenues</w:t>
            </w:r>
          </w:p>
        </w:tc>
        <w:tc>
          <w:tcPr>
            <w:tcW w:w="540" w:type="dxa"/>
            <w:vAlign w:val="bottom"/>
            <w:tcBorders>
              <w:top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1,810,815</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173,027</w:t>
            </w:r>
          </w:p>
        </w:tc>
        <w:tc>
          <w:tcPr>
            <w:tcW w:w="60" w:type="dxa"/>
            <w:vAlign w:val="bottom"/>
          </w:tcPr>
          <w:p>
            <w:pPr>
              <w:spacing w:after="0"/>
              <w:rPr>
                <w:sz w:val="20"/>
                <w:szCs w:val="20"/>
                <w:color w:val="auto"/>
              </w:rPr>
            </w:pPr>
          </w:p>
        </w:tc>
      </w:tr>
    </w:tbl>
    <w:p>
      <w:pPr>
        <w:spacing w:after="0" w:line="201" w:lineRule="exact"/>
        <w:rPr>
          <w:sz w:val="20"/>
          <w:szCs w:val="20"/>
          <w:color w:val="auto"/>
        </w:rPr>
      </w:pPr>
    </w:p>
    <w:p>
      <w:pPr>
        <w:ind w:right="280" w:firstLine="555"/>
        <w:spacing w:after="0" w:line="264" w:lineRule="auto"/>
        <w:rPr>
          <w:sz w:val="20"/>
          <w:szCs w:val="20"/>
          <w:color w:val="auto"/>
        </w:rPr>
      </w:pPr>
      <w:r>
        <w:rPr>
          <w:rFonts w:ascii="Arial" w:cs="Arial" w:eastAsia="Arial" w:hAnsi="Arial"/>
          <w:sz w:val="18"/>
          <w:szCs w:val="18"/>
          <w:color w:val="auto"/>
        </w:rPr>
        <w:t>These pro forma results do not necessarily represent the results of operations that would have been achieved if the acquisition had taken place on January 1, 2016, nor are they indicative of the results of operations for future periods. The pro forma amounts include the historical operating results of the Company and Isle prior to the Isle Acquisition with adjustments directly attributable to the Isle Acquisition.</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Accounts Receivable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Components of accounts receivable, net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3140" w:type="dxa"/>
            <w:vAlign w:val="bottom"/>
            <w:tcBorders>
              <w:bottom w:val="single" w:sz="8" w:color="CFF0FC"/>
            </w:tcBorders>
          </w:tcPr>
          <w:p>
            <w:pPr>
              <w:spacing w:after="0"/>
              <w:rPr>
                <w:sz w:val="13"/>
                <w:szCs w:val="13"/>
                <w:color w:val="auto"/>
              </w:rPr>
            </w:pPr>
          </w:p>
        </w:tc>
        <w:tc>
          <w:tcPr>
            <w:tcW w:w="9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7"/>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77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1740" w:type="dxa"/>
            <w:vAlign w:val="bottom"/>
          </w:tcPr>
          <w:p>
            <w:pPr>
              <w:spacing w:after="0"/>
              <w:rPr>
                <w:sz w:val="13"/>
                <w:szCs w:val="13"/>
                <w:color w:val="auto"/>
              </w:rPr>
            </w:pPr>
          </w:p>
        </w:tc>
      </w:tr>
      <w:tr>
        <w:trPr>
          <w:trHeight w:val="223"/>
        </w:trPr>
        <w:tc>
          <w:tcPr>
            <w:tcW w:w="17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63,843</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47,017</w:t>
            </w:r>
          </w:p>
        </w:tc>
        <w:tc>
          <w:tcPr>
            <w:tcW w:w="12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(3,674)</w:t>
            </w:r>
          </w:p>
        </w:tc>
        <w:tc>
          <w:tcPr>
            <w:tcW w:w="68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(1,220)</w:t>
            </w:r>
          </w:p>
        </w:tc>
        <w:tc>
          <w:tcPr>
            <w:tcW w:w="17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1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60,169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45,797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300" w:type="dxa"/>
            <w:vAlign w:val="bottom"/>
            <w:gridSpan w:val="2"/>
          </w:tcPr>
          <w:p>
            <w:pPr>
              <w:jc w:val="right"/>
              <w:ind w:right="270"/>
              <w:spacing w:after="0"/>
              <w:rPr>
                <w:sz w:val="20"/>
                <w:szCs w:val="20"/>
                <w:color w:val="auto"/>
              </w:rPr>
            </w:pPr>
            <w:r>
              <w:rPr>
                <w:rFonts w:ascii="Arial" w:cs="Arial" w:eastAsia="Arial" w:hAnsi="Arial"/>
                <w:sz w:val="18"/>
                <w:szCs w:val="18"/>
                <w:color w:val="auto"/>
              </w:rPr>
              <w:t>96</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98" w:name="page99"/>
    <w:bookmarkEnd w:id="98"/>
    <w:p>
      <w:pPr>
        <w:spacing w:after="0"/>
        <w:rPr>
          <w:sz w:val="20"/>
          <w:szCs w:val="20"/>
          <w:color w:val="auto"/>
        </w:rPr>
      </w:pPr>
      <w:r>
        <w:rPr>
          <w:rFonts w:ascii="Arial" w:cs="Arial" w:eastAsia="Arial" w:hAnsi="Arial"/>
          <w:sz w:val="18"/>
          <w:szCs w:val="18"/>
          <w:i w:val="1"/>
          <w:iCs w:val="1"/>
          <w:color w:val="auto"/>
        </w:rPr>
        <w:t>Reserve for Uncollectible Accounts Receivable</w:t>
      </w:r>
    </w:p>
    <w:p>
      <w:pPr>
        <w:spacing w:after="0" w:line="117" w:lineRule="exact"/>
        <w:rPr>
          <w:sz w:val="20"/>
          <w:szCs w:val="20"/>
          <w:color w:val="auto"/>
        </w:rPr>
      </w:pPr>
    </w:p>
    <w:p>
      <w:pPr>
        <w:ind w:right="200" w:firstLine="555"/>
        <w:spacing w:after="0" w:line="302" w:lineRule="auto"/>
        <w:rPr>
          <w:sz w:val="20"/>
          <w:szCs w:val="20"/>
          <w:color w:val="auto"/>
        </w:rPr>
      </w:pPr>
      <w:r>
        <w:rPr>
          <w:rFonts w:ascii="Arial" w:cs="Arial" w:eastAsia="Arial" w:hAnsi="Arial"/>
          <w:sz w:val="16"/>
          <w:szCs w:val="16"/>
          <w:color w:val="auto"/>
        </w:rPr>
        <w:t>We reserve an estimated amount for receivables that may not be collected. Methodologies for estimating bad debt reserves range from specific reserves to various percentages applied to aged receivables. Historical collection rates are considered, as are customer relationships, in determining specific reserves. As with many estimates, management must make judgments about potential actions by third parties in establishing and evaluating our reserves for bad debts. In the years ended December 31, 2018 and 2017, the Company’s bad debt expense totaled $1.6 million and $0.5 million, respectively.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Assets Held for Sale</w:t>
      </w:r>
    </w:p>
    <w:p>
      <w:pPr>
        <w:spacing w:after="0" w:line="121"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color w:val="auto"/>
        </w:rPr>
        <w:t>On February 28, 2018, the Company entered into definitive agreements to sell substantially all of the assets and liabilities of Presque Isle Downs and Vicksburg to Churchill Downs Incorporated (“CDI”). Under the terms of the agreements, CDI agreed to purchase Presque Isle Downs for cash consideration of approximately $178.9 million and Vicksburg for cash consideration of approximately $50.6 million, in each case subject to a customary working capital adjustment. In conjunction with the classification of Vicksburg’s operations as assets held for sale at March 31, 2018, as a result of the announced sale to CDI, an impairment charge totaling $9.8 million was recorded due to the carrying value exceeding the estimated net sales proceeds.</w:t>
      </w:r>
    </w:p>
    <w:p>
      <w:pPr>
        <w:spacing w:after="0" w:line="173" w:lineRule="exact"/>
        <w:rPr>
          <w:sz w:val="20"/>
          <w:szCs w:val="20"/>
          <w:color w:val="auto"/>
        </w:rPr>
      </w:pPr>
    </w:p>
    <w:p>
      <w:pPr>
        <w:ind w:right="300" w:firstLine="555"/>
        <w:spacing w:after="0" w:line="257" w:lineRule="auto"/>
        <w:rPr>
          <w:sz w:val="20"/>
          <w:szCs w:val="20"/>
          <w:color w:val="auto"/>
        </w:rPr>
      </w:pPr>
      <w:r>
        <w:rPr>
          <w:rFonts w:ascii="Arial" w:cs="Arial" w:eastAsia="Arial" w:hAnsi="Arial"/>
          <w:sz w:val="18"/>
          <w:szCs w:val="18"/>
          <w:color w:val="auto"/>
        </w:rPr>
        <w:t>The definitive agreements provided that the dispositions were subject to receipt of required regulatory approvals, termination of the waiting period under the Hart-Scott-Rodino Act and other customary closing conditions, including, in the case of Presque Isle Downs, the prior closing of the sale of Vicksburg or the entry into an agreement to acquire another asset of the Company. On May 7, 2018, the Company and CDI each received a Request for Additional Information and Documentary Materials, often referred to as a “Second Request,” from the Federal Trade Commission in connection with its review of the Vicksburg acquisition.</w:t>
      </w:r>
    </w:p>
    <w:p>
      <w:pPr>
        <w:spacing w:after="0" w:line="188" w:lineRule="exact"/>
        <w:rPr>
          <w:sz w:val="20"/>
          <w:szCs w:val="20"/>
          <w:color w:val="auto"/>
        </w:rPr>
      </w:pPr>
    </w:p>
    <w:p>
      <w:pPr>
        <w:ind w:right="280" w:firstLine="555"/>
        <w:spacing w:after="0" w:line="284" w:lineRule="auto"/>
        <w:rPr>
          <w:sz w:val="20"/>
          <w:szCs w:val="20"/>
          <w:color w:val="auto"/>
        </w:rPr>
      </w:pPr>
      <w:r>
        <w:rPr>
          <w:rFonts w:ascii="Arial" w:cs="Arial" w:eastAsia="Arial" w:hAnsi="Arial"/>
          <w:sz w:val="16"/>
          <w:szCs w:val="16"/>
          <w:color w:val="auto"/>
        </w:rPr>
        <w:t>On July 6, 2018, in consideration of the time and expense needed to reply to the Second Request, the Company and CDI entered into a termination agreement and release pursuant to which the parties agreed to terminate the asset purchase agreement with respect to Vicksburg and to enter into an asset purchase agreement pursuant to which CDI would acquire and assume the rights and obligations to operate Nemacolin (the “Vicksburg Termination Agreement”). The Vicksburg Termination Agreement also provided that CDI would pay the Company a $5.0 million termination fee upon execution of a definitive agreement with respect to the Nemacolin transaction, which is recorded as proceeds from terminated sale on the Consolidated Statements of Income. On August 10, 2018, the Company entered into a definitive agreement to sell substantially all of the assets and liabilities of Nemacolin to</w:t>
      </w:r>
    </w:p>
    <w:p>
      <w:pPr>
        <w:spacing w:after="0" w:line="5"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CDI. Under the terms of the agreement, CDI agreed to purchase Nemacolin for cash consideration of approximately $0.1 million, subject to a customary working capital adjustment.</w:t>
      </w:r>
    </w:p>
    <w:p>
      <w:pPr>
        <w:spacing w:after="0" w:line="184" w:lineRule="exact"/>
        <w:rPr>
          <w:sz w:val="20"/>
          <w:szCs w:val="20"/>
          <w:color w:val="auto"/>
        </w:rPr>
      </w:pPr>
    </w:p>
    <w:p>
      <w:pPr>
        <w:ind w:right="180" w:firstLine="555"/>
        <w:spacing w:after="0" w:line="277" w:lineRule="auto"/>
        <w:rPr>
          <w:sz w:val="20"/>
          <w:szCs w:val="20"/>
          <w:color w:val="auto"/>
        </w:rPr>
      </w:pPr>
      <w:r>
        <w:rPr>
          <w:rFonts w:ascii="Arial" w:cs="Arial" w:eastAsia="Arial" w:hAnsi="Arial"/>
          <w:sz w:val="18"/>
          <w:szCs w:val="18"/>
          <w:color w:val="auto"/>
        </w:rPr>
        <w:t>As a result of the agreement to sell Nemacolin, an impairment charge of $3.8 million for the year ended December 31, 2018 was recorded due to the carrying value of the net property and equipment being sold exceeding the estimated net sales proceeds.</w:t>
      </w:r>
    </w:p>
    <w:p>
      <w:pPr>
        <w:spacing w:after="0" w:line="170" w:lineRule="exact"/>
        <w:rPr>
          <w:sz w:val="20"/>
          <w:szCs w:val="20"/>
          <w:color w:val="auto"/>
        </w:rPr>
      </w:pPr>
    </w:p>
    <w:p>
      <w:pPr>
        <w:ind w:right="820" w:firstLine="555"/>
        <w:spacing w:after="0" w:line="342" w:lineRule="auto"/>
        <w:rPr>
          <w:sz w:val="20"/>
          <w:szCs w:val="20"/>
          <w:color w:val="auto"/>
        </w:rPr>
      </w:pPr>
      <w:r>
        <w:rPr>
          <w:rFonts w:ascii="Arial" w:cs="Arial" w:eastAsia="Arial" w:hAnsi="Arial"/>
          <w:sz w:val="16"/>
          <w:szCs w:val="16"/>
          <w:color w:val="auto"/>
        </w:rPr>
        <w:t>The Nemacolin transaction is expected to close in the first quarter of 2019, subject to satisfaction of closing conditions, including receipt of Pennsylvania regulatory approvals. The Presque transaction was consummated in accordance with the terms noted above on January 11, 2019.</w:t>
      </w:r>
    </w:p>
    <w:p>
      <w:pPr>
        <w:spacing w:after="0" w:line="124" w:lineRule="exact"/>
        <w:rPr>
          <w:sz w:val="20"/>
          <w:szCs w:val="20"/>
          <w:color w:val="auto"/>
        </w:rPr>
      </w:pPr>
    </w:p>
    <w:p>
      <w:pPr>
        <w:ind w:right="280" w:firstLine="555"/>
        <w:spacing w:after="0" w:line="264" w:lineRule="auto"/>
        <w:rPr>
          <w:sz w:val="20"/>
          <w:szCs w:val="20"/>
          <w:color w:val="auto"/>
        </w:rPr>
      </w:pPr>
      <w:r>
        <w:rPr>
          <w:rFonts w:ascii="Arial" w:cs="Arial" w:eastAsia="Arial" w:hAnsi="Arial"/>
          <w:sz w:val="18"/>
          <w:szCs w:val="18"/>
          <w:color w:val="auto"/>
        </w:rPr>
        <w:t>The dispositions of Nemacolin and Presque Isle Downs, both of which are reported in the East segment, met the requirements for presentation as assets held for sale under generally accepted accounting principles as of December 31, 2018. Due to the termination of the Vicksburg sale, Vicksburg is no longer presented as an asset held for sale.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9" w:name="page100"/>
    <w:bookmarkEnd w:id="99"/>
    <w:p>
      <w:pPr>
        <w:ind w:left="560"/>
        <w:spacing w:after="0"/>
        <w:rPr>
          <w:sz w:val="20"/>
          <w:szCs w:val="20"/>
          <w:color w:val="auto"/>
        </w:rPr>
      </w:pPr>
      <w:r>
        <w:rPr>
          <w:rFonts w:ascii="Arial" w:cs="Arial" w:eastAsia="Arial" w:hAnsi="Arial"/>
          <w:sz w:val="18"/>
          <w:szCs w:val="18"/>
          <w:color w:val="auto"/>
        </w:rPr>
        <w:t>The assets and liabilities held for sale, accounted for at carrying value as it was lower than fair value, were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1"/>
              </w:rPr>
              <w:t>December 31, 2018</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Nemacolin</w:t>
            </w:r>
          </w:p>
        </w:tc>
        <w:tc>
          <w:tcPr>
            <w:tcW w:w="180" w:type="dxa"/>
            <w:vAlign w:val="bottom"/>
          </w:tcPr>
          <w:p>
            <w:pPr>
              <w:spacing w:after="0"/>
              <w:rPr>
                <w:sz w:val="11"/>
                <w:szCs w:val="11"/>
                <w:color w:val="auto"/>
              </w:rPr>
            </w:pPr>
          </w:p>
        </w:tc>
        <w:tc>
          <w:tcPr>
            <w:tcW w:w="13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9"/>
              </w:rPr>
              <w:t>Presque Isle</w:t>
            </w:r>
          </w:p>
        </w:tc>
        <w:tc>
          <w:tcPr>
            <w:tcW w:w="300" w:type="dxa"/>
            <w:vAlign w:val="bottom"/>
          </w:tcPr>
          <w:p>
            <w:pPr>
              <w:spacing w:after="0"/>
              <w:rPr>
                <w:sz w:val="11"/>
                <w:szCs w:val="11"/>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Downs</w:t>
            </w:r>
          </w:p>
        </w:tc>
        <w:tc>
          <w:tcPr>
            <w:tcW w:w="3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Pr>
          <w:p>
            <w:pPr>
              <w:ind w:left="12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2,208</w:t>
            </w:r>
          </w:p>
        </w:tc>
        <w:tc>
          <w:tcPr>
            <w:tcW w:w="2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1,607</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Pr>
          <w:p>
            <w:pPr>
              <w:ind w:left="120"/>
              <w:spacing w:after="0"/>
              <w:rPr>
                <w:sz w:val="20"/>
                <w:szCs w:val="20"/>
                <w:color w:val="auto"/>
              </w:rPr>
            </w:pPr>
            <w:r>
              <w:rPr>
                <w:rFonts w:ascii="Arial" w:cs="Arial" w:eastAsia="Arial" w:hAnsi="Arial"/>
                <w:sz w:val="18"/>
                <w:szCs w:val="18"/>
                <w:color w:val="auto"/>
              </w:rPr>
              <w:t>Prepaid expenses and other</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70,134</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Pr>
          <w:p>
            <w:pPr>
              <w:ind w:left="1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3,122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intangibles, net</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75,422</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Assets held for sale</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2,505</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153,266</w:t>
            </w:r>
          </w:p>
        </w:tc>
        <w:tc>
          <w:tcPr>
            <w:tcW w:w="22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155,771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Pr>
          <w:p>
            <w:pPr>
              <w:ind w:left="120"/>
              <w:spacing w:after="0"/>
              <w:rPr>
                <w:sz w:val="20"/>
                <w:szCs w:val="20"/>
                <w:color w:val="auto"/>
              </w:rPr>
            </w:pPr>
            <w:r>
              <w:rPr>
                <w:rFonts w:ascii="Arial" w:cs="Arial" w:eastAsia="Arial" w:hAnsi="Arial"/>
                <w:sz w:val="18"/>
                <w:szCs w:val="18"/>
                <w:color w:val="auto"/>
              </w:rPr>
              <w:t>Accrued payroll and related</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Accrued property and other taxes</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Pr>
          <w:p>
            <w:pPr>
              <w:ind w:left="120"/>
              <w:spacing w:after="0"/>
              <w:rPr>
                <w:sz w:val="20"/>
                <w:szCs w:val="20"/>
                <w:color w:val="auto"/>
              </w:rPr>
            </w:pPr>
            <w:r>
              <w:rPr>
                <w:rFonts w:ascii="Arial" w:cs="Arial" w:eastAsia="Arial" w:hAnsi="Arial"/>
                <w:sz w:val="18"/>
                <w:szCs w:val="18"/>
                <w:color w:val="auto"/>
              </w:rPr>
              <w:t>Accrued other liabilities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3,659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Pr>
          <w:p>
            <w:pPr>
              <w:ind w:left="120"/>
              <w:spacing w:after="0"/>
              <w:rPr>
                <w:sz w:val="20"/>
                <w:szCs w:val="20"/>
                <w:color w:val="auto"/>
              </w:rPr>
            </w:pPr>
            <w:r>
              <w:rPr>
                <w:rFonts w:ascii="Arial" w:cs="Arial" w:eastAsia="Arial" w:hAnsi="Arial"/>
                <w:sz w:val="18"/>
                <w:szCs w:val="18"/>
                <w:color w:val="auto"/>
              </w:rPr>
              <w:t>Long term obligation</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Liabilities related to assets held for sale</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information presents the net operating revenues and net income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4180" w:type="dxa"/>
            <w:vAlign w:val="bottom"/>
            <w:gridSpan w:val="6"/>
          </w:tcPr>
          <w:p>
            <w:pPr>
              <w:ind w:left="1060"/>
              <w:spacing w:after="0"/>
              <w:rPr>
                <w:sz w:val="20"/>
                <w:szCs w:val="20"/>
                <w:color w:val="auto"/>
              </w:rPr>
            </w:pPr>
            <w:r>
              <w:rPr>
                <w:rFonts w:ascii="Arial" w:cs="Arial" w:eastAsia="Arial" w:hAnsi="Arial"/>
                <w:sz w:val="14"/>
                <w:szCs w:val="14"/>
                <w:b w:val="1"/>
                <w:bCs w:val="1"/>
                <w:color w:val="auto"/>
              </w:rPr>
              <w:t>Year Ended December 31, 2018</w:t>
            </w:r>
          </w:p>
        </w:tc>
      </w:tr>
      <w:tr>
        <w:trPr>
          <w:trHeight w:val="156"/>
        </w:trPr>
        <w:tc>
          <w:tcPr>
            <w:tcW w:w="7240" w:type="dxa"/>
            <w:vAlign w:val="bottom"/>
            <w:tcBorders>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Nemacolin</w:t>
            </w:r>
          </w:p>
        </w:tc>
        <w:tc>
          <w:tcPr>
            <w:tcW w:w="5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700" w:type="dxa"/>
            <w:vAlign w:val="bottom"/>
            <w:tcBorders>
              <w:top w:val="single" w:sz="8" w:color="auto"/>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w w:val="99"/>
              </w:rPr>
              <w:t>Presque Isle Downs</w:t>
            </w:r>
          </w:p>
        </w:tc>
        <w:tc>
          <w:tcPr>
            <w:tcW w:w="100" w:type="dxa"/>
            <w:vAlign w:val="bottom"/>
            <w:tcBorders>
              <w:bottom w:val="single" w:sz="8" w:color="CFF0FC"/>
            </w:tcBorders>
          </w:tcPr>
          <w:p>
            <w:pPr>
              <w:spacing w:after="0"/>
              <w:rPr>
                <w:sz w:val="13"/>
                <w:szCs w:val="13"/>
                <w:color w:val="auto"/>
              </w:rPr>
            </w:pPr>
          </w:p>
        </w:tc>
      </w:tr>
      <w:tr>
        <w:trPr>
          <w:trHeight w:val="223"/>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Net operating revenues</w:t>
            </w:r>
          </w:p>
        </w:tc>
        <w:tc>
          <w:tcPr>
            <w:tcW w:w="1320" w:type="dxa"/>
            <w:vAlign w:val="bottom"/>
            <w:shd w:val="clear" w:color="auto" w:fill="CFF0FC"/>
          </w:tcPr>
          <w:p>
            <w:pPr>
              <w:jc w:val="right"/>
              <w:ind w:right="116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33,461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139,993</w:t>
            </w:r>
          </w:p>
        </w:tc>
        <w:tc>
          <w:tcPr>
            <w:tcW w:w="100" w:type="dxa"/>
            <w:vAlign w:val="bottom"/>
            <w:shd w:val="clear" w:color="auto" w:fill="CFF0FC"/>
          </w:tcPr>
          <w:p>
            <w:pPr>
              <w:spacing w:after="0"/>
              <w:rPr>
                <w:sz w:val="19"/>
                <w:szCs w:val="19"/>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Net (loss) income</w:t>
            </w:r>
          </w:p>
        </w:tc>
        <w:tc>
          <w:tcPr>
            <w:tcW w:w="13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(3,571)</w:t>
            </w:r>
          </w:p>
        </w:tc>
        <w:tc>
          <w:tcPr>
            <w:tcW w:w="2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13,935</w:t>
            </w:r>
          </w:p>
        </w:tc>
        <w:tc>
          <w:tcPr>
            <w:tcW w:w="100" w:type="dxa"/>
            <w:vAlign w:val="bottom"/>
          </w:tcPr>
          <w:p>
            <w:pPr>
              <w:spacing w:after="0"/>
              <w:rPr>
                <w:sz w:val="20"/>
                <w:szCs w:val="20"/>
                <w:color w:val="auto"/>
              </w:rPr>
            </w:pPr>
          </w:p>
        </w:tc>
      </w:tr>
    </w:tbl>
    <w:p>
      <w:pPr>
        <w:spacing w:after="0" w:line="16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These amounts include historical operating results, adjusted to eliminate the internal allocation of interest expense that will not be assumed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buyer.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Investments in and Advances to Unconsolidated Affiliates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Hampton Inn &amp; Suites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holds a 42.1% variable interest in a partnership with other investors that developed a new 118-room Hampton Inn &amp; Suites hotel 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Scioto Downs that opened in March 2017. Pursuant to the terms of the partnership agreement, the Company contributed $1.0 million of cash and 2.4 acres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leasehold immediately adjacent to </w:t>
      </w:r>
      <w:r>
        <w:rPr>
          <w:rFonts w:ascii="Arial" w:cs="Arial" w:eastAsia="Arial" w:hAnsi="Arial"/>
          <w:sz w:val="16"/>
          <w:szCs w:val="16"/>
          <w:i w:val="1"/>
          <w:iCs w:val="1"/>
          <w:color w:val="auto"/>
        </w:rPr>
        <w:t>The Brew Brothers</w:t>
      </w:r>
      <w:r>
        <w:rPr>
          <w:rFonts w:ascii="Arial" w:cs="Arial" w:eastAsia="Arial" w:hAnsi="Arial"/>
          <w:sz w:val="16"/>
          <w:szCs w:val="16"/>
          <w:color w:val="auto"/>
        </w:rPr>
        <w:t xml:space="preserve"> microbrewery and restaurant at Scioto Downs. The partnership constructed the hotel at a cost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$16.0 million and other investor members operate the hotel. In November 2017, the Company contributed $0.6 million to the partnership for its proportionate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 of additional construction costs pursuant to the partnership agreement. At December 31, 2018 and 2017, the Company’s investment in the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totaled $1.3 million and $1.5 million, respectively, recorded in other assets, net in the Consolidated Balance Sheets, representing the Company’s maximum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loss exposure. As of December 31, 2018, the Company’s receivable from the partnership totaled $0.3 million and is reflected in due from affiliates 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i w:val="1"/>
          <w:iCs w:val="1"/>
          <w:color w:val="auto"/>
        </w:rPr>
        <w:t>Pompano Joint Venture</w:t>
      </w:r>
    </w:p>
    <w:p>
      <w:pPr>
        <w:spacing w:after="0" w:line="117" w:lineRule="exact"/>
        <w:rPr>
          <w:sz w:val="20"/>
          <w:szCs w:val="20"/>
          <w:color w:val="auto"/>
        </w:rPr>
      </w:pPr>
    </w:p>
    <w:p>
      <w:pPr>
        <w:ind w:firstLine="555"/>
        <w:spacing w:after="0" w:line="289" w:lineRule="auto"/>
        <w:rPr>
          <w:sz w:val="20"/>
          <w:szCs w:val="20"/>
          <w:color w:val="auto"/>
        </w:rPr>
      </w:pPr>
      <w:r>
        <w:rPr>
          <w:rFonts w:ascii="Arial" w:cs="Arial" w:eastAsia="Arial" w:hAnsi="Arial"/>
          <w:sz w:val="16"/>
          <w:szCs w:val="16"/>
          <w:color w:val="auto"/>
        </w:rPr>
        <w:t>In April 2018, the Company entered into a joint venture with Cordish Companies (“Cordish”) to master plan and develop a mixed-use entertainment and hospitality destination expected to be located on unused land adjacent to the casino and racetrack at the Company’s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the Company’s input and will submit it for the Company’s review and approval. The Company and Cordish have made initial cash contributions of $250,000 each and could be required to make additional contributions to a maximum of $2.0 million ($1.0 million per member) at the request of the managing member. The Company has agreed to contribute land to the joint venture for the project. While the Company holds a 50% variable interest in the joint venture, it is not the primary beneficiary; as such the investment in the joint venture is accounted for using the equity method. The Company will participate evenly with Cordish in the profits and losses of the joint venture, which is included in loss from unconsolidated affiliates on the Consolidated Statements of Income.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William Hill</w:t>
      </w:r>
    </w:p>
    <w:p>
      <w:pPr>
        <w:spacing w:after="0" w:line="117" w:lineRule="exact"/>
        <w:rPr>
          <w:sz w:val="20"/>
          <w:szCs w:val="20"/>
          <w:color w:val="auto"/>
        </w:rPr>
      </w:pPr>
    </w:p>
    <w:p>
      <w:pPr>
        <w:ind w:right="100" w:firstLine="555"/>
        <w:spacing w:after="0" w:line="285" w:lineRule="auto"/>
        <w:rPr>
          <w:sz w:val="20"/>
          <w:szCs w:val="20"/>
          <w:color w:val="auto"/>
        </w:rPr>
      </w:pPr>
      <w:r>
        <w:rPr>
          <w:rFonts w:ascii="Arial" w:cs="Arial" w:eastAsia="Arial" w:hAnsi="Arial"/>
          <w:sz w:val="16"/>
          <w:szCs w:val="16"/>
          <w:color w:val="auto"/>
        </w:rPr>
        <w:t>In September 2018, the Company entered into a 25-year agreement, which became effective January 2019, with William Hill PLC and William Hill US, its U.S. subsidiary (together, “William Hill”) pursuant to which the Company (i) granted to William Hill the right to conduct betting activities in retail channels and under the Company’s first skin and third skin for online channels with respect to the Company’s current and future properties located in the United States and the territories and possessions of the United States, including Puerto Rico and the U.S. Virgin Islands and (ii) agreed that William Hill will have the right to conduct real money online gaming activities utilizing the Company’s second skin available with respect to properties in such</w:t>
      </w:r>
    </w:p>
    <w:p>
      <w:pPr>
        <w:spacing w:after="0" w:line="2"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territory</w:t>
      </w:r>
      <w:r>
        <w:rPr>
          <w:rFonts w:ascii="Arial" w:cs="Arial" w:eastAsia="Arial" w:hAnsi="Arial"/>
          <w:sz w:val="17"/>
          <w:szCs w:val="17"/>
          <w:i w:val="1"/>
          <w:iCs w:val="1"/>
          <w:color w:val="auto"/>
        </w:rPr>
        <w:t>.</w:t>
      </w:r>
      <w:r>
        <w:rPr>
          <w:rFonts w:ascii="Arial" w:cs="Arial" w:eastAsia="Arial" w:hAnsi="Arial"/>
          <w:sz w:val="17"/>
          <w:szCs w:val="17"/>
          <w:color w:val="auto"/>
        </w:rPr>
        <w:t xml:space="preserve"> Pursuant to the terms of the agreement, in January 2019 the Company received a 20% equity stake in William Hill US as well as 13.4 million ordinary shares of William Hill PLC, and the Company will receive a revenue share from the operation of retail betting and online betting and gaming activities. “Skin” in the context of this agreement refers to Eldorado’s ability to grant to William Hill an online channel that allows William Hill to operate online casino and sports gaming activities in reliance on, and utilizing the benefit of, any licenses granted to Eldorado or its subsidiaries.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Property and Equipment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Non-Master Lease:</w:t>
            </w:r>
          </w:p>
        </w:tc>
        <w:tc>
          <w:tcPr>
            <w:tcW w:w="7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4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Land and improvements</w:t>
            </w:r>
          </w:p>
        </w:tc>
        <w:tc>
          <w:tcPr>
            <w:tcW w:w="10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316,456</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284,374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Buildings and other leasehold improvements</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1,472,516</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1,187,642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Riverboats</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81,762</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61,091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586,404</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420,399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equipment held under capital</w:t>
            </w: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leases (Note 17)</w:t>
            </w:r>
          </w:p>
        </w:tc>
        <w:tc>
          <w:tcPr>
            <w:tcW w:w="7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7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41,346</w:t>
            </w: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2,498,677</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1,968,827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Less—Accumulated depreciation and amortization</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(569,073)</w:t>
            </w:r>
          </w:p>
        </w:tc>
        <w:tc>
          <w:tcPr>
            <w:tcW w:w="3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(466,010)</w:t>
            </w:r>
          </w:p>
        </w:tc>
        <w:tc>
          <w:tcPr>
            <w:tcW w:w="0" w:type="dxa"/>
            <w:vAlign w:val="bottom"/>
          </w:tcPr>
          <w:p>
            <w:pPr>
              <w:spacing w:after="0"/>
              <w:rPr>
                <w:sz w:val="1"/>
                <w:szCs w:val="1"/>
                <w:color w:val="auto"/>
              </w:rPr>
            </w:pPr>
          </w:p>
        </w:tc>
      </w:tr>
      <w:tr>
        <w:trPr>
          <w:trHeight w:val="223"/>
        </w:trPr>
        <w:tc>
          <w:tcPr>
            <w:tcW w:w="45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1,929,604</w:t>
            </w:r>
          </w:p>
        </w:tc>
        <w:tc>
          <w:tcPr>
            <w:tcW w:w="2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1,502,817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4"/>
                <w:szCs w:val="14"/>
                <w:b w:val="1"/>
                <w:bCs w:val="1"/>
                <w:color w:val="auto"/>
              </w:rPr>
              <w:t>Master Lease:</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Land and improvements</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377,150</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Buildings and other leasehold improvements</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578,250</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Riverboats</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957,300</w:t>
            </w:r>
          </w:p>
        </w:tc>
        <w:tc>
          <w:tcPr>
            <w:tcW w:w="2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Less—Accumulated depreciation and amortization</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(4,298)</w:t>
            </w:r>
          </w:p>
        </w:tc>
        <w:tc>
          <w:tcPr>
            <w:tcW w:w="3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953,002</w:t>
            </w:r>
          </w:p>
        </w:tc>
        <w:tc>
          <w:tcPr>
            <w:tcW w:w="20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7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2,882,606</w:t>
            </w:r>
          </w:p>
        </w:tc>
        <w:tc>
          <w:tcPr>
            <w:tcW w:w="2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1,502,817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line="207" w:lineRule="exact"/>
        <w:rPr>
          <w:sz w:val="20"/>
          <w:szCs w:val="20"/>
          <w:color w:val="auto"/>
        </w:rPr>
      </w:pPr>
      <w:r>
        <w:rPr>
          <w:rFonts w:ascii="Arial" w:cs="Arial" w:eastAsia="Arial" w:hAnsi="Arial"/>
          <w:sz w:val="18"/>
          <w:szCs w:val="18"/>
          <w:color w:val="auto"/>
        </w:rPr>
        <w:t>Substantially all non-Master Lease property and equipment are pledged as collateral under our long</w:t>
      </w:r>
      <w:r>
        <w:rPr>
          <w:rFonts w:ascii="MS PGothic" w:cs="MS PGothic" w:eastAsia="MS PGothic" w:hAnsi="MS PGothic"/>
          <w:sz w:val="18"/>
          <w:szCs w:val="18"/>
          <w:color w:val="auto"/>
        </w:rPr>
        <w:t>‑</w:t>
      </w:r>
      <w:r>
        <w:rPr>
          <w:rFonts w:ascii="Arial" w:cs="Arial" w:eastAsia="Arial" w:hAnsi="Arial"/>
          <w:sz w:val="18"/>
          <w:szCs w:val="18"/>
          <w:color w:val="auto"/>
        </w:rPr>
        <w:t>term debt (see Note 11).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01" w:name="page102"/>
    <w:bookmarkEnd w:id="101"/>
    <w:p>
      <w:pPr>
        <w:ind w:right="100" w:firstLine="555"/>
        <w:spacing w:after="0" w:line="342" w:lineRule="auto"/>
        <w:rPr>
          <w:sz w:val="20"/>
          <w:szCs w:val="20"/>
          <w:color w:val="auto"/>
        </w:rPr>
      </w:pPr>
      <w:r>
        <w:rPr>
          <w:rFonts w:ascii="Arial" w:cs="Arial" w:eastAsia="Arial" w:hAnsi="Arial"/>
          <w:sz w:val="16"/>
          <w:szCs w:val="16"/>
          <w:color w:val="auto"/>
        </w:rPr>
        <w:t>Depreciation expense, including amortization expense on capital leases, was $140.3 million, $100.9 million and $58.9 million for the years ended December 31, 2018, 2017 and 2016, respectively. Depreciation expense on the Master Lease assets was $4.3 million for the year ended December 31, 2018. `</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Intangible Assets, net and Other Long Term Assets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Intangible assets, net, include the following amounts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786"/>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4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1180" w:type="dxa"/>
            <w:vAlign w:val="bottom"/>
            <w:tcBorders>
              <w:bottom w:val="single" w:sz="8" w:color="auto"/>
            </w:tcBorders>
            <w:shd w:val="clear" w:color="auto" w:fill="CFF0FC"/>
          </w:tcPr>
          <w:p>
            <w:pPr>
              <w:jc w:val="right"/>
              <w:ind w:right="99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1,008,316</w:t>
            </w:r>
          </w:p>
        </w:tc>
        <w:tc>
          <w:tcPr>
            <w:tcW w:w="2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8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747,106</w:t>
            </w:r>
          </w:p>
        </w:tc>
        <w:tc>
          <w:tcPr>
            <w:tcW w:w="22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Gaming licenses</w:t>
            </w:r>
          </w:p>
        </w:tc>
        <w:tc>
          <w:tcPr>
            <w:tcW w:w="1180" w:type="dxa"/>
            <w:vAlign w:val="bottom"/>
            <w:shd w:val="clear" w:color="auto" w:fill="CFF0FC"/>
          </w:tcPr>
          <w:p>
            <w:pPr>
              <w:jc w:val="right"/>
              <w:ind w:right="994"/>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1,090,682</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8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877,174</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Trade names</w:t>
            </w:r>
          </w:p>
        </w:tc>
        <w:tc>
          <w:tcPr>
            <w:tcW w:w="1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187,929</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108,250</w:t>
            </w:r>
          </w:p>
        </w:tc>
        <w:tc>
          <w:tcPr>
            <w:tcW w:w="2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Trade names</w:t>
            </w:r>
          </w:p>
        </w:tc>
        <w:tc>
          <w:tcPr>
            <w:tcW w:w="1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5,100</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6,700</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3.5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Player loyalty programs</w:t>
            </w:r>
          </w:p>
        </w:tc>
        <w:tc>
          <w:tcPr>
            <w:tcW w:w="1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105,005</w:t>
            </w:r>
          </w:p>
        </w:tc>
        <w:tc>
          <w:tcPr>
            <w:tcW w:w="24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21,820</w:t>
            </w:r>
          </w:p>
        </w:tc>
        <w:tc>
          <w:tcPr>
            <w:tcW w:w="22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9"/>
              </w:rPr>
              <w:t>3 - 4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Subtotal</w:t>
            </w:r>
          </w:p>
        </w:tc>
        <w:tc>
          <w:tcPr>
            <w:tcW w:w="1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1,388,716</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1,013,944</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Accumulated amortization trade names</w:t>
            </w:r>
          </w:p>
        </w:tc>
        <w:tc>
          <w:tcPr>
            <w:tcW w:w="1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(5,100)</w:t>
            </w:r>
          </w:p>
        </w:tc>
        <w:tc>
          <w:tcPr>
            <w:tcW w:w="1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(6,290)</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Accumulated amortization player loyalty programs</w:t>
            </w:r>
          </w:p>
        </w:tc>
        <w:tc>
          <w:tcPr>
            <w:tcW w:w="1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(21,610)</w:t>
            </w:r>
          </w:p>
        </w:tc>
        <w:tc>
          <w:tcPr>
            <w:tcW w:w="1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(10,838)</w:t>
            </w: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480"/>
              <w:spacing w:after="0"/>
              <w:rPr>
                <w:sz w:val="20"/>
                <w:szCs w:val="20"/>
                <w:color w:val="auto"/>
              </w:rPr>
            </w:pPr>
            <w:r>
              <w:rPr>
                <w:rFonts w:ascii="Arial" w:cs="Arial" w:eastAsia="Arial" w:hAnsi="Arial"/>
                <w:sz w:val="18"/>
                <w:szCs w:val="18"/>
                <w:color w:val="auto"/>
              </w:rPr>
              <w:t>Total gaming licenses and other intangible assets, net</w:t>
            </w:r>
          </w:p>
        </w:tc>
        <w:tc>
          <w:tcPr>
            <w:tcW w:w="1180" w:type="dxa"/>
            <w:vAlign w:val="bottom"/>
            <w:tcBorders>
              <w:top w:val="single" w:sz="8" w:color="auto"/>
              <w:bottom w:val="single" w:sz="8" w:color="auto"/>
            </w:tcBorders>
          </w:tcPr>
          <w:p>
            <w:pPr>
              <w:jc w:val="right"/>
              <w:ind w:right="994"/>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1,362,006</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98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996,816</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0" w:firstLine="555"/>
        <w:spacing w:after="0" w:line="264" w:lineRule="auto"/>
        <w:rPr>
          <w:sz w:val="20"/>
          <w:szCs w:val="20"/>
          <w:color w:val="auto"/>
        </w:rPr>
      </w:pPr>
      <w:r>
        <w:rPr>
          <w:rFonts w:ascii="Arial" w:cs="Arial" w:eastAsia="Arial" w:hAnsi="Arial"/>
          <w:sz w:val="18"/>
          <w:szCs w:val="18"/>
          <w:color w:val="auto"/>
        </w:rPr>
        <w:t>Gaming licenses represent intangible assets acquired from the purchase of a gaming entity located in a gaming jurisdiction where competition is limited, such as when only a limited number of gaming operators are allowed to operate in the jurisdiction. These gaming license rights are not subject to amortization as the Company has determined that they have indefinite useful lives.</w:t>
      </w:r>
    </w:p>
    <w:p>
      <w:pPr>
        <w:spacing w:after="0" w:line="181" w:lineRule="exact"/>
        <w:rPr>
          <w:sz w:val="20"/>
          <w:szCs w:val="20"/>
          <w:color w:val="auto"/>
        </w:rPr>
      </w:pPr>
    </w:p>
    <w:p>
      <w:pPr>
        <w:ind w:right="120" w:firstLine="555"/>
        <w:spacing w:after="0" w:line="277" w:lineRule="auto"/>
        <w:rPr>
          <w:sz w:val="20"/>
          <w:szCs w:val="20"/>
          <w:color w:val="auto"/>
        </w:rPr>
      </w:pPr>
      <w:r>
        <w:rPr>
          <w:rFonts w:ascii="Arial" w:cs="Arial" w:eastAsia="Arial" w:hAnsi="Arial"/>
          <w:sz w:val="18"/>
          <w:szCs w:val="18"/>
          <w:color w:val="auto"/>
        </w:rPr>
        <w:t>Goodwill represents the excess of the purchase price of acquiring MTR Gaming, Isle, Elgin and Tropicana over the fair market value of the net assets acquired.</w:t>
      </w:r>
    </w:p>
    <w:p>
      <w:pPr>
        <w:spacing w:after="0" w:line="170" w:lineRule="exact"/>
        <w:rPr>
          <w:sz w:val="20"/>
          <w:szCs w:val="20"/>
          <w:color w:val="auto"/>
        </w:rPr>
      </w:pPr>
    </w:p>
    <w:p>
      <w:pPr>
        <w:ind w:right="340" w:firstLine="555"/>
        <w:spacing w:after="0" w:line="312" w:lineRule="auto"/>
        <w:rPr>
          <w:sz w:val="20"/>
          <w:szCs w:val="20"/>
          <w:color w:val="auto"/>
        </w:rPr>
      </w:pPr>
      <w:r>
        <w:rPr>
          <w:rFonts w:ascii="Arial" w:cs="Arial" w:eastAsia="Arial" w:hAnsi="Arial"/>
          <w:sz w:val="16"/>
          <w:szCs w:val="16"/>
          <w:color w:val="auto"/>
        </w:rPr>
        <w:t>Amortization expense with respect to trade names and loyalty program for the years ended December 31, 2018 and 2017 totaled $12.7 million and $5.1 million, respectively, which is included in depreciation and amortization in the Consolidated Statements of Income. Such amortization expense is expected to be $30.6 million, $27.4 million, $21.2 million and $4.2 million for the years ended December 31, 2019, 2020, 2021 and 2022, respectively.</w:t>
      </w:r>
    </w:p>
    <w:p>
      <w:pPr>
        <w:spacing w:after="0" w:line="147" w:lineRule="exact"/>
        <w:rPr>
          <w:sz w:val="20"/>
          <w:szCs w:val="20"/>
          <w:color w:val="auto"/>
        </w:rPr>
      </w:pPr>
    </w:p>
    <w:p>
      <w:pPr>
        <w:ind w:right="380" w:firstLine="555"/>
        <w:spacing w:after="0" w:line="277" w:lineRule="auto"/>
        <w:rPr>
          <w:sz w:val="20"/>
          <w:szCs w:val="20"/>
          <w:color w:val="auto"/>
        </w:rPr>
      </w:pPr>
      <w:r>
        <w:rPr>
          <w:rFonts w:ascii="Arial" w:cs="Arial" w:eastAsia="Arial" w:hAnsi="Arial"/>
          <w:sz w:val="18"/>
          <w:szCs w:val="18"/>
          <w:color w:val="auto"/>
        </w:rPr>
        <w:t>In conjunction with the classification of Presque’s assets being held for sale, $75.4 million in licenses, $1.6 million in finite lived trade names and amortization were transferred to assets held for sale on the Consolidated Balance Sheet.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changes to goodwill for the years ended December 31, 2018 and 2017 (in thousands):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Goodwill</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3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Goodwill, net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Impairment</w:t>
            </w:r>
          </w:p>
        </w:tc>
        <w:tc>
          <w:tcPr>
            <w:tcW w:w="2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January 1, 2017</w:t>
            </w:r>
          </w:p>
        </w:tc>
        <w:tc>
          <w:tcPr>
            <w:tcW w:w="18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66,826</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66,826</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60"/>
              <w:spacing w:after="0"/>
              <w:rPr>
                <w:sz w:val="20"/>
                <w:szCs w:val="20"/>
                <w:color w:val="auto"/>
              </w:rPr>
            </w:pPr>
            <w:r>
              <w:rPr>
                <w:rFonts w:ascii="Arial" w:cs="Arial" w:eastAsia="Arial" w:hAnsi="Arial"/>
                <w:sz w:val="18"/>
                <w:szCs w:val="18"/>
                <w:color w:val="auto"/>
              </w:rPr>
              <w:t>Acquisitions</w:t>
            </w: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715,196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715,196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Impairments</w:t>
            </w:r>
          </w:p>
        </w:tc>
        <w:tc>
          <w:tcPr>
            <w:tcW w:w="1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(34,916)</w:t>
            </w: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(34,916)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December 31, 2017</w:t>
            </w:r>
          </w:p>
        </w:tc>
        <w:tc>
          <w:tcPr>
            <w:tcW w:w="18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782,022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(34,916)</w:t>
            </w:r>
          </w:p>
        </w:tc>
        <w:tc>
          <w:tcPr>
            <w:tcW w:w="2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747,106</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Acquisitions</w:t>
            </w:r>
          </w:p>
        </w:tc>
        <w:tc>
          <w:tcPr>
            <w:tcW w:w="1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280,256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280,256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60"/>
              <w:spacing w:after="0"/>
              <w:rPr>
                <w:sz w:val="20"/>
                <w:szCs w:val="20"/>
                <w:color w:val="auto"/>
              </w:rPr>
            </w:pPr>
            <w:r>
              <w:rPr>
                <w:rFonts w:ascii="Arial" w:cs="Arial" w:eastAsia="Arial" w:hAnsi="Arial"/>
                <w:sz w:val="18"/>
                <w:szCs w:val="18"/>
                <w:color w:val="auto"/>
              </w:rPr>
              <w:t>Finalization of purchase price accounting</w:t>
            </w: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(6,109)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(6,109)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Assets held for sale</w:t>
            </w:r>
          </w:p>
        </w:tc>
        <w:tc>
          <w:tcPr>
            <w:tcW w:w="1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(3,122)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60"/>
              <w:spacing w:after="0"/>
              <w:rPr>
                <w:sz w:val="20"/>
                <w:szCs w:val="20"/>
                <w:color w:val="auto"/>
              </w:rPr>
            </w:pPr>
            <w:r>
              <w:rPr>
                <w:rFonts w:ascii="Arial" w:cs="Arial" w:eastAsia="Arial" w:hAnsi="Arial"/>
                <w:sz w:val="18"/>
                <w:szCs w:val="18"/>
                <w:color w:val="auto"/>
              </w:rPr>
              <w:t>Impairments</w:t>
            </w: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(9,815)</w:t>
            </w:r>
          </w:p>
        </w:tc>
        <w:tc>
          <w:tcPr>
            <w:tcW w:w="2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(9,815)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December 31, 2018</w:t>
            </w:r>
          </w:p>
        </w:tc>
        <w:tc>
          <w:tcPr>
            <w:tcW w:w="18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1,053,047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(44,731)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1,008,316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840" w:type="dxa"/>
            <w:vAlign w:val="bottom"/>
            <w:vMerge w:val="restart"/>
          </w:tcPr>
          <w:p>
            <w:pPr>
              <w:jc w:val="right"/>
              <w:ind w:right="310"/>
              <w:spacing w:after="0"/>
              <w:rPr>
                <w:sz w:val="20"/>
                <w:szCs w:val="20"/>
                <w:color w:val="auto"/>
              </w:rPr>
            </w:pPr>
            <w:r>
              <w:rPr>
                <w:rFonts w:ascii="Arial" w:cs="Arial" w:eastAsia="Arial" w:hAnsi="Arial"/>
                <w:sz w:val="18"/>
                <w:szCs w:val="18"/>
                <w:color w:val="auto"/>
              </w:rPr>
              <w:t>100</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0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02" w:name="page103"/>
    <w:bookmarkEnd w:id="102"/>
    <w:p>
      <w:pPr>
        <w:jc w:val="both"/>
        <w:ind w:right="220" w:firstLine="555"/>
        <w:spacing w:after="0" w:line="264" w:lineRule="auto"/>
        <w:rPr>
          <w:sz w:val="20"/>
          <w:szCs w:val="20"/>
          <w:color w:val="auto"/>
        </w:rPr>
      </w:pPr>
      <w:r>
        <w:rPr>
          <w:rFonts w:ascii="Arial" w:cs="Arial" w:eastAsia="Arial" w:hAnsi="Arial"/>
          <w:sz w:val="18"/>
          <w:szCs w:val="18"/>
          <w:color w:val="auto"/>
        </w:rPr>
        <w:t>On October 1, 2018 the Company performed its annual impairment tests of its intangible assets by reviewing each of its reporting units. During the impairment test, no reporting units were noted to have a carrying value in excess of fair value. As a result, no impairments were indicated as a result of this testing for goodwill.</w:t>
      </w:r>
    </w:p>
    <w:p>
      <w:pPr>
        <w:spacing w:after="0" w:line="181"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color w:val="auto"/>
        </w:rPr>
        <w:t>In conjunction with the classification of Vicksburg’s operations as assets held for sale at March 31, 2018 (see Note 5) as a result of the announced sale to CDI, an impairment charge totaling $9.8 million was recorded due to the carrying value exceeding the estimated net sales proceeds. The impairment reduced the value of goodwill in the South segment.</w:t>
      </w:r>
    </w:p>
    <w:p>
      <w:pPr>
        <w:spacing w:after="0" w:line="181" w:lineRule="exact"/>
        <w:rPr>
          <w:sz w:val="20"/>
          <w:szCs w:val="20"/>
          <w:color w:val="auto"/>
        </w:rPr>
      </w:pPr>
    </w:p>
    <w:p>
      <w:pPr>
        <w:jc w:val="both"/>
        <w:ind w:right="60" w:firstLine="555"/>
        <w:spacing w:after="0" w:line="264" w:lineRule="auto"/>
        <w:rPr>
          <w:sz w:val="20"/>
          <w:szCs w:val="20"/>
          <w:color w:val="auto"/>
        </w:rPr>
      </w:pPr>
      <w:r>
        <w:rPr>
          <w:rFonts w:ascii="Arial" w:cs="Arial" w:eastAsia="Arial" w:hAnsi="Arial"/>
          <w:sz w:val="18"/>
          <w:szCs w:val="18"/>
          <w:color w:val="auto"/>
        </w:rPr>
        <w:t>On October 1, 2017 the Company performed its annual impairment tests of its intangible assets by reviewing each of its reporting units. The goodwill analysis of the Company’s Lake Charles, Lula and Vicksburg reporting units indicated the fair value of Lake Charles’ and Vicksburg’s goodwill and all three reporting units’ trade names were less than their carrying values.</w:t>
      </w:r>
    </w:p>
    <w:p>
      <w:pPr>
        <w:spacing w:after="0" w:line="222" w:lineRule="exact"/>
        <w:rPr>
          <w:sz w:val="20"/>
          <w:szCs w:val="20"/>
          <w:color w:val="auto"/>
        </w:rPr>
      </w:pPr>
    </w:p>
    <w:p>
      <w:pPr>
        <w:ind w:right="120" w:firstLine="555"/>
        <w:spacing w:after="0" w:line="264" w:lineRule="auto"/>
        <w:rPr>
          <w:sz w:val="20"/>
          <w:szCs w:val="20"/>
          <w:color w:val="auto"/>
        </w:rPr>
      </w:pPr>
      <w:r>
        <w:rPr>
          <w:rFonts w:ascii="Arial" w:cs="Arial" w:eastAsia="Arial" w:hAnsi="Arial"/>
          <w:sz w:val="18"/>
          <w:szCs w:val="18"/>
          <w:color w:val="auto"/>
        </w:rPr>
        <w:t>As a result of its analysis, the Company recorded a $38.0 million impairment charge in 2017 comprised of the following: $1.5 million, $0.3 million and $1.3 million related to trade names for Lake Charles, Lula and Vicksburg, respectively, and $11.7 million and $23.2 million related to goodwill for Lake Charles and Vicksburg, respectively.</w:t>
      </w:r>
    </w:p>
    <w:p>
      <w:pPr>
        <w:spacing w:after="0" w:line="222" w:lineRule="exact"/>
        <w:rPr>
          <w:sz w:val="20"/>
          <w:szCs w:val="20"/>
          <w:color w:val="auto"/>
        </w:rPr>
      </w:pPr>
    </w:p>
    <w:p>
      <w:pPr>
        <w:ind w:right="180" w:firstLine="555"/>
        <w:spacing w:after="0" w:line="259" w:lineRule="auto"/>
        <w:rPr>
          <w:sz w:val="20"/>
          <w:szCs w:val="20"/>
          <w:color w:val="auto"/>
        </w:rPr>
      </w:pPr>
      <w:r>
        <w:rPr>
          <w:rFonts w:ascii="Arial" w:cs="Arial" w:eastAsia="Arial" w:hAnsi="Arial"/>
          <w:sz w:val="18"/>
          <w:szCs w:val="18"/>
          <w:color w:val="auto"/>
        </w:rPr>
        <w:t>The Company’s goodwill impairment charges in 2017 were primarily the result of expected decreases in future cash flows as a result of unfavorable economic conditions and the impact of changes in our competitors. The non-recurring fair values used in our determination of the goodwill impairment charges considered Level 3 inputs, including the review of comparable activities in the marketplace, discounted cash flows and market based multiple valuation methods.</w:t>
      </w:r>
    </w:p>
    <w:p>
      <w:pPr>
        <w:spacing w:after="0" w:line="187" w:lineRule="exact"/>
        <w:rPr>
          <w:sz w:val="20"/>
          <w:szCs w:val="20"/>
          <w:color w:val="auto"/>
        </w:rPr>
      </w:pPr>
    </w:p>
    <w:p>
      <w:pPr>
        <w:ind w:right="60" w:firstLine="555"/>
        <w:spacing w:after="0" w:line="224" w:lineRule="exact"/>
        <w:rPr>
          <w:sz w:val="20"/>
          <w:szCs w:val="20"/>
          <w:color w:val="auto"/>
        </w:rPr>
      </w:pPr>
      <w:r>
        <w:rPr>
          <w:rFonts w:ascii="Arial" w:cs="Arial" w:eastAsia="Arial" w:hAnsi="Arial"/>
          <w:sz w:val="16"/>
          <w:szCs w:val="16"/>
          <w:color w:val="auto"/>
        </w:rPr>
        <w:t>The Company’s trade name impairment charges in 2017 were primarily the result of expected decreases in future net revenues. The non-recurring fair values used in our determination of the trade name impairment charges considered Level 3 inputs, including use of the relief</w:t>
      </w:r>
      <w:r>
        <w:rPr>
          <w:rFonts w:ascii="MS PGothic" w:cs="MS PGothic" w:eastAsia="MS PGothic" w:hAnsi="MS PGothic"/>
          <w:sz w:val="16"/>
          <w:szCs w:val="16"/>
          <w:color w:val="auto"/>
        </w:rPr>
        <w:t>‑</w:t>
      </w:r>
      <w:r>
        <w:rPr>
          <w:rFonts w:ascii="Arial" w:cs="Arial" w:eastAsia="Arial" w:hAnsi="Arial"/>
          <w:sz w:val="16"/>
          <w:szCs w:val="16"/>
          <w:color w:val="auto"/>
        </w:rPr>
        <w:t>from</w:t>
      </w:r>
      <w:r>
        <w:rPr>
          <w:rFonts w:ascii="MS PGothic" w:cs="MS PGothic" w:eastAsia="MS PGothic" w:hAnsi="MS PGothic"/>
          <w:sz w:val="16"/>
          <w:szCs w:val="16"/>
          <w:color w:val="auto"/>
        </w:rPr>
        <w:t>‑</w:t>
      </w:r>
      <w:r>
        <w:rPr>
          <w:rFonts w:ascii="Arial" w:cs="Arial" w:eastAsia="Arial" w:hAnsi="Arial"/>
          <w:sz w:val="16"/>
          <w:szCs w:val="16"/>
          <w:color w:val="auto"/>
        </w:rPr>
        <w:t>royalty method.</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 net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assets, net, include the following amounts (in thousands):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23"/>
        </w:trPr>
        <w:tc>
          <w:tcPr>
            <w:tcW w:w="426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9"/>
                <w:szCs w:val="19"/>
                <w:color w:val="auto"/>
              </w:rPr>
            </w:pPr>
          </w:p>
        </w:tc>
      </w:tr>
      <w:tr>
        <w:trPr>
          <w:trHeight w:val="223"/>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CRDA bonds and deposits</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6,694</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15"/>
        </w:trPr>
        <w:tc>
          <w:tcPr>
            <w:tcW w:w="4260" w:type="dxa"/>
            <w:vAlign w:val="bottom"/>
          </w:tcPr>
          <w:p>
            <w:pPr>
              <w:spacing w:after="0"/>
              <w:rPr>
                <w:sz w:val="20"/>
                <w:szCs w:val="20"/>
                <w:color w:val="auto"/>
              </w:rPr>
            </w:pPr>
            <w:r>
              <w:rPr>
                <w:rFonts w:ascii="Arial" w:cs="Arial" w:eastAsia="Arial" w:hAnsi="Arial"/>
                <w:sz w:val="18"/>
                <w:szCs w:val="18"/>
                <w:color w:val="auto"/>
              </w:rPr>
              <w:t>Unamortized debt issuance costs - Revolving</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4260" w:type="dxa"/>
            <w:vAlign w:val="bottom"/>
          </w:tcPr>
          <w:p>
            <w:pPr>
              <w:ind w:left="140"/>
              <w:spacing w:after="0"/>
              <w:rPr>
                <w:sz w:val="20"/>
                <w:szCs w:val="20"/>
                <w:color w:val="auto"/>
              </w:rPr>
            </w:pPr>
            <w:r>
              <w:rPr>
                <w:rFonts w:ascii="Arial" w:cs="Arial" w:eastAsia="Arial" w:hAnsi="Arial"/>
                <w:sz w:val="18"/>
                <w:szCs w:val="18"/>
                <w:color w:val="auto"/>
              </w:rPr>
              <w:t>Credit Facility</w:t>
            </w: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9,533</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8,616</w:t>
            </w:r>
          </w:p>
        </w:tc>
        <w:tc>
          <w:tcPr>
            <w:tcW w:w="180" w:type="dxa"/>
            <w:vAlign w:val="bottom"/>
          </w:tcPr>
          <w:p>
            <w:pPr>
              <w:spacing w:after="0"/>
              <w:rPr>
                <w:sz w:val="20"/>
                <w:szCs w:val="20"/>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Non-operating real property</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17,880</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18,069</w:t>
            </w:r>
          </w:p>
        </w:tc>
        <w:tc>
          <w:tcPr>
            <w:tcW w:w="180" w:type="dxa"/>
            <w:vAlign w:val="bottom"/>
            <w:shd w:val="clear" w:color="auto" w:fill="CFF0FC"/>
          </w:tcPr>
          <w:p>
            <w:pPr>
              <w:spacing w:after="0"/>
              <w:rPr>
                <w:sz w:val="19"/>
                <w:szCs w:val="19"/>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Long-term prepaid rent</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20,198</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and investments</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15,064</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9,886</w:t>
            </w:r>
          </w:p>
        </w:tc>
        <w:tc>
          <w:tcPr>
            <w:tcW w:w="180" w:type="dxa"/>
            <w:vAlign w:val="bottom"/>
            <w:shd w:val="clear" w:color="auto" w:fill="CFF0FC"/>
          </w:tcPr>
          <w:p>
            <w:pPr>
              <w:spacing w:after="0"/>
              <w:rPr>
                <w:sz w:val="19"/>
                <w:szCs w:val="19"/>
                <w:color w:val="auto"/>
              </w:rPr>
            </w:pPr>
          </w:p>
        </w:tc>
      </w:tr>
      <w:tr>
        <w:trPr>
          <w:trHeight w:val="230"/>
        </w:trPr>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15,969</w:t>
            </w:r>
          </w:p>
        </w:tc>
        <w:tc>
          <w:tcPr>
            <w:tcW w:w="2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12,130</w:t>
            </w:r>
          </w:p>
        </w:tc>
        <w:tc>
          <w:tcPr>
            <w:tcW w:w="180" w:type="dxa"/>
            <w:vAlign w:val="bottom"/>
            <w:tcBorders>
              <w:bottom w:val="single" w:sz="8" w:color="CFF0FC"/>
            </w:tcBorders>
          </w:tcPr>
          <w:p>
            <w:pPr>
              <w:spacing w:after="0"/>
              <w:rPr>
                <w:sz w:val="19"/>
                <w:szCs w:val="19"/>
                <w:color w:val="auto"/>
              </w:rPr>
            </w:pPr>
          </w:p>
        </w:tc>
      </w:tr>
      <w:tr>
        <w:trPr>
          <w:trHeight w:val="223"/>
        </w:trPr>
        <w:tc>
          <w:tcPr>
            <w:tcW w:w="42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assets, net</w:t>
            </w:r>
          </w:p>
        </w:tc>
        <w:tc>
          <w:tcPr>
            <w:tcW w:w="10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85,338</w:t>
            </w:r>
          </w:p>
        </w:tc>
        <w:tc>
          <w:tcPr>
            <w:tcW w:w="2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48,701</w:t>
            </w:r>
          </w:p>
        </w:tc>
        <w:tc>
          <w:tcPr>
            <w:tcW w:w="180" w:type="dxa"/>
            <w:vAlign w:val="bottom"/>
            <w:tcBorders>
              <w:bottom w:val="single" w:sz="8" w:color="CFF0FC"/>
            </w:tcBorders>
            <w:shd w:val="clear" w:color="auto" w:fill="CFF0FC"/>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The CRDA bonds have various contractual maturities that range up to 40 years. Actual maturities may differ from contractual maturities because of prepayment rights. The Company treats CRDA bonds as held-to-maturity since the Company has the ability and the intent to hold these bonds to maturity and under the CRDA, the Company is not permitted to do otherwise.</w:t>
      </w:r>
    </w:p>
    <w:p>
      <w:pPr>
        <w:spacing w:after="0" w:line="222" w:lineRule="exact"/>
        <w:rPr>
          <w:sz w:val="20"/>
          <w:szCs w:val="20"/>
          <w:color w:val="auto"/>
        </w:rPr>
      </w:pPr>
    </w:p>
    <w:p>
      <w:pPr>
        <w:jc w:val="both"/>
        <w:ind w:right="260" w:firstLine="555"/>
        <w:spacing w:after="0" w:line="264" w:lineRule="auto"/>
        <w:rPr>
          <w:sz w:val="20"/>
          <w:szCs w:val="20"/>
          <w:color w:val="auto"/>
        </w:rPr>
      </w:pPr>
      <w:r>
        <w:rPr>
          <w:rFonts w:ascii="Arial" w:cs="Arial" w:eastAsia="Arial" w:hAnsi="Arial"/>
          <w:sz w:val="18"/>
          <w:szCs w:val="18"/>
          <w:color w:val="auto"/>
        </w:rPr>
        <w:t>After the initial determination of fair value, the Company analyzes the CRDA bonds for recoverability on a quarterly basis based on management's historical collection experience and other information received from the CRDA. If indications exist that the CRDA bond is impaired, additional valuation allowances are recorded.</w:t>
      </w:r>
    </w:p>
    <w:p>
      <w:pPr>
        <w:spacing w:after="0" w:line="208" w:lineRule="exact"/>
        <w:rPr>
          <w:sz w:val="20"/>
          <w:szCs w:val="20"/>
          <w:color w:val="auto"/>
        </w:rPr>
      </w:pPr>
    </w:p>
    <w:p>
      <w:pPr>
        <w:ind w:right="360" w:firstLine="555"/>
        <w:spacing w:after="0" w:line="279" w:lineRule="auto"/>
        <w:rPr>
          <w:sz w:val="20"/>
          <w:szCs w:val="20"/>
          <w:color w:val="auto"/>
        </w:rPr>
      </w:pPr>
      <w:r>
        <w:rPr>
          <w:rFonts w:ascii="Arial" w:cs="Arial" w:eastAsia="Arial" w:hAnsi="Arial"/>
          <w:sz w:val="17"/>
          <w:szCs w:val="17"/>
          <w:color w:val="auto"/>
        </w:rPr>
        <w:t>Approximately ten acres of the approximately 20 acres on which Tropicana Evansville is situated is subject to a lease with the City of Evansville, Indiana. Under the terms of the agreement, a pre-payment of lease rent in the amount of $25 million was due at the commencement of the construction project. The prepayments will be applied against future rent in equal monthly amounts over a period of one hundred and twenty (120) months which commenced upon the opening of the property in January 2018. The current term of the lease expires November 30, 2027.</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Note 9. Accrued Other Liabilities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other liabilities consisted of the following (in thousands):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53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3"/>
                <w:szCs w:val="13"/>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Accrued general liability claims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16,465</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13,816</w:t>
            </w:r>
          </w:p>
        </w:tc>
        <w:tc>
          <w:tcPr>
            <w:tcW w:w="6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Unclaimed chips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8,930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4,743</w:t>
            </w:r>
          </w:p>
        </w:tc>
        <w:tc>
          <w:tcPr>
            <w:tcW w:w="6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Accrued purses and track related liabilities</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1,899</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3,256</w:t>
            </w:r>
          </w:p>
        </w:tc>
        <w:tc>
          <w:tcPr>
            <w:tcW w:w="60" w:type="dxa"/>
            <w:vAlign w:val="bottom"/>
            <w:shd w:val="clear" w:color="auto" w:fill="CFF0FC"/>
          </w:tcPr>
          <w:p>
            <w:pPr>
              <w:spacing w:after="0"/>
              <w:rPr>
                <w:sz w:val="19"/>
                <w:szCs w:val="19"/>
                <w:color w:val="auto"/>
              </w:rPr>
            </w:pPr>
          </w:p>
        </w:tc>
      </w:tr>
      <w:tr>
        <w:trPr>
          <w:trHeight w:val="215"/>
        </w:trPr>
        <w:tc>
          <w:tcPr>
            <w:tcW w:w="5340" w:type="dxa"/>
            <w:vAlign w:val="bottom"/>
          </w:tcPr>
          <w:p>
            <w:pPr>
              <w:spacing w:after="0"/>
              <w:rPr>
                <w:sz w:val="20"/>
                <w:szCs w:val="20"/>
                <w:color w:val="auto"/>
              </w:rPr>
            </w:pPr>
            <w:r>
              <w:rPr>
                <w:rFonts w:ascii="Arial" w:cs="Arial" w:eastAsia="Arial" w:hAnsi="Arial"/>
                <w:sz w:val="18"/>
                <w:szCs w:val="18"/>
                <w:color w:val="auto"/>
              </w:rPr>
              <w:t>Jackpot progressives and other accrued gaming</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340" w:type="dxa"/>
            <w:vAlign w:val="bottom"/>
          </w:tcPr>
          <w:p>
            <w:pPr>
              <w:ind w:left="140"/>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26,383</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18,724</w:t>
            </w:r>
          </w:p>
        </w:tc>
        <w:tc>
          <w:tcPr>
            <w:tcW w:w="60" w:type="dxa"/>
            <w:vAlign w:val="bottom"/>
          </w:tcPr>
          <w:p>
            <w:pPr>
              <w:spacing w:after="0"/>
              <w:rPr>
                <w:sz w:val="20"/>
                <w:szCs w:val="20"/>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Player loyalty program point liability</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17,639</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11,753</w:t>
            </w:r>
          </w:p>
        </w:tc>
        <w:tc>
          <w:tcPr>
            <w:tcW w:w="6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Accrued Illinois donation liability</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8,912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Accrued rent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4,324</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2,074</w:t>
            </w:r>
          </w:p>
        </w:tc>
        <w:tc>
          <w:tcPr>
            <w:tcW w:w="60" w:type="dxa"/>
            <w:vAlign w:val="bottom"/>
            <w:shd w:val="clear" w:color="auto" w:fill="CFF0FC"/>
          </w:tcPr>
          <w:p>
            <w:pPr>
              <w:spacing w:after="0"/>
              <w:rPr>
                <w:sz w:val="19"/>
                <w:szCs w:val="19"/>
                <w:color w:val="auto"/>
              </w:rPr>
            </w:pPr>
          </w:p>
        </w:tc>
      </w:tr>
      <w:tr>
        <w:trPr>
          <w:trHeight w:val="230"/>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18,430</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11,672</w:t>
            </w:r>
          </w:p>
        </w:tc>
        <w:tc>
          <w:tcPr>
            <w:tcW w:w="60" w:type="dxa"/>
            <w:vAlign w:val="bottom"/>
            <w:tcBorders>
              <w:bottom w:val="single" w:sz="8" w:color="CFF0FC"/>
            </w:tcBorders>
          </w:tcPr>
          <w:p>
            <w:pPr>
              <w:spacing w:after="0"/>
              <w:rPr>
                <w:sz w:val="19"/>
                <w:szCs w:val="19"/>
                <w:color w:val="auto"/>
              </w:rPr>
            </w:pPr>
          </w:p>
        </w:tc>
      </w:tr>
      <w:tr>
        <w:trPr>
          <w:trHeight w:val="223"/>
        </w:trPr>
        <w:tc>
          <w:tcPr>
            <w:tcW w:w="53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accrued other liabilities</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102,982</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66,038</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555"/>
        <w:spacing w:after="0" w:line="302" w:lineRule="auto"/>
        <w:rPr>
          <w:sz w:val="20"/>
          <w:szCs w:val="20"/>
          <w:color w:val="auto"/>
        </w:rPr>
      </w:pPr>
      <w:r>
        <w:rPr>
          <w:rFonts w:ascii="Arial" w:cs="Arial" w:eastAsia="Arial" w:hAnsi="Arial"/>
          <w:sz w:val="16"/>
          <w:szCs w:val="16"/>
          <w:color w:val="auto"/>
        </w:rPr>
        <w:t>In connection with the Company’s gaming license in the State of Illinois, the Company has agreed to contribute to both the County of Kane and the Grand Victoria Foundation, a foundation established for the benefit of education, environmental and economic development programs in the region, a donation equal to 20% of annual adjusted net operating income. The expense for the period from the Elgin Acquisition date through December 31, 2018 totaled $3.5 million and is included in general and administrative expense. Payment of the donation is due 120 days after the end of the fiscal year.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Long-Term Financing Obligation</w:t>
      </w:r>
    </w:p>
    <w:p>
      <w:pPr>
        <w:spacing w:after="0" w:line="121"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The Company’s Master Lease with GLPI is accounted for as a failed sale-leaseback financing obligation equal to the fair value of the leased real estate assets. Under the terms of the Master Lease, and based on certain prohibited forms of continuing involvement in the leased assets, the Master Lease did not qualify for sale-leaseback accounting and was accounted for as a financing obligation.</w:t>
      </w:r>
    </w:p>
    <w:p>
      <w:pPr>
        <w:spacing w:after="0" w:line="181" w:lineRule="exact"/>
        <w:rPr>
          <w:sz w:val="20"/>
          <w:szCs w:val="20"/>
          <w:color w:val="auto"/>
        </w:rPr>
      </w:pPr>
    </w:p>
    <w:p>
      <w:pPr>
        <w:ind w:right="140" w:firstLine="555"/>
        <w:spacing w:after="0" w:line="273" w:lineRule="auto"/>
        <w:rPr>
          <w:sz w:val="20"/>
          <w:szCs w:val="20"/>
          <w:color w:val="auto"/>
        </w:rPr>
      </w:pPr>
      <w:r>
        <w:rPr>
          <w:rFonts w:ascii="Arial" w:cs="Arial" w:eastAsia="Arial" w:hAnsi="Arial"/>
          <w:sz w:val="17"/>
          <w:szCs w:val="17"/>
          <w:color w:val="auto"/>
        </w:rPr>
        <w:t>When cash proceeds are exchanged, a failed sale-leaseback financing obligation is equal to the proceeds received for the assets that are sold and then leased back. However, in the absence of cash proceeds, the value of the failed sale-leaseback financing obligations recognized in this transaction was determined to be the fair value of the leased real estate assets. In subsequent periods, a portion of the periodic lease payment under the Master Lease will be recognized as interest expense with the remainder of the lease payment reducing the failed sale-leaseback financing obligation using the effective interest method. However, the failed sale-leaseback obligations will not be reduced to less than the net book value of the leased real estate assets as of the end of the lease term, which is estimated to be $372.8 million.</w:t>
      </w:r>
    </w:p>
    <w:p>
      <w:pPr>
        <w:spacing w:after="0" w:line="178"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The fair value of the real estate assets and the related failed sale-leaseback financing obligations were estimated based on the present value of the estimated future lease payments over the lease term of 35 years, including renewal options, using an imputed discount rate of approximately 10.2%. The value of the failed sale-leaseback financing obligations is dependent upon assumptions regarding the amount of the lease payments and the estimated discount rate of the lease payments required by a market participant.</w:t>
      </w:r>
    </w:p>
    <w:p>
      <w:pPr>
        <w:spacing w:after="0" w:line="187"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color w:val="auto"/>
        </w:rPr>
        <w:t>The Master Lease provides for the lease of land, buildings, structures and other improvements on the land (including barges and riverboats), easements and similar appurtenances to the land and improvements relating to the operation of the leased properties. The Master Lease provides for an initial term of fifteen years with no purchase option. At the Company’s option, the Master Lease may be extended for up to four five-year renewal terms beyond the initial 15-year term. If we elect to renew the term of the Master Lease, the renewal will be effective as to all, but not less than all, of the leased property then subject to the Master Lease. The Company does not have the ability to terminate its obligations under the Master Lease prior to its expiration without GLPI’s consent.</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rent payable under the Master Lease is comprised of “Base Rent” and “Percentage Rent.” Base rent is the sum of:</w:t>
      </w:r>
    </w:p>
    <w:p>
      <w:pPr>
        <w:spacing w:after="0" w:line="117" w:lineRule="exact"/>
        <w:rPr>
          <w:sz w:val="20"/>
          <w:szCs w:val="20"/>
          <w:color w:val="auto"/>
        </w:rPr>
      </w:pPr>
    </w:p>
    <w:p>
      <w:pPr>
        <w:jc w:val="both"/>
        <w:ind w:left="1120" w:right="200" w:hanging="558"/>
        <w:spacing w:after="0" w:line="264" w:lineRule="auto"/>
        <w:tabs>
          <w:tab w:leader="none" w:pos="1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Building Base Rent: a fixed component equal to $60.9 million during the first year of the Master Lease, and thereafter escalated annually by 2%, subject to a cap that would cause the preceding year’s adjusted revenue to rent ratio for the properties in the aggregate not to fall below 1.20:1.00 for the first five years of the Master Lease and 1.80:1.00 thereafter; plus</w:t>
      </w:r>
    </w:p>
    <w:p>
      <w:pPr>
        <w:spacing w:after="0" w:line="73" w:lineRule="exact"/>
        <w:rPr>
          <w:rFonts w:ascii="Arial" w:cs="Arial" w:eastAsia="Arial" w:hAnsi="Arial"/>
          <w:sz w:val="18"/>
          <w:szCs w:val="18"/>
          <w:color w:val="auto"/>
        </w:rPr>
      </w:pPr>
    </w:p>
    <w:p>
      <w:pPr>
        <w:ind w:left="1120" w:right="380" w:hanging="558"/>
        <w:spacing w:after="0" w:line="277" w:lineRule="auto"/>
        <w:tabs>
          <w:tab w:leader="none" w:pos="1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Land Base Rent: an additional fixed component equal to $13.4 million, subject to adjustment in the event of the termination of the Master Lease with respect to any of the leased properties.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04" w:name="page105"/>
    <w:bookmarkEnd w:id="104"/>
    <w:p>
      <w:pPr>
        <w:ind w:right="80" w:firstLine="555"/>
        <w:spacing w:after="0" w:line="264" w:lineRule="auto"/>
        <w:rPr>
          <w:sz w:val="20"/>
          <w:szCs w:val="20"/>
          <w:color w:val="auto"/>
        </w:rPr>
      </w:pPr>
      <w:r>
        <w:rPr>
          <w:rFonts w:ascii="Arial" w:cs="Arial" w:eastAsia="Arial" w:hAnsi="Arial"/>
          <w:sz w:val="18"/>
          <w:szCs w:val="18"/>
          <w:color w:val="auto"/>
        </w:rPr>
        <w:t>The percentage rent payable under the Master Lease is adjusted every two years based on the actual net revenues of the leased properties during the two-year period then ended. The initial variable rent percentage, which is fixed for the first two years, is $13.4 million per year. The actual percentage increase is based on actual performance and is subject to change.</w:t>
      </w:r>
    </w:p>
    <w:p>
      <w:pPr>
        <w:spacing w:after="0" w:line="181" w:lineRule="exact"/>
        <w:rPr>
          <w:sz w:val="20"/>
          <w:szCs w:val="20"/>
          <w:color w:val="auto"/>
        </w:rPr>
      </w:pPr>
    </w:p>
    <w:p>
      <w:pPr>
        <w:ind w:right="260" w:firstLine="555"/>
        <w:spacing w:after="0" w:line="302" w:lineRule="auto"/>
        <w:rPr>
          <w:sz w:val="20"/>
          <w:szCs w:val="20"/>
          <w:color w:val="auto"/>
        </w:rPr>
      </w:pPr>
      <w:r>
        <w:rPr>
          <w:rFonts w:ascii="Arial" w:cs="Arial" w:eastAsia="Arial" w:hAnsi="Arial"/>
          <w:sz w:val="16"/>
          <w:szCs w:val="16"/>
          <w:color w:val="auto"/>
        </w:rPr>
        <w:t>Under the Master Lease, the Company is required to pay the following, among other things: lease payments to the underlying ground lessor for properties that are subject to ground leases, facility maintenance costs, all insurance premiums for insurance with respect to the leased properties and the business conducted on the leased properties, taxes levied on or with respect to the leased properties (other than taxes on the income of the lessor and all utilities and other services necessary or appropriate for the leased properties and the business conducted on the leased properties).</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initial annual rent under the terms of the lease is $87.6 million.</w:t>
      </w:r>
    </w:p>
    <w:p>
      <w:pPr>
        <w:spacing w:after="0" w:line="225"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color w:val="auto"/>
        </w:rPr>
        <w:t>The estimated future lease payments include the minimum lease payments and were adjusted to reflect estimated lease payments as described in the agreements, including an annual escalator of up to 2%.</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future minimum payments related to the Master Lease financing obligation with GLPI at December 31, 2018 are as follows (in thousands):</w:t>
      </w:r>
    </w:p>
    <w:p>
      <w:pPr>
        <w:spacing w:after="0" w:line="251"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40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87,943</w:t>
            </w:r>
          </w:p>
        </w:tc>
        <w:tc>
          <w:tcPr>
            <w:tcW w:w="80" w:type="dxa"/>
            <w:vAlign w:val="bottom"/>
            <w:shd w:val="clear" w:color="auto" w:fill="CFF0FC"/>
          </w:tcPr>
          <w:p>
            <w:pPr>
              <w:spacing w:after="0"/>
              <w:rPr>
                <w:sz w:val="19"/>
                <w:szCs w:val="19"/>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89,168</w:t>
            </w:r>
          </w:p>
        </w:tc>
        <w:tc>
          <w:tcPr>
            <w:tcW w:w="80" w:type="dxa"/>
            <w:vAlign w:val="bottom"/>
          </w:tcPr>
          <w:p>
            <w:pPr>
              <w:spacing w:after="0"/>
              <w:rPr>
                <w:sz w:val="19"/>
                <w:szCs w:val="19"/>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90,417</w:t>
            </w:r>
          </w:p>
        </w:tc>
        <w:tc>
          <w:tcPr>
            <w:tcW w:w="80" w:type="dxa"/>
            <w:vAlign w:val="bottom"/>
            <w:shd w:val="clear" w:color="auto" w:fill="CFF0FC"/>
          </w:tcPr>
          <w:p>
            <w:pPr>
              <w:spacing w:after="0"/>
              <w:rPr>
                <w:sz w:val="19"/>
                <w:szCs w:val="19"/>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91,691</w:t>
            </w:r>
          </w:p>
        </w:tc>
        <w:tc>
          <w:tcPr>
            <w:tcW w:w="80" w:type="dxa"/>
            <w:vAlign w:val="bottom"/>
          </w:tcPr>
          <w:p>
            <w:pPr>
              <w:spacing w:after="0"/>
              <w:rPr>
                <w:sz w:val="19"/>
                <w:szCs w:val="19"/>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92,990</w:t>
            </w:r>
          </w:p>
        </w:tc>
        <w:tc>
          <w:tcPr>
            <w:tcW w:w="80" w:type="dxa"/>
            <w:vAlign w:val="bottom"/>
            <w:shd w:val="clear" w:color="auto" w:fill="CFF0FC"/>
          </w:tcPr>
          <w:p>
            <w:pPr>
              <w:spacing w:after="0"/>
              <w:rPr>
                <w:sz w:val="19"/>
                <w:szCs w:val="19"/>
                <w:color w:val="auto"/>
              </w:rPr>
            </w:pPr>
          </w:p>
        </w:tc>
      </w:tr>
      <w:tr>
        <w:trPr>
          <w:trHeight w:val="230"/>
        </w:trPr>
        <w:tc>
          <w:tcPr>
            <w:tcW w:w="6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3,506,673</w:t>
            </w:r>
          </w:p>
        </w:tc>
        <w:tc>
          <w:tcPr>
            <w:tcW w:w="80" w:type="dxa"/>
            <w:vAlign w:val="bottom"/>
            <w:tcBorders>
              <w:bottom w:val="single" w:sz="8" w:color="CFF0FC"/>
            </w:tcBorders>
          </w:tcPr>
          <w:p>
            <w:pPr>
              <w:spacing w:after="0"/>
              <w:rPr>
                <w:sz w:val="19"/>
                <w:szCs w:val="19"/>
                <w:color w:val="auto"/>
              </w:rPr>
            </w:pPr>
          </w:p>
        </w:tc>
      </w:tr>
      <w:tr>
        <w:trPr>
          <w:trHeight w:val="223"/>
        </w:trPr>
        <w:tc>
          <w:tcPr>
            <w:tcW w:w="6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future payments</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3,958,882</w:t>
            </w:r>
          </w:p>
        </w:tc>
        <w:tc>
          <w:tcPr>
            <w:tcW w:w="80" w:type="dxa"/>
            <w:vAlign w:val="bottom"/>
            <w:shd w:val="clear" w:color="auto" w:fill="CFF0FC"/>
          </w:tcPr>
          <w:p>
            <w:pPr>
              <w:spacing w:after="0"/>
              <w:rPr>
                <w:sz w:val="19"/>
                <w:szCs w:val="19"/>
                <w:color w:val="auto"/>
              </w:rPr>
            </w:pPr>
          </w:p>
        </w:tc>
      </w:tr>
      <w:tr>
        <w:trPr>
          <w:trHeight w:val="230"/>
        </w:trPr>
        <w:tc>
          <w:tcPr>
            <w:tcW w:w="6400" w:type="dxa"/>
            <w:vAlign w:val="bottom"/>
          </w:tcPr>
          <w:p>
            <w:pPr>
              <w:ind w:left="240"/>
              <w:spacing w:after="0"/>
              <w:rPr>
                <w:sz w:val="20"/>
                <w:szCs w:val="20"/>
                <w:color w:val="auto"/>
              </w:rPr>
            </w:pPr>
            <w:r>
              <w:rPr>
                <w:rFonts w:ascii="Arial" w:cs="Arial" w:eastAsia="Arial" w:hAnsi="Arial"/>
                <w:sz w:val="18"/>
                <w:szCs w:val="18"/>
                <w:color w:val="auto"/>
              </w:rPr>
              <w:t>Less: Amounts representing interest at 10.2%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(3,371,847)</w:t>
            </w:r>
          </w:p>
        </w:tc>
      </w:tr>
      <w:tr>
        <w:trPr>
          <w:trHeight w:val="230"/>
        </w:trPr>
        <w:tc>
          <w:tcPr>
            <w:tcW w:w="6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Plus: Residual values</w:t>
            </w: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372,800</w:t>
            </w:r>
          </w:p>
        </w:tc>
        <w:tc>
          <w:tcPr>
            <w:tcW w:w="80" w:type="dxa"/>
            <w:vAlign w:val="bottom"/>
            <w:shd w:val="clear" w:color="auto" w:fill="CFF0FC"/>
          </w:tcPr>
          <w:p>
            <w:pPr>
              <w:spacing w:after="0"/>
              <w:rPr>
                <w:sz w:val="19"/>
                <w:szCs w:val="19"/>
                <w:color w:val="auto"/>
              </w:rPr>
            </w:pPr>
          </w:p>
        </w:tc>
      </w:tr>
      <w:tr>
        <w:trPr>
          <w:trHeight w:val="223"/>
        </w:trPr>
        <w:tc>
          <w:tcPr>
            <w:tcW w:w="6400" w:type="dxa"/>
            <w:vAlign w:val="bottom"/>
          </w:tcPr>
          <w:p>
            <w:pPr>
              <w:ind w:left="500"/>
              <w:spacing w:after="0"/>
              <w:rPr>
                <w:sz w:val="20"/>
                <w:szCs w:val="20"/>
                <w:color w:val="auto"/>
              </w:rPr>
            </w:pPr>
            <w:r>
              <w:rPr>
                <w:rFonts w:ascii="Arial" w:cs="Arial" w:eastAsia="Arial" w:hAnsi="Arial"/>
                <w:sz w:val="18"/>
                <w:szCs w:val="18"/>
                <w:color w:val="auto"/>
              </w:rPr>
              <w:t>Financing obligation to GLPI</w:t>
            </w: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959,835</w:t>
            </w:r>
          </w:p>
        </w:tc>
        <w:tc>
          <w:tcPr>
            <w:tcW w:w="8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Total payments and interest expense related to the Master Lease were $21.9 million and $24.4 million, respectively, for the period from October 1, 2018 to December 31, 2018. For the initial periods of the Master Lease, cash payments are less than the interest expense recognized, which causes the failed sale-leaseback obligation to increase during the initial years of the lease term.</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Master Lease contains certain covenants, including minimum capital improvement expenditures.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557" w:right="399" w:bottom="1440" w:gutter="0" w:footer="0" w:header="0"/>
        </w:sectPr>
      </w:pPr>
    </w:p>
    <w:bookmarkStart w:id="105" w:name="page106"/>
    <w:bookmarkEnd w:id="105"/>
    <w:p>
      <w:pPr>
        <w:spacing w:after="0" w:line="207" w:lineRule="exact"/>
        <w:rPr>
          <w:sz w:val="20"/>
          <w:szCs w:val="20"/>
          <w:color w:val="auto"/>
        </w:rPr>
      </w:pPr>
      <w:r>
        <w:rPr>
          <w:rFonts w:ascii="Arial" w:cs="Arial" w:eastAsia="Arial" w:hAnsi="Arial"/>
          <w:sz w:val="18"/>
          <w:szCs w:val="18"/>
          <w:b w:val="1"/>
          <w:bCs w:val="1"/>
          <w:color w:val="auto"/>
        </w:rPr>
        <w:t>Note 11. Long</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Term Debt and Other Long-Term Liabilities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Long-term debt consisted of the following (in thousands):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4540" w:type="dxa"/>
            <w:vAlign w:val="bottom"/>
            <w:tcBorders>
              <w:bottom w:val="single" w:sz="8" w:color="CFF0FC"/>
            </w:tcBorders>
          </w:tcPr>
          <w:p>
            <w:pPr>
              <w:spacing w:after="0"/>
              <w:rPr>
                <w:sz w:val="14"/>
                <w:szCs w:val="14"/>
                <w:color w:val="auto"/>
              </w:rPr>
            </w:pPr>
          </w:p>
        </w:tc>
        <w:tc>
          <w:tcPr>
            <w:tcW w:w="7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Term Loan</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956,750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956,750</w:t>
            </w:r>
          </w:p>
        </w:tc>
        <w:tc>
          <w:tcPr>
            <w:tcW w:w="80" w:type="dxa"/>
            <w:vAlign w:val="bottom"/>
            <w:shd w:val="clear" w:color="auto" w:fill="CFF0FC"/>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Less: Unamortized discount and debt issuance costs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(18,426)</w:t>
            </w: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(18,748)</w:t>
            </w:r>
          </w:p>
        </w:tc>
      </w:tr>
      <w:tr>
        <w:trPr>
          <w:trHeight w:val="223"/>
        </w:trPr>
        <w:tc>
          <w:tcPr>
            <w:tcW w:w="45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w:t>
            </w:r>
          </w:p>
        </w:tc>
        <w:tc>
          <w:tcPr>
            <w:tcW w:w="7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938,324</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938,002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6% Senior Notes due 2026</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600,000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debt issuance costs</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(19,630)</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Net</w:t>
            </w:r>
          </w:p>
        </w:tc>
        <w:tc>
          <w:tcPr>
            <w:tcW w:w="7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580,370</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6% Senior Notes due 2025</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875,000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875,000</w:t>
            </w:r>
          </w:p>
        </w:tc>
        <w:tc>
          <w:tcPr>
            <w:tcW w:w="80" w:type="dxa"/>
            <w:vAlign w:val="bottom"/>
            <w:shd w:val="clear" w:color="auto" w:fill="CFF0FC"/>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Plus: Unamortized debt premium</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23,491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26,605</w:t>
            </w:r>
          </w:p>
        </w:tc>
        <w:tc>
          <w:tcPr>
            <w:tcW w:w="80" w:type="dxa"/>
            <w:vAlign w:val="bottom"/>
          </w:tcPr>
          <w:p>
            <w:pPr>
              <w:spacing w:after="0"/>
              <w:rPr>
                <w:sz w:val="19"/>
                <w:szCs w:val="19"/>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debt issuance costs</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(18,405)</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(20,716)</w:t>
            </w: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Net</w:t>
            </w:r>
          </w:p>
        </w:tc>
        <w:tc>
          <w:tcPr>
            <w:tcW w:w="7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880,086</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880,889</w:t>
            </w:r>
          </w:p>
        </w:tc>
        <w:tc>
          <w:tcPr>
            <w:tcW w:w="80" w:type="dxa"/>
            <w:vAlign w:val="bottom"/>
          </w:tcPr>
          <w:p>
            <w:pPr>
              <w:spacing w:after="0"/>
              <w:rPr>
                <w:sz w:val="19"/>
                <w:szCs w:val="19"/>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7% Senior Notes due 2023</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375,000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375,000</w:t>
            </w:r>
          </w:p>
        </w:tc>
        <w:tc>
          <w:tcPr>
            <w:tcW w:w="80" w:type="dxa"/>
            <w:vAlign w:val="bottom"/>
            <w:shd w:val="clear" w:color="auto" w:fill="CFF0FC"/>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Less: Unamortized discount and debt issuance costs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(6,075)</w:t>
            </w: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(7,146)</w:t>
            </w:r>
          </w:p>
        </w:tc>
      </w:tr>
      <w:tr>
        <w:trPr>
          <w:trHeight w:val="223"/>
        </w:trPr>
        <w:tc>
          <w:tcPr>
            <w:tcW w:w="45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w:t>
            </w:r>
          </w:p>
        </w:tc>
        <w:tc>
          <w:tcPr>
            <w:tcW w:w="7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368,925</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367,854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245,000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Lumière Loan</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246,000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Capital leases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917</w:t>
            </w:r>
          </w:p>
        </w:tc>
        <w:tc>
          <w:tcPr>
            <w:tcW w:w="80" w:type="dxa"/>
            <w:vAlign w:val="bottom"/>
          </w:tcPr>
          <w:p>
            <w:pPr>
              <w:spacing w:after="0"/>
              <w:rPr>
                <w:sz w:val="19"/>
                <w:szCs w:val="19"/>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Long-term notes payable</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w:t>
            </w:r>
          </w:p>
        </w:tc>
        <w:tc>
          <w:tcPr>
            <w:tcW w:w="80" w:type="dxa"/>
            <w:vAlign w:val="bottom"/>
            <w:shd w:val="clear" w:color="auto" w:fill="CFF0FC"/>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Less: Current portion</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(615)</w:t>
            </w:r>
          </w:p>
        </w:tc>
      </w:tr>
      <w:tr>
        <w:trPr>
          <w:trHeight w:val="223"/>
        </w:trPr>
        <w:tc>
          <w:tcPr>
            <w:tcW w:w="45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long-term debt</w:t>
            </w: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3,261,273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2,189,578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Maturities of the principal amount of the Company’s long-term debt as of December 31, 2018 are as follows:</w:t>
      </w:r>
    </w:p>
    <w:p>
      <w:pPr>
        <w:spacing w:after="0" w:line="298"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42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 ending December 31,</w:t>
            </w:r>
          </w:p>
        </w:tc>
        <w:tc>
          <w:tcPr>
            <w:tcW w:w="1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i w:val="1"/>
                <w:iCs w:val="1"/>
                <w:color w:val="auto"/>
              </w:rPr>
              <w:t>(In thousands)</w:t>
            </w:r>
          </w:p>
        </w:tc>
      </w:tr>
      <w:tr>
        <w:trPr>
          <w:trHeight w:val="223"/>
        </w:trPr>
        <w:tc>
          <w:tcPr>
            <w:tcW w:w="530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300" w:type="dxa"/>
            <w:vAlign w:val="bottom"/>
          </w:tcPr>
          <w:p>
            <w:pPr>
              <w:ind w:left="12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246,235</w:t>
            </w:r>
          </w:p>
        </w:tc>
        <w:tc>
          <w:tcPr>
            <w:tcW w:w="60" w:type="dxa"/>
            <w:vAlign w:val="bottom"/>
          </w:tcPr>
          <w:p>
            <w:pPr>
              <w:spacing w:after="0"/>
              <w:rPr>
                <w:sz w:val="19"/>
                <w:szCs w:val="19"/>
                <w:color w:val="auto"/>
              </w:rPr>
            </w:pPr>
          </w:p>
        </w:tc>
      </w:tr>
      <w:tr>
        <w:trPr>
          <w:trHeight w:val="230"/>
        </w:trPr>
        <w:tc>
          <w:tcPr>
            <w:tcW w:w="5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60" w:type="dxa"/>
            <w:vAlign w:val="bottom"/>
            <w:shd w:val="clear" w:color="auto" w:fill="CFF0FC"/>
          </w:tcPr>
          <w:p>
            <w:pPr>
              <w:spacing w:after="0"/>
              <w:rPr>
                <w:sz w:val="19"/>
                <w:szCs w:val="19"/>
                <w:color w:val="auto"/>
              </w:rPr>
            </w:pPr>
          </w:p>
        </w:tc>
      </w:tr>
      <w:tr>
        <w:trPr>
          <w:trHeight w:val="230"/>
        </w:trPr>
        <w:tc>
          <w:tcPr>
            <w:tcW w:w="5300" w:type="dxa"/>
            <w:vAlign w:val="bottom"/>
          </w:tcPr>
          <w:p>
            <w:pPr>
              <w:ind w:left="1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w:t>
            </w:r>
          </w:p>
        </w:tc>
        <w:tc>
          <w:tcPr>
            <w:tcW w:w="60" w:type="dxa"/>
            <w:vAlign w:val="bottom"/>
          </w:tcPr>
          <w:p>
            <w:pPr>
              <w:spacing w:after="0"/>
              <w:rPr>
                <w:sz w:val="19"/>
                <w:szCs w:val="19"/>
                <w:color w:val="auto"/>
              </w:rPr>
            </w:pPr>
          </w:p>
        </w:tc>
      </w:tr>
      <w:tr>
        <w:trPr>
          <w:trHeight w:val="230"/>
        </w:trPr>
        <w:tc>
          <w:tcPr>
            <w:tcW w:w="5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620,138</w:t>
            </w:r>
          </w:p>
        </w:tc>
        <w:tc>
          <w:tcPr>
            <w:tcW w:w="60" w:type="dxa"/>
            <w:vAlign w:val="bottom"/>
            <w:shd w:val="clear" w:color="auto" w:fill="CFF0FC"/>
          </w:tcPr>
          <w:p>
            <w:pPr>
              <w:spacing w:after="0"/>
              <w:rPr>
                <w:sz w:val="19"/>
                <w:szCs w:val="19"/>
                <w:color w:val="auto"/>
              </w:rPr>
            </w:pPr>
          </w:p>
        </w:tc>
      </w:tr>
      <w:tr>
        <w:trPr>
          <w:trHeight w:val="230"/>
        </w:trPr>
        <w:tc>
          <w:tcPr>
            <w:tcW w:w="5420" w:type="dxa"/>
            <w:vAlign w:val="bottom"/>
            <w:tcBorders>
              <w:bottom w:val="single" w:sz="8" w:color="CFF0FC"/>
            </w:tcBorders>
            <w:gridSpan w:val="2"/>
          </w:tcPr>
          <w:p>
            <w:pPr>
              <w:ind w:left="1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2,433,605</w:t>
            </w:r>
          </w:p>
        </w:tc>
        <w:tc>
          <w:tcPr>
            <w:tcW w:w="60" w:type="dxa"/>
            <w:vAlign w:val="bottom"/>
            <w:tcBorders>
              <w:bottom w:val="single" w:sz="8" w:color="CFF0FC"/>
            </w:tcBorders>
          </w:tcPr>
          <w:p>
            <w:pPr>
              <w:spacing w:after="0"/>
              <w:rPr>
                <w:sz w:val="19"/>
                <w:szCs w:val="19"/>
                <w:color w:val="auto"/>
              </w:rPr>
            </w:pPr>
          </w:p>
        </w:tc>
      </w:tr>
      <w:tr>
        <w:trPr>
          <w:trHeight w:val="223"/>
        </w:trPr>
        <w:tc>
          <w:tcPr>
            <w:tcW w:w="5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3,300,780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40" w:firstLine="555"/>
        <w:spacing w:after="0" w:line="264" w:lineRule="auto"/>
        <w:rPr>
          <w:sz w:val="20"/>
          <w:szCs w:val="20"/>
          <w:color w:val="auto"/>
        </w:rPr>
      </w:pPr>
      <w:r>
        <w:rPr>
          <w:rFonts w:ascii="Arial" w:cs="Arial" w:eastAsia="Arial" w:hAnsi="Arial"/>
          <w:sz w:val="18"/>
          <w:szCs w:val="18"/>
          <w:color w:val="auto"/>
        </w:rPr>
        <w:t>Amortization of the debt issuance costs and the discount and premium associated with our indebtedness totaled $5.6 million, $6.3 million and $3.5 million for the years ended December 31, 2018, 2017 and 2016, respectively. Amortization of debt issuance costs is computed using the effective interest method and is included in interest expense.</w:t>
      </w:r>
    </w:p>
    <w:p>
      <w:pPr>
        <w:spacing w:after="0" w:line="181"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In accordance with ASC Topic 470-50, Debt Modifications and Extinguishments (“ASC 470-50”), the Company recognized a loss totaling $27.3 million for the year ended December 31, 2017 as a result of the refinance of the Prior Credit Facility (as defined below) in May 2017. The Company also recognized a loss totaling $11.1 million as a result of the issuance of additional 6% Senior Notes due 2025 (as defined below) in September 2017 resulting in a combined total loss of $38.4 million for the year ended December 31, 2017.</w:t>
      </w:r>
    </w:p>
    <w:p>
      <w:pPr>
        <w:spacing w:after="0" w:line="187" w:lineRule="exact"/>
        <w:rPr>
          <w:sz w:val="20"/>
          <w:szCs w:val="20"/>
          <w:color w:val="auto"/>
        </w:rPr>
      </w:pPr>
    </w:p>
    <w:p>
      <w:pPr>
        <w:jc w:val="both"/>
        <w:ind w:firstLine="555"/>
        <w:spacing w:after="0" w:line="312" w:lineRule="auto"/>
        <w:rPr>
          <w:sz w:val="20"/>
          <w:szCs w:val="20"/>
          <w:color w:val="auto"/>
        </w:rPr>
      </w:pPr>
      <w:r>
        <w:rPr>
          <w:rFonts w:ascii="Arial" w:cs="Arial" w:eastAsia="Arial" w:hAnsi="Arial"/>
          <w:sz w:val="16"/>
          <w:szCs w:val="16"/>
          <w:color w:val="auto"/>
        </w:rPr>
        <w:t>The Company is a holding company with no independent assets or operations. Our 6% Senior Notes due 2025, 6% Senior Notes due 2026 (as defined below) and 7% Senior Notes due 2023 (as defined below) are fully and unconditionally guaranteed, on a joint and several basis, by the subsidiary guarantors. As of December 31, 2018, there were no significant restrictions on the ability of our subsidiaries to distribute cash to us or our guarantor subsidiaries.</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 Senior Notes due 2023</w:t>
      </w:r>
    </w:p>
    <w:p>
      <w:pPr>
        <w:spacing w:after="0" w:line="117" w:lineRule="exact"/>
        <w:rPr>
          <w:sz w:val="20"/>
          <w:szCs w:val="20"/>
          <w:color w:val="auto"/>
        </w:rPr>
      </w:pPr>
    </w:p>
    <w:p>
      <w:pPr>
        <w:ind w:right="160" w:firstLine="555"/>
        <w:spacing w:after="0" w:line="312" w:lineRule="auto"/>
        <w:rPr>
          <w:sz w:val="20"/>
          <w:szCs w:val="20"/>
          <w:color w:val="auto"/>
        </w:rPr>
      </w:pPr>
      <w:r>
        <w:rPr>
          <w:rFonts w:ascii="Arial" w:cs="Arial" w:eastAsia="Arial" w:hAnsi="Arial"/>
          <w:sz w:val="16"/>
          <w:szCs w:val="16"/>
          <w:color w:val="auto"/>
        </w:rPr>
        <w:t>On July 23, 2015, the Company issued at par $375.0 million in aggregate principal amount of 7.0% senior notes due 2023 (“7% Senior Notes due 2023”) pursuant to the Indenture, dated as of July 23, 2015 (the “2023 Indenture”), between the Company and U.S. Bank, National Association, as Trustee. The 7% Senior Notes due 2023 will mature on August 1, 2023, with interest payable semi-annually in arrears on February 1 and August 1 of each year.</w:t>
      </w:r>
    </w:p>
    <w:p>
      <w:pPr>
        <w:spacing w:after="0" w:line="147" w:lineRule="exact"/>
        <w:rPr>
          <w:sz w:val="20"/>
          <w:szCs w:val="20"/>
          <w:color w:val="auto"/>
        </w:rPr>
      </w:pPr>
    </w:p>
    <w:p>
      <w:pPr>
        <w:ind w:right="60" w:firstLine="555"/>
        <w:spacing w:after="0" w:line="312" w:lineRule="auto"/>
        <w:rPr>
          <w:sz w:val="20"/>
          <w:szCs w:val="20"/>
          <w:color w:val="auto"/>
        </w:rPr>
      </w:pPr>
      <w:r>
        <w:rPr>
          <w:rFonts w:ascii="Arial" w:cs="Arial" w:eastAsia="Arial" w:hAnsi="Arial"/>
          <w:sz w:val="16"/>
          <w:szCs w:val="16"/>
          <w:color w:val="auto"/>
        </w:rPr>
        <w:t>On or after August 1, 2018, the Company may redeem all or a portion of the Senior Notes upon not less than 30 nor more than 60 days’ notice, at the redemption prices (expressed as percentages of the principal amount) set forth below plus accrued and unpaid interest and additional interest, if any, on the Senior Notes redeemed, to the applicable redemption date, if redeemed during the twelve month period beginning on August 1 of the years indicated below:</w:t>
      </w:r>
    </w:p>
    <w:p>
      <w:pPr>
        <w:spacing w:after="0" w:line="152"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1120" w:type="dxa"/>
            <w:vAlign w:val="bottom"/>
          </w:tcPr>
          <w:p>
            <w:pPr>
              <w:jc w:val="right"/>
              <w:ind w:right="154"/>
              <w:spacing w:after="0"/>
              <w:rPr>
                <w:sz w:val="20"/>
                <w:szCs w:val="20"/>
                <w:color w:val="auto"/>
              </w:rPr>
            </w:pPr>
            <w:r>
              <w:rPr>
                <w:rFonts w:ascii="Arial" w:cs="Arial" w:eastAsia="Arial" w:hAnsi="Arial"/>
                <w:sz w:val="14"/>
                <w:szCs w:val="14"/>
                <w:b w:val="1"/>
                <w:bCs w:val="1"/>
                <w:color w:val="auto"/>
              </w:rPr>
              <w:t>Percentage</w:t>
            </w:r>
          </w:p>
        </w:tc>
        <w:tc>
          <w:tcPr>
            <w:tcW w:w="240" w:type="dxa"/>
            <w:vAlign w:val="bottom"/>
          </w:tcPr>
          <w:p>
            <w:pPr>
              <w:spacing w:after="0"/>
              <w:rPr>
                <w:sz w:val="14"/>
                <w:szCs w:val="14"/>
                <w:color w:val="auto"/>
              </w:rPr>
            </w:pPr>
          </w:p>
        </w:tc>
      </w:tr>
      <w:tr>
        <w:trPr>
          <w:trHeight w:val="223"/>
        </w:trPr>
        <w:tc>
          <w:tcPr>
            <w:tcW w:w="5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105.250</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103.500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101.750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2021 and thereafter</w:t>
            </w:r>
          </w:p>
        </w:tc>
        <w:tc>
          <w:tcPr>
            <w:tcW w:w="112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right="120" w:firstLine="555"/>
        <w:spacing w:after="0" w:line="279" w:lineRule="auto"/>
        <w:rPr>
          <w:sz w:val="20"/>
          <w:szCs w:val="20"/>
          <w:color w:val="auto"/>
        </w:rPr>
      </w:pPr>
      <w:r>
        <w:rPr>
          <w:rFonts w:ascii="Arial" w:cs="Arial" w:eastAsia="Arial" w:hAnsi="Arial"/>
          <w:sz w:val="17"/>
          <w:szCs w:val="17"/>
          <w:color w:val="auto"/>
        </w:rPr>
        <w:t>If the Company experiences certain change of control events (as defined in the 2023 Indenture), it must offer to repurchase the 7% Senior Notes due 2023 at 101% of their principal amount, plus accrued and unpaid interest to the applicable repurchase date. If the Company sells assets under certain circumstances and does not use the proceeds for specified purposes, the Company must offer to repurchase the 7% Senior Notes due 2023 at 100% of their principal amount, plus accrued and unpaid interest to the applicable repurchase dates.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7% Senior Notes due 2023 are subject to redemption imposed by gaming laws and regulations of applicable gaming regulatory authorities.</w:t>
      </w:r>
    </w:p>
    <w:p>
      <w:pPr>
        <w:spacing w:after="0" w:line="237" w:lineRule="exact"/>
        <w:rPr>
          <w:sz w:val="20"/>
          <w:szCs w:val="20"/>
          <w:color w:val="auto"/>
        </w:rPr>
      </w:pPr>
    </w:p>
    <w:p>
      <w:pPr>
        <w:ind w:right="240" w:firstLine="555"/>
        <w:spacing w:after="0" w:line="277" w:lineRule="auto"/>
        <w:rPr>
          <w:sz w:val="20"/>
          <w:szCs w:val="20"/>
          <w:color w:val="auto"/>
        </w:rPr>
      </w:pPr>
      <w:r>
        <w:rPr>
          <w:rFonts w:ascii="Arial" w:cs="Arial" w:eastAsia="Arial" w:hAnsi="Arial"/>
          <w:sz w:val="18"/>
          <w:szCs w:val="18"/>
          <w:color w:val="auto"/>
        </w:rPr>
        <w:t>The 2023 Indenture contains certain covenants limiting, among other things, the Company’s ability and the ability of its subsidiaries (other than its unrestricted subsidiaries) to:</w:t>
      </w:r>
    </w:p>
    <w:p>
      <w:pPr>
        <w:spacing w:after="0" w:line="62" w:lineRule="exact"/>
        <w:rPr>
          <w:sz w:val="20"/>
          <w:szCs w:val="20"/>
          <w:color w:val="auto"/>
        </w:rPr>
      </w:pPr>
    </w:p>
    <w:p>
      <w:pPr>
        <w:ind w:left="1120" w:hanging="558"/>
        <w:spacing w:after="0"/>
        <w:tabs>
          <w:tab w:leader="none" w:pos="11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pay dividends or distributions or make certain other restricted payments or investments;</w:t>
      </w:r>
    </w:p>
    <w:p>
      <w:pPr>
        <w:spacing w:after="0" w:line="117" w:lineRule="exact"/>
        <w:rPr>
          <w:rFonts w:ascii="Arial" w:cs="Arial" w:eastAsia="Arial" w:hAnsi="Arial"/>
          <w:sz w:val="18"/>
          <w:szCs w:val="18"/>
          <w:color w:val="auto"/>
        </w:rPr>
      </w:pPr>
    </w:p>
    <w:p>
      <w:pPr>
        <w:ind w:left="1120" w:right="200" w:hanging="558"/>
        <w:spacing w:after="0" w:line="277" w:lineRule="auto"/>
        <w:tabs>
          <w:tab w:leader="none" w:pos="11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disqualified stock or create subordinated indebtedness that is not subordinated to the 7% Senior Notes due 2023 or the guarantees of the 7% Senior Notes due 2023;</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merge, consolidate, or sell, transfer or otherwise dispose of all or substantially all of the Company’s assets;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engage in lines of business other than the Company’s core business and related businesses;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create restrictions on dividends or other payments by restricted subsidiaries.</w:t>
      </w:r>
    </w:p>
    <w:p>
      <w:pPr>
        <w:spacing w:after="0" w:line="225"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color w:val="auto"/>
        </w:rPr>
        <w:t>These covenants are subject to a number of exceptions and qualifications as set forth in the 2023 Indenture. The 2023 Indenture also provides for customary events of default which, if any of them occurs, would permit or require the principal of and accrued interest on such 7% Senior Notes due 2023 to be declared due and payable.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 Senior Notes due 2025</w:t>
      </w:r>
    </w:p>
    <w:p>
      <w:pPr>
        <w:spacing w:after="0" w:line="117" w:lineRule="exact"/>
        <w:rPr>
          <w:sz w:val="20"/>
          <w:szCs w:val="20"/>
          <w:color w:val="auto"/>
        </w:rPr>
      </w:pPr>
    </w:p>
    <w:p>
      <w:pPr>
        <w:ind w:firstLine="555"/>
        <w:spacing w:after="0" w:line="290" w:lineRule="auto"/>
        <w:rPr>
          <w:sz w:val="20"/>
          <w:szCs w:val="20"/>
          <w:color w:val="auto"/>
        </w:rPr>
      </w:pPr>
      <w:r>
        <w:rPr>
          <w:rFonts w:ascii="Arial" w:cs="Arial" w:eastAsia="Arial" w:hAnsi="Arial"/>
          <w:sz w:val="16"/>
          <w:szCs w:val="16"/>
          <w:color w:val="auto"/>
        </w:rPr>
        <w:t>On March 29, 2017, Eagle II Acquisition Company LLC (“Eagle II”), a wholly-owned subsidiary of the Company, issued $375.0 million in aggregate principal amount of 6.0% senior notes due 2025 (the “6% Senior Notes due 2025”) pursuant to an indenture, dated as of March 29, 2017 (the “2025 Indenture”), between Eagle II and U.S. Bank, National Association, as Trustee. The 6% Senior Notes will mature on April 1, 2025, with interest payable semi-annually in arrears on April 1 and October 1, commencing October 1, 2017. The proceeds of the offering, and additional funds in the amount of $1.9 million in respect of interest expected to be accrued on the 6% Senior Notes due 2025, were placed in escrow pending satisfaction of certain conditions, including consummation of the Isle Acquisition. In connection with the consummation of the Isle Acquisition on May 1, 2017, the escrowed funds were released, and the Company assumed Eagle II’s obligations under the 6% Senior Notes due 2025 and the 2025 Indenture and certain of the Company’s subsidiaries (including Isle and certain of its subsidiaries) executed guarantees of the Company’s obligations under the 6% Senior Notes due 2025.</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107" w:name="page108"/>
    <w:bookmarkEnd w:id="107"/>
    <w:p>
      <w:pPr>
        <w:ind w:right="40" w:firstLine="555"/>
        <w:spacing w:after="0" w:line="302" w:lineRule="auto"/>
        <w:rPr>
          <w:sz w:val="20"/>
          <w:szCs w:val="20"/>
          <w:color w:val="auto"/>
        </w:rPr>
      </w:pPr>
      <w:r>
        <w:rPr>
          <w:rFonts w:ascii="Arial" w:cs="Arial" w:eastAsia="Arial" w:hAnsi="Arial"/>
          <w:sz w:val="16"/>
          <w:szCs w:val="16"/>
          <w:color w:val="auto"/>
        </w:rPr>
        <w:t>On September 13, 2017, the Company issued an additional $500.0 million principal amount of its 6% Senior Notes due 2025 at an issue price equal to 105.5% of the principal amount of the 6% Senior Notes due 2025. The additional notes were issued pursuant to the 2025 Indenture that governs the 6% Senior Notes due 2025. The Company used the proceeds of the offering to repay $78.0 million of outstanding borrowings under the previous revolving credit facility and used the remainder to repay $444.5 million outstanding borrowings under the previous term loan facility and related accrued interest.</w:t>
      </w:r>
    </w:p>
    <w:p>
      <w:pPr>
        <w:spacing w:after="0" w:line="154"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On or after April 1, 2020, the Company may redeem all or a portion of the 6% Senior Notes due 2025 upon not less than 30 nor more than 60 days’ notice, at the redemption prices (expressed as percentages of the principal amount) set forth below plus accrued and unpaid interest and additional interest, if any, on the 6% Senior Notes due 2025 redeemed, to the applicable redemption date, if redeemed during the 12-month period beginning on April 1 of the years indicated below:</w:t>
      </w:r>
    </w:p>
    <w:p>
      <w:pPr>
        <w:spacing w:after="0" w:line="192"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1120" w:type="dxa"/>
            <w:vAlign w:val="bottom"/>
          </w:tcPr>
          <w:p>
            <w:pPr>
              <w:jc w:val="right"/>
              <w:ind w:right="154"/>
              <w:spacing w:after="0"/>
              <w:rPr>
                <w:sz w:val="20"/>
                <w:szCs w:val="20"/>
                <w:color w:val="auto"/>
              </w:rPr>
            </w:pPr>
            <w:r>
              <w:rPr>
                <w:rFonts w:ascii="Arial" w:cs="Arial" w:eastAsia="Arial" w:hAnsi="Arial"/>
                <w:sz w:val="14"/>
                <w:szCs w:val="14"/>
                <w:b w:val="1"/>
                <w:bCs w:val="1"/>
                <w:color w:val="auto"/>
              </w:rPr>
              <w:t>Percentage</w:t>
            </w:r>
          </w:p>
        </w:tc>
        <w:tc>
          <w:tcPr>
            <w:tcW w:w="240" w:type="dxa"/>
            <w:vAlign w:val="bottom"/>
          </w:tcPr>
          <w:p>
            <w:pPr>
              <w:spacing w:after="0"/>
              <w:rPr>
                <w:sz w:val="14"/>
                <w:szCs w:val="14"/>
                <w:color w:val="auto"/>
              </w:rPr>
            </w:pPr>
          </w:p>
        </w:tc>
      </w:tr>
      <w:tr>
        <w:trPr>
          <w:trHeight w:val="223"/>
        </w:trPr>
        <w:tc>
          <w:tcPr>
            <w:tcW w:w="5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104.500</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101.500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2023 and thereafter</w:t>
            </w:r>
          </w:p>
        </w:tc>
        <w:tc>
          <w:tcPr>
            <w:tcW w:w="112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60"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Prior to April 1, 2020, the Company may redeem all or a portion of the 6% Senior Notes due 2025 at a price equal to 100% of the 6% Senior Notes due 2025 redeemed plus accrued and unpaid interest to the redemption date, plus a make-whole premium. At any time prior to April 1, 2020, the Company is also entitled to redeem up to 35% of the original aggregate principal amount of the 6% Senior Notes due 2025 with proceeds of certain equity financings at a redemption price equal to 106% of the principal amount of the 6% Senior Notes due 2025 redeemed, plus accrued and unpaid interest. If the Company experiences certain change of control events (as defined in the 2025 Indenture), it must offer to repurchase the 6% Senior Notes due 2025 at 101% of their principal amount, plus accrued and unpaid interest to the applicable repurchase date. If the Company sells assets under certain circumstances and does not use the proceeds for specified purposes, the Company must offer to repurchase the 6% Senior Notes due 2025 at 100% of their principal amount, plus accrued and unpaid interest to the applicable repurchase date.</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6% Senior Notes due 2025 are subject to redemption imposed by gaming laws and regulations of applicable gaming regulatory authorities.</w:t>
      </w:r>
    </w:p>
    <w:p>
      <w:pPr>
        <w:spacing w:after="0" w:line="237" w:lineRule="exact"/>
        <w:rPr>
          <w:sz w:val="20"/>
          <w:szCs w:val="20"/>
          <w:color w:val="auto"/>
        </w:rPr>
      </w:pPr>
    </w:p>
    <w:p>
      <w:pPr>
        <w:ind w:right="300" w:firstLine="555"/>
        <w:spacing w:after="0" w:line="277" w:lineRule="auto"/>
        <w:rPr>
          <w:sz w:val="20"/>
          <w:szCs w:val="20"/>
          <w:color w:val="auto"/>
        </w:rPr>
      </w:pPr>
      <w:r>
        <w:rPr>
          <w:rFonts w:ascii="Arial" w:cs="Arial" w:eastAsia="Arial" w:hAnsi="Arial"/>
          <w:sz w:val="18"/>
          <w:szCs w:val="18"/>
          <w:color w:val="auto"/>
        </w:rPr>
        <w:t>The 2025 Indenture contains certain covenants limiting, among other things, the Company’s ability and the ability of its subsidiaries (other than its unrestricted subsidiaries) to:</w:t>
      </w:r>
    </w:p>
    <w:p>
      <w:pPr>
        <w:spacing w:after="0" w:line="62" w:lineRule="exact"/>
        <w:rPr>
          <w:sz w:val="20"/>
          <w:szCs w:val="20"/>
          <w:color w:val="auto"/>
        </w:rPr>
      </w:pPr>
    </w:p>
    <w:p>
      <w:pPr>
        <w:ind w:left="1120" w:hanging="558"/>
        <w:spacing w:after="0"/>
        <w:tabs>
          <w:tab w:leader="none" w:pos="11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pay dividends or distributions or make certain other restricted payments or investments;</w:t>
      </w:r>
    </w:p>
    <w:p>
      <w:pPr>
        <w:spacing w:after="0" w:line="117" w:lineRule="exact"/>
        <w:rPr>
          <w:rFonts w:ascii="Arial" w:cs="Arial" w:eastAsia="Arial" w:hAnsi="Arial"/>
          <w:sz w:val="18"/>
          <w:szCs w:val="18"/>
          <w:color w:val="auto"/>
        </w:rPr>
      </w:pPr>
    </w:p>
    <w:p>
      <w:pPr>
        <w:ind w:left="1120" w:right="260" w:hanging="558"/>
        <w:spacing w:after="0" w:line="277" w:lineRule="auto"/>
        <w:tabs>
          <w:tab w:leader="none" w:pos="11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disqualified stock or create subordinated indebtedness that is not subordinated to the 6% Senior Notes due 2025 or the guarantees of the 6% Senior Notes due 2025</w:t>
      </w:r>
      <w:r>
        <w:rPr>
          <w:rFonts w:ascii="Arial" w:cs="Arial" w:eastAsia="Arial" w:hAnsi="Arial"/>
          <w:sz w:val="18"/>
          <w:szCs w:val="18"/>
          <w:b w:val="1"/>
          <w:bCs w:val="1"/>
          <w:color w:val="auto"/>
        </w:rPr>
        <w:t>;</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merge, consolidate, or sell, transfer or otherwise dispose of all or substantially all of the Company’s assets;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engage in lines of business other than the Company’s core business and related businesses;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create restrictions on dividends or other payments by restricted subsidiaries.</w:t>
      </w:r>
    </w:p>
    <w:p>
      <w:pPr>
        <w:spacing w:after="0" w:line="225" w:lineRule="exact"/>
        <w:rPr>
          <w:sz w:val="20"/>
          <w:szCs w:val="20"/>
          <w:color w:val="auto"/>
        </w:rPr>
      </w:pPr>
    </w:p>
    <w:p>
      <w:pPr>
        <w:ind w:right="120" w:firstLine="555"/>
        <w:spacing w:after="0" w:line="264" w:lineRule="auto"/>
        <w:rPr>
          <w:sz w:val="20"/>
          <w:szCs w:val="20"/>
          <w:color w:val="auto"/>
        </w:rPr>
      </w:pPr>
      <w:r>
        <w:rPr>
          <w:rFonts w:ascii="Arial" w:cs="Arial" w:eastAsia="Arial" w:hAnsi="Arial"/>
          <w:sz w:val="18"/>
          <w:szCs w:val="18"/>
          <w:color w:val="auto"/>
        </w:rPr>
        <w:t>These covenants are subject to a number of exceptions and qualifications as set forth in the 2025 Indenture. The 2025 Indenture also provides for customary events of default which, if any of them occurs, would permit or require the principal of and accrued interest on such 6% Senior Notes due 2025 to be declared due and payable.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 Senior Notes due 2026</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September 20, 2018, Delta Merger Sub, Inc. (“Escrow Issuer”), a Delaware corporation and a wholly-owned subsidiary of the Company, issued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$600 million in aggregate principal amount of 6.0% senior notes due 2026 (the “6% Senior Notes due 2026”) pursuant to an indenture, dated as of September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 2018 (the “2026 Indenture”), between Escrow Issuer and U.S. Bank, National Association, as Trustee. Interest on the 6% Senior Notes due 2026 will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paid semi-annually in arrears on March 15 and September 15, commencing March 15, 2019. The Company and the subsidiary guarantors assumed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obligations under the 2026 Indenture in connection with the consummation of the Tropicana Acquisition.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8" w:name="page109"/>
    <w:bookmarkEnd w:id="108"/>
    <w:p>
      <w:pPr>
        <w:ind w:right="200" w:firstLine="555"/>
        <w:spacing w:after="0" w:line="259" w:lineRule="auto"/>
        <w:rPr>
          <w:sz w:val="20"/>
          <w:szCs w:val="20"/>
          <w:color w:val="auto"/>
        </w:rPr>
      </w:pPr>
      <w:r>
        <w:rPr>
          <w:rFonts w:ascii="Arial" w:cs="Arial" w:eastAsia="Arial" w:hAnsi="Arial"/>
          <w:sz w:val="18"/>
          <w:szCs w:val="18"/>
          <w:color w:val="auto"/>
        </w:rPr>
        <w:t>On or after September 15, 2021, the Company may redeem all or a portion of the 6% Senior Notes due 2026 upon not less than 30 nor more than 60 days’ notice, at the redemption prices (expressed as percentages of the principal amount) set forth below plus accrued and unpaid interest and additional interest, if any, on the 6% Senior Notes due 2026 redeemed, to the applicable redemption date, if redeemed during the 12-month period beginning on September 15 of the years indicated below:</w:t>
      </w:r>
    </w:p>
    <w:p>
      <w:pPr>
        <w:spacing w:after="0" w:line="192"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1120" w:type="dxa"/>
            <w:vAlign w:val="bottom"/>
          </w:tcPr>
          <w:p>
            <w:pPr>
              <w:jc w:val="right"/>
              <w:ind w:right="154"/>
              <w:spacing w:after="0"/>
              <w:rPr>
                <w:sz w:val="20"/>
                <w:szCs w:val="20"/>
                <w:color w:val="auto"/>
              </w:rPr>
            </w:pPr>
            <w:r>
              <w:rPr>
                <w:rFonts w:ascii="Arial" w:cs="Arial" w:eastAsia="Arial" w:hAnsi="Arial"/>
                <w:sz w:val="14"/>
                <w:szCs w:val="14"/>
                <w:b w:val="1"/>
                <w:bCs w:val="1"/>
                <w:color w:val="auto"/>
              </w:rPr>
              <w:t>Percentage</w:t>
            </w:r>
          </w:p>
        </w:tc>
        <w:tc>
          <w:tcPr>
            <w:tcW w:w="240" w:type="dxa"/>
            <w:vAlign w:val="bottom"/>
          </w:tcPr>
          <w:p>
            <w:pPr>
              <w:spacing w:after="0"/>
              <w:rPr>
                <w:sz w:val="14"/>
                <w:szCs w:val="14"/>
                <w:color w:val="auto"/>
              </w:rPr>
            </w:pPr>
          </w:p>
        </w:tc>
      </w:tr>
      <w:tr>
        <w:trPr>
          <w:trHeight w:val="223"/>
        </w:trPr>
        <w:tc>
          <w:tcPr>
            <w:tcW w:w="5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104.500</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101.500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2024 and thereafter</w:t>
            </w:r>
          </w:p>
        </w:tc>
        <w:tc>
          <w:tcPr>
            <w:tcW w:w="112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Prior to September 15, 2021, we may redeem all or a portion of the 6% Senior Notes due 2026 at a price equal to 100% of the 6% Senior Notes due 2026 redeemed plus accrued and unpaid interest to the redemption date, plus a make-whole premium. At any time prior to September 15, 2021, we are also entitled to redeem up to 35% of the original aggregate principal amount of the 6% Senior Notes due 2026 with proceeds of certain equity financings at a redemption price equal to 106% of the principal amount of the 6% Senior Notes due 2026 redeemed, plus accrued and unpaid interest. Upon the occurrence of a Change of Control (if the 6% Senior Notes due 2026 do not have investment grade status) or a Change of Control Triggering Event (each as defined in the 2026 Indenture), the Company must offer to repurchase the 6% Senior Notes due 2026 at 101% of their principal amount, plus accrued and unpaid interest to the applicable repurchase date.</w:t>
      </w:r>
    </w:p>
    <w:p>
      <w:pPr>
        <w:spacing w:after="0" w:line="178"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color w:val="auto"/>
        </w:rPr>
        <w:t>If the Company sells assets under certain circumstances and does not use the proceeds for specified purposes, the Company must apply the net proceeds of such sale to make an offer to repurchase the 6% Senior Notes due 2026 at 100% of their principal amount, plus accrued and unpaid interest to the applicable repurchase date.</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6% Senior Notes due 2026 are subject to redemption imposed by gaming laws and regulations of applicable gaming regulatory authorities.</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2026 Indenture contains certain covenants limiting, among other things, the Company’s ability to:</w:t>
      </w:r>
    </w:p>
    <w:p>
      <w:pPr>
        <w:spacing w:after="0" w:line="117" w:lineRule="exact"/>
        <w:rPr>
          <w:sz w:val="20"/>
          <w:szCs w:val="20"/>
          <w:color w:val="auto"/>
        </w:rPr>
      </w:pPr>
    </w:p>
    <w:p>
      <w:pPr>
        <w:ind w:left="1120" w:hanging="558"/>
        <w:spacing w:after="0"/>
        <w:tabs>
          <w:tab w:leader="none" w:pos="11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create, incur or suffer to exist certain liens;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pay dividends or make distributions on capital stock or repurchase capital stock;</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place restrictions on the ability of subsidiaries to pay dividends or make other distributions to the Issuer;</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sell certain assets or merge with or consolidate into other companies;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enter into certain types of transactions with the stockholders and affiliates.</w:t>
      </w:r>
    </w:p>
    <w:p>
      <w:pPr>
        <w:spacing w:after="0" w:line="225"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These covenants are subject to a number of exceptions and qualifications as set forth in the 2026 Indenture. The 2026 Indenture also provides for events of default which, if any of them occurs, would permit or require the principal of and accrued interest on such 6% Senior Notes due 2026 to be declared due and payable.</w:t>
      </w:r>
    </w:p>
    <w:p>
      <w:pPr>
        <w:spacing w:after="0" w:line="181" w:lineRule="exact"/>
        <w:rPr>
          <w:sz w:val="20"/>
          <w:szCs w:val="20"/>
          <w:color w:val="auto"/>
        </w:rPr>
      </w:pPr>
    </w:p>
    <w:p>
      <w:pPr>
        <w:ind w:right="20" w:firstLine="555"/>
        <w:spacing w:after="0" w:line="312" w:lineRule="auto"/>
        <w:rPr>
          <w:sz w:val="20"/>
          <w:szCs w:val="20"/>
          <w:color w:val="auto"/>
        </w:rPr>
      </w:pPr>
      <w:r>
        <w:rPr>
          <w:rFonts w:ascii="Arial" w:cs="Arial" w:eastAsia="Arial" w:hAnsi="Arial"/>
          <w:sz w:val="16"/>
          <w:szCs w:val="16"/>
          <w:color w:val="auto"/>
        </w:rPr>
        <w:t>The Company applied the net proceeds of the sale of the 6% Senior Notes due 2026, together with borrowings under its existing revolving credit, cash on hand and Tropicana’s cash on hand, to pay the consideration payable by the Company pursuant to the merger agreement, repay all of the debt outstanding under Tropicana’s existing credit facility and pay fees and costs associated with the Tropicana Acquisition that closed on October 1, 2018.</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right="20" w:firstLine="555"/>
        <w:spacing w:after="0" w:line="291" w:lineRule="auto"/>
        <w:rPr>
          <w:sz w:val="20"/>
          <w:szCs w:val="20"/>
          <w:color w:val="auto"/>
        </w:rPr>
      </w:pPr>
      <w:r>
        <w:rPr>
          <w:rFonts w:ascii="Arial" w:cs="Arial" w:eastAsia="Arial" w:hAnsi="Arial"/>
          <w:sz w:val="16"/>
          <w:szCs w:val="16"/>
          <w:color w:val="auto"/>
        </w:rPr>
        <w:t>On April 17, 2017, Eagle II entered into a credit agreement by and among Eagle II, as initial borrower, JPMorgan Chase Bank, N.A., as administrative agent, and the lenders party thereto dated as of April 17, 2017 (the “Credit Facility”), consisting of a $1.45 billion term loan facility (the “Term Loan Facility” or “Term Loan”) and a $300.0 million revolving credit facility (the “Revolving Credit Facility”), which was undrawn at closing. The proceeds of the Term Loan Facility, and additional funds in the amount of $4.5 million in respect of interest expected to be accrued on the Term Loan Facility, were placed in escrow pending satisfaction of certain conditions, including consummation of the Isle Acquisition. In connection with the consummation of the Isle Acquisition on May 1, 2017, the escrowed funds were released and ERI assumed Eagle II’s obligations under the Credit Facility and certain of ERI’s subsidiaries (including Isle and certain of its subsidiaries) executed guarantees of ERI’s obligations under the Credit Facility.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9" w:name="page110"/>
    <w:bookmarkEnd w:id="109"/>
    <w:p>
      <w:pPr>
        <w:ind w:firstLine="555"/>
        <w:spacing w:after="0" w:line="259" w:lineRule="auto"/>
        <w:rPr>
          <w:sz w:val="20"/>
          <w:szCs w:val="20"/>
          <w:color w:val="auto"/>
        </w:rPr>
      </w:pPr>
      <w:r>
        <w:rPr>
          <w:rFonts w:ascii="Arial" w:cs="Arial" w:eastAsia="Arial" w:hAnsi="Arial"/>
          <w:sz w:val="18"/>
          <w:szCs w:val="18"/>
          <w:color w:val="auto"/>
        </w:rPr>
        <w:t>As of December 31, 2018, the Company had $956.8 million outstanding under the Term Loan and $245.0 million of borrowings outstanding under the Revolving Credit Facility. The Company had $242.3 million of available borrowing capacity, after consideration of $12.7 million in outstanding letters of credit, under its Revolving Credit Facility as of December 31, 2017. At December 31, 2018, the weighted average interest rate on the Term Loan was 4.3%, and the weighted average interest rate on the Revolving Credit Facility was 4.6%.</w:t>
      </w:r>
    </w:p>
    <w:p>
      <w:pPr>
        <w:spacing w:after="0" w:line="187" w:lineRule="exact"/>
        <w:rPr>
          <w:sz w:val="20"/>
          <w:szCs w:val="20"/>
          <w:color w:val="auto"/>
        </w:rPr>
      </w:pPr>
    </w:p>
    <w:p>
      <w:pPr>
        <w:ind w:right="180" w:firstLine="555"/>
        <w:spacing w:after="0" w:line="259" w:lineRule="auto"/>
        <w:rPr>
          <w:sz w:val="20"/>
          <w:szCs w:val="20"/>
          <w:color w:val="auto"/>
        </w:rPr>
      </w:pPr>
      <w:r>
        <w:rPr>
          <w:rFonts w:ascii="Arial" w:cs="Arial" w:eastAsia="Arial" w:hAnsi="Arial"/>
          <w:sz w:val="18"/>
          <w:szCs w:val="18"/>
          <w:color w:val="auto"/>
        </w:rPr>
        <w:t>The Company applied the net proceeds of the Term Loan Facility and borrowings under the Revolving Credit Facility, together with the proceeds of the 6% Senior Notes due 2025 and cash on hand, to (i) pay the cash portion of the consideration payable in the Isle Merger, (ii) refinance all of the debt outstanding under Isle’s existing credit facility, (iii) redeem or otherwise repurchase all of Isle’s outstanding senior and senior subordinated notes, (iv) refinance the Company’s Prior Credit Facility and (v) pay fees and costs associated with the foregoing.</w:t>
      </w:r>
    </w:p>
    <w:p>
      <w:pPr>
        <w:spacing w:after="0" w:line="187"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color w:val="auto"/>
        </w:rPr>
        <w:t>The Company’s obligations under the Revolving Credit Facility will mature on April 17, 2022. The Company’s obligations under the Term Loan Facility will mature on April 17, 2024. The Company was required to make quarterly principal payments in an amount equal to $3.6 million on the Term Loan Facility on the last day of each fiscal quarter beginning on June 30, 2017 but satisfied this requirement as a result of the principal prepayment of $444.5 million on September 13, 2017 in conjunction with the issuance of the additional 6% Senior Notes due 2025. In addition, the Company is required to make mandatory payments of amounts outstanding under the Credit Facility with the proceeds of certain casualty events, debt issuances, and asset sales and, depending on its consolidated total leverage ratio, the Company may be required to apply a portion of its excess cash flow to repay amounts outstanding under the Credit Facility.</w:t>
      </w:r>
    </w:p>
    <w:p>
      <w:pPr>
        <w:spacing w:after="0" w:line="189"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color w:val="auto"/>
        </w:rPr>
        <w:t>The interest rate per annum applicable to loans under the Revolving Credit Facility are, at our option, either (i) LIBOR plus a margin ranging from 1.75% to 2.50% or (ii) a base rate plus a margin ranging from 0.75% to 1.50%, which margin is based on our total leverage ratio. The interest rate per annum applicable to the loans under the Term Loan Facility is, at our option, either (i) LIBOR plus 2.25%, or (ii) a base rate plus 1.25%; provided, however, that in no event will LIBOR be less than zero or the base rate be less than 1.00% over the term of the Term Loan Facility or the Revolving Credit Facility. Additionally, the Company pays a commitment fee on the unused portion of the Revolving Credit Facility not being utilized in the amount of 0.50% per annum.</w:t>
      </w:r>
    </w:p>
    <w:p>
      <w:pPr>
        <w:spacing w:after="0" w:line="193" w:lineRule="exact"/>
        <w:rPr>
          <w:sz w:val="20"/>
          <w:szCs w:val="20"/>
          <w:color w:val="auto"/>
        </w:rPr>
      </w:pPr>
    </w:p>
    <w:p>
      <w:pPr>
        <w:ind w:right="140" w:firstLine="555"/>
        <w:spacing w:after="0" w:line="312" w:lineRule="auto"/>
        <w:rPr>
          <w:sz w:val="20"/>
          <w:szCs w:val="20"/>
          <w:color w:val="auto"/>
        </w:rPr>
      </w:pPr>
      <w:r>
        <w:rPr>
          <w:rFonts w:ascii="Arial" w:cs="Arial" w:eastAsia="Arial" w:hAnsi="Arial"/>
          <w:sz w:val="16"/>
          <w:szCs w:val="16"/>
          <w:color w:val="auto"/>
        </w:rPr>
        <w:t>The Credit Facility contains a number of customary covenants that, among other things, restrict, subject to certain exceptions, the Company’s ability and the ability of the subsidiary guarantors to incur debt; create liens; engage in mergers, consolidations or asset dispositions; pay dividends or make distributions; make investments, loans or advances; engage in certain transactions with affiliates or subsidiaries; or modify their lines of business.</w:t>
      </w:r>
    </w:p>
    <w:p>
      <w:pPr>
        <w:spacing w:after="0" w:line="147" w:lineRule="exact"/>
        <w:rPr>
          <w:sz w:val="20"/>
          <w:szCs w:val="20"/>
          <w:color w:val="auto"/>
        </w:rPr>
      </w:pPr>
    </w:p>
    <w:p>
      <w:pPr>
        <w:ind w:right="20" w:firstLine="555"/>
        <w:spacing w:after="0" w:line="271" w:lineRule="auto"/>
        <w:rPr>
          <w:sz w:val="20"/>
          <w:szCs w:val="20"/>
          <w:color w:val="auto"/>
        </w:rPr>
      </w:pPr>
      <w:r>
        <w:rPr>
          <w:rFonts w:ascii="Arial" w:cs="Arial" w:eastAsia="Arial" w:hAnsi="Arial"/>
          <w:sz w:val="17"/>
          <w:szCs w:val="17"/>
          <w:color w:val="auto"/>
        </w:rPr>
        <w:t>The Credit Facility is secured by substantially all of the Company’s personal property assets and substantially all personal property assets of each subsidiary that guaranties the Credit Facility (other than certain subsidiary guarantors designated as immaterial) (the “Credit Facility Guarantors”), whether owned on the closing date of the Credit Facility or thereafter acquired, and mortgages on the real property and improvements owned or leased us or the Credit Facility Guarantors. The Credit Facility is also secured by a pledge of all of the equity owned by the Company and the Credit Facility Guarantors (subject to certain gaming law restrictions). The credit agreement governing the Credit Facility contains a number of customary covenants that, among other things, restrict, subject to certain exceptions, the Company’s ability and the ability of the Credit Facility Guarantors to incur additional indebtedness, create liens, engage in mergers, consolidations or asset dispositions, make distributions, make investments, loans or advances, engage in certain transactions with affiliates or subsidiaries or make capital expenditures.</w:t>
      </w:r>
    </w:p>
    <w:p>
      <w:pPr>
        <w:spacing w:after="0" w:line="179" w:lineRule="exact"/>
        <w:rPr>
          <w:sz w:val="20"/>
          <w:szCs w:val="20"/>
          <w:color w:val="auto"/>
        </w:rPr>
      </w:pPr>
    </w:p>
    <w:p>
      <w:pPr>
        <w:ind w:right="20" w:firstLine="555"/>
        <w:spacing w:after="0" w:line="290" w:lineRule="auto"/>
        <w:rPr>
          <w:sz w:val="20"/>
          <w:szCs w:val="20"/>
          <w:color w:val="auto"/>
        </w:rPr>
      </w:pPr>
      <w:r>
        <w:rPr>
          <w:rFonts w:ascii="Arial" w:cs="Arial" w:eastAsia="Arial" w:hAnsi="Arial"/>
          <w:sz w:val="16"/>
          <w:szCs w:val="16"/>
          <w:color w:val="auto"/>
        </w:rPr>
        <w:t>The Credit Facility also includes certain financial covenants, including the requirements that we maintain throughout the term of the Credit Facility and measured as of the end of each fiscal quarter, and solely with respect to loans under the Revolving Credit Facility, a maximum consolidated total leverage ratio of not more than 6.50 to 1.00 for the period beginning on the closing date and ending with the fiscal quarter ending December 31, 2018, 6.00 to 1.00 for the period beginning with the fiscal quarter beginning January 1, 2019 and ending with the fiscal quarter ending December 31, 2019, and 5.50 to 1.00 for the period beginning with the fiscal quarter beginning January 1, 2020 and thereafter. The Company will also be required to maintain an interest coverage ratio in an amount not less than 2.00 to 1.00 measured on the last day of each fiscal quarter beginning on the closing date, and ending with the fiscal quarter ending December 31, 2018, 2.50 to 1.00 for the period beginning with the fiscal quarter beginning January 1, 2019 and ending with the fiscal quarter ending December 31, 2019, and 2.75 to 1.00 for the period beginning with the fiscal quarter beginning January 1, 2020 and thereafter.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10" w:name="page111"/>
    <w:bookmarkEnd w:id="110"/>
    <w:p>
      <w:pPr>
        <w:ind w:right="40" w:firstLine="555"/>
        <w:spacing w:after="0" w:line="297" w:lineRule="auto"/>
        <w:rPr>
          <w:sz w:val="20"/>
          <w:szCs w:val="20"/>
          <w:color w:val="auto"/>
        </w:rPr>
      </w:pPr>
      <w:r>
        <w:rPr>
          <w:rFonts w:ascii="Arial" w:cs="Arial" w:eastAsia="Arial" w:hAnsi="Arial"/>
          <w:sz w:val="16"/>
          <w:szCs w:val="16"/>
          <w:color w:val="auto"/>
        </w:rPr>
        <w:t>The Credit Facility contains a number of customary events of default, including, among others, for the non-payment of principal, interest or other amounts, the inaccuracy of certain representations and warranties, the failure to perform or observe certain covenants, a cross default to our other indebtedness including the Notes, certain events of bankruptcy or insolvency; certain ERISA events, the invalidity of certain loan documents, certain changes of control and the loss of certain classes of licenses to conduct gaming. If any event of default occurs, the lenders under the Credit Facility would be entitled to take various actions, including accelerating amounts outstanding thereunder and taking all actions permitted to be taken by a secured creditor.</w:t>
      </w:r>
    </w:p>
    <w:p>
      <w:pPr>
        <w:spacing w:after="0" w:line="158"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On June 6, 2018, the Company executed an amendment that modified certain covenants in the Credit Facility to allow for considerations related to the acquisition of Tropicana. The borrowing capacity of the Revolving Credit Facility increased from $300 million to $500 million effective substantially concurrently with the consummation of the Tropicana Acquisition on October 1, 2018 and the maturity date of the Revolving Credit Facility extended to October 1, 2023.</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Lumière Loan</w:t>
      </w:r>
    </w:p>
    <w:p>
      <w:pPr>
        <w:spacing w:after="0" w:line="117" w:lineRule="exact"/>
        <w:rPr>
          <w:sz w:val="20"/>
          <w:szCs w:val="20"/>
          <w:color w:val="auto"/>
        </w:rPr>
      </w:pPr>
    </w:p>
    <w:p>
      <w:pPr>
        <w:ind w:firstLine="555"/>
        <w:spacing w:after="0" w:line="285" w:lineRule="auto"/>
        <w:rPr>
          <w:sz w:val="20"/>
          <w:szCs w:val="20"/>
          <w:color w:val="auto"/>
        </w:rPr>
      </w:pPr>
      <w:r>
        <w:rPr>
          <w:rFonts w:ascii="Arial" w:cs="Arial" w:eastAsia="Arial" w:hAnsi="Arial"/>
          <w:sz w:val="16"/>
          <w:szCs w:val="16"/>
          <w:color w:val="auto"/>
        </w:rPr>
        <w:t>In connection with the purchase of the real estate related to Lumière, GLPI, Tropicana St. Louis RE LLC, a Wholly owned subsidiary of the Company (“Tropicana St. Louis RE”), and the Company entered into a loan agreement, dated as of October 1, 2018 (the “Lumière Loan”), relating to a loan of $246 million by GLPI to Tropicana St. Louis RE to fund the entire purchase price of the real estate underlying Lumière and a guaranty by the Company of the amounts owed by Tropicana St. Louis RE. The Lumière Loan bears interest at a rate equal to (i) 9.09% until October 1, 2019 and (ii) 9.27% until October 1, 2020, and matures on October 1, 2020. The Lumière Loan is secured by a first priority mortgage on the Lumière Real Property until October 1, 2019. In connection with the issuance of the Lumière Loan, the Company agreed to use its commercially reasonable efforts to transfer one or more of the Grand Victoria Casino, Isle Casino Bettendorf, Isle Casino Hotel Waterloo, Isle of Capri Lula, Lady Luck Casino Vicksburg and Mountaineer Casino, Racetrack and Resort or such other property or properties mutually acceptable to Tropicana St. Louis RE and GLPI, provided that the aggregate value of such property, individually or collectively, is at least $246 million (the “Replacement Property”), to GLPI with a simultaneous leaseback to the Company of such Replacement Property. In connection with such Replacement Property sale, (i) the Company and GLPI will enter into an amendment to the Master Lease to revise the economic terms to include the Replacement Property, (ii) GLPI, or one of its affiliates, will assume the Lumière Loan and Tropicana St. Louis RE’s obligations under the Lumière Loan in consideration of the acquisition of the Replacement Property and the obligations of Tropicana St. Louis RE and the Company under the Lumière Loan will be deemed to have been satisfied, (iii) the Lumière Real Property will be released from the lien placed on it in connection with the Lumière Loan (if such lien has not yet been released in accordance with the terms of the Lumière Loan) and (iv) in the event the value of the Replacement Property is greater than the outstanding obligations of Tropicana St. Louis RE under the Lumière Loan, GLPI will pay Tropicana St. Louis RE the difference between the value of the Replacement Property and the amount of outstanding obligations under the Lumière Loan. If such Replacement Property transaction is not consummated prior to the maturity date of the Lumière Loan, other than as a result of certain failures to perform by GLPI, then the amounts outstanding will be paid in full and the rent under the Master Lease will automatically increase, subject to certain escalations.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 Compliance</w:t>
      </w:r>
    </w:p>
    <w:p>
      <w:pPr>
        <w:spacing w:after="0" w:line="121" w:lineRule="exact"/>
        <w:rPr>
          <w:sz w:val="20"/>
          <w:szCs w:val="20"/>
          <w:color w:val="auto"/>
        </w:rPr>
      </w:pPr>
    </w:p>
    <w:p>
      <w:pPr>
        <w:ind w:right="360" w:firstLine="555"/>
        <w:spacing w:after="0" w:line="277" w:lineRule="auto"/>
        <w:rPr>
          <w:sz w:val="20"/>
          <w:szCs w:val="20"/>
          <w:color w:val="auto"/>
        </w:rPr>
      </w:pPr>
      <w:r>
        <w:rPr>
          <w:rFonts w:ascii="Arial" w:cs="Arial" w:eastAsia="Arial" w:hAnsi="Arial"/>
          <w:sz w:val="18"/>
          <w:szCs w:val="18"/>
          <w:color w:val="auto"/>
        </w:rPr>
        <w:t>As of December 31, 2018, we were in compliance with all of the covenants under the 7% Senior Notes due 2023, 6% Senior Notes due 2025, 6% Senior Notes due 2026, the Credit Facility, the Lumière Loan and the Master Lease.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Liabilities</w:t>
      </w:r>
    </w:p>
    <w:p>
      <w:pPr>
        <w:spacing w:after="0" w:line="117" w:lineRule="exact"/>
        <w:rPr>
          <w:sz w:val="20"/>
          <w:szCs w:val="20"/>
          <w:color w:val="auto"/>
        </w:rPr>
      </w:pPr>
    </w:p>
    <w:p>
      <w:pPr>
        <w:ind w:firstLine="555"/>
        <w:spacing w:after="0" w:line="291" w:lineRule="auto"/>
        <w:rPr>
          <w:sz w:val="20"/>
          <w:szCs w:val="20"/>
          <w:color w:val="auto"/>
        </w:rPr>
      </w:pPr>
      <w:r>
        <w:rPr>
          <w:rFonts w:ascii="Arial" w:cs="Arial" w:eastAsia="Arial" w:hAnsi="Arial"/>
          <w:sz w:val="16"/>
          <w:szCs w:val="16"/>
          <w:color w:val="auto"/>
        </w:rPr>
        <w:t>In conjunction with the Isle Acquisition, the Company acquired the existing lease and management agreements at its Nemacolin location. Under the terms of the agreements, Nemacolin Woodland Resort (“Resort”) provided land, land improvements and a building for the casino property. The Company was deemed, for accounting purposes only, to be the owner of these assets provided by the Resort during the construction and casino operating periods due to the Company’s continuing involvement. Therefore, the transaction was accounted for using the direct financing method. As of December 31, 2018 and December 31, 2017, the Company recorded property and equipment, net of accumulated depreciation, of $1.2 million and $4.2 million, respectively, and a liability of $2.4 and $4.5 million, respectively. The decreases in the assets and liability were primarily due to the impairment charges (see Note 5) and the Company’s finalization of its purchase price accounting related to the Isle Acquisition. These assets and liabilities are reported as held for sale at December 31, 2018.</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11" w:name="page112"/>
    <w:bookmarkEnd w:id="111"/>
    <w:p>
      <w:pPr>
        <w:ind w:right="20" w:firstLine="555"/>
        <w:spacing w:after="0" w:line="272" w:lineRule="auto"/>
        <w:rPr>
          <w:sz w:val="20"/>
          <w:szCs w:val="20"/>
          <w:color w:val="auto"/>
        </w:rPr>
      </w:pPr>
      <w:r>
        <w:rPr>
          <w:rFonts w:ascii="Arial" w:cs="Arial" w:eastAsia="Arial" w:hAnsi="Arial"/>
          <w:sz w:val="17"/>
          <w:szCs w:val="17"/>
          <w:color w:val="auto"/>
        </w:rPr>
        <w:t>In conjunction with the Isle Acquisition, the Company acquired the existing lease and management agreements at its Bettendorf location. Under the terms of the agreements with the City of Bettendorf, Iowa, the Company leases, manages, and provides financial and operating support for the convention center (Quad-Cities Waterfront Convention Center). The Company was deemed, for accounting purposes only, to be the owner of the convention center due to the Company’s continuing involvement. Therefore, the transaction was accounted for using the direct financing method. As of December 31, 2018 and 2017, the Company recorded property and equipment, net of accumulated depreciation, of $11.7 million and $11.9 million, respectively, and a liability of $5.8 million and $12.5 million, respectively, in other long-term liabilities related to the agreement. The changes in property and equipment and in the liability were primarily due to the Company’s finalization of its purchase price accounting related to the Isle Acquisition.</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121"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“Tax Act”). The Tax Act makes broad and complex changes to the U.S. tax code, including, but not limited to, (1) reducing the U.S. federal corporate tax rate from 35% to 21%; (2) eliminating the corporate alternative minimum tax (AMT) and changing how existing AMT credits can be realized; (3) creating a new limitation on deductible interest expense; (4) changing rules related to uses and limitations of net operating loss carryforwards created in tax years beginning after December 31, 2017; (5) bonus depreciation that will allow for full expensing of qualified property; and (6) limitations on the deductibility of certain executive compensation.</w:t>
      </w:r>
    </w:p>
    <w:p>
      <w:pPr>
        <w:spacing w:after="0" w:line="193"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The SEC staff issued Staff Accounting Bulletin (“SAB”) 118, which provides guidance on accounting for the tax effects of the Tax Act. SAB 118 provides a measurement period that should not extend beyond one year from the Tax Act enactment date for companies to complete the accounting under ASC 740. 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Act.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the fourth quarter of the year ended December 31, 2018, we have completed our accounting for the effects of the Tax Act.</w:t>
      </w:r>
    </w:p>
    <w:p>
      <w:pPr>
        <w:spacing w:after="0" w:line="225"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As of December 31, 2017, in connection with our initial analysis of the impact of the Tax Act, for certain of our net deferred tax liabilities, we recorded a decrease of $111.9 million, net of the related change in valuation allowance, with a corresponding net adjustment to deferred income tax benefit as a result of the corporate rate reduction. We recorded a provisional benefit for 2017 expenditures based on our intent to fully expense all qualifying expenditures. We have made immaterial adjustments to the provisional amount as of December 31, 2018.</w:t>
      </w:r>
    </w:p>
    <w:p>
      <w:pPr>
        <w:spacing w:after="0" w:line="187"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color w:val="auto"/>
        </w:rPr>
        <w:t>The components of the Company’s provision (benefit) for income taxes for the years ended December 31, 2018, 2017 and 2016 are presented below (amounts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220" w:type="dxa"/>
            <w:vAlign w:val="bottom"/>
            <w:tcBorders>
              <w:bottom w:val="single" w:sz="8" w:color="CFF0FC"/>
            </w:tcBorders>
          </w:tcPr>
          <w:p>
            <w:pPr>
              <w:spacing w:after="0"/>
              <w:rPr>
                <w:sz w:val="14"/>
                <w:szCs w:val="14"/>
                <w:color w:val="auto"/>
              </w:rPr>
            </w:pPr>
          </w:p>
        </w:tc>
        <w:tc>
          <w:tcPr>
            <w:tcW w:w="13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20" w:type="dxa"/>
            <w:vAlign w:val="bottom"/>
          </w:tcPr>
          <w:p>
            <w:pPr>
              <w:ind w:left="240"/>
              <w:spacing w:after="0"/>
              <w:rPr>
                <w:sz w:val="20"/>
                <w:szCs w:val="20"/>
                <w:color w:val="auto"/>
              </w:rPr>
            </w:pPr>
            <w:r>
              <w:rPr>
                <w:rFonts w:ascii="Arial" w:cs="Arial" w:eastAsia="Arial" w:hAnsi="Arial"/>
                <w:sz w:val="18"/>
                <w:szCs w:val="18"/>
                <w:color w:val="auto"/>
              </w:rPr>
              <w:t>Federal</w:t>
            </w:r>
          </w:p>
        </w:tc>
        <w:tc>
          <w:tcPr>
            <w:tcW w:w="15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3,813</w:t>
            </w:r>
          </w:p>
        </w:tc>
        <w:tc>
          <w:tcPr>
            <w:tcW w:w="18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(3,959)</w:t>
            </w:r>
          </w:p>
        </w:tc>
        <w:tc>
          <w:tcPr>
            <w:tcW w:w="2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20" w:type="dxa"/>
            <w:vAlign w:val="bottom"/>
          </w:tcPr>
          <w:p>
            <w:pPr>
              <w:ind w:left="240"/>
              <w:spacing w:after="0"/>
              <w:rPr>
                <w:sz w:val="20"/>
                <w:szCs w:val="20"/>
                <w:color w:val="auto"/>
              </w:rPr>
            </w:pPr>
            <w:r>
              <w:rPr>
                <w:rFonts w:ascii="Arial" w:cs="Arial" w:eastAsia="Arial" w:hAnsi="Arial"/>
                <w:sz w:val="18"/>
                <w:szCs w:val="18"/>
                <w:color w:val="auto"/>
              </w:rPr>
              <w:t>Local</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(627)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739</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2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w:t>
            </w:r>
          </w:p>
        </w:tc>
        <w:tc>
          <w:tcPr>
            <w:tcW w:w="13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6,562</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(4,206)</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1,900</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1720"/>
              <w:spacing w:after="0"/>
              <w:rPr>
                <w:sz w:val="20"/>
                <w:szCs w:val="20"/>
                <w:color w:val="auto"/>
              </w:rPr>
            </w:pPr>
            <w:r>
              <w:rPr>
                <w:rFonts w:ascii="Arial" w:cs="Arial" w:eastAsia="Arial" w:hAnsi="Arial"/>
                <w:sz w:val="18"/>
                <w:szCs w:val="18"/>
                <w:color w:val="auto"/>
              </w:rPr>
              <w:t>Deferred:</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16,561</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(104,400)</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12,748</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20" w:type="dxa"/>
            <w:vAlign w:val="bottom"/>
          </w:tcPr>
          <w:p>
            <w:pPr>
              <w:ind w:left="240"/>
              <w:spacing w:after="0"/>
              <w:rPr>
                <w:sz w:val="20"/>
                <w:szCs w:val="20"/>
                <w:color w:val="auto"/>
              </w:rPr>
            </w:pPr>
            <w:r>
              <w:rPr>
                <w:rFonts w:ascii="Arial" w:cs="Arial" w:eastAsia="Arial" w:hAnsi="Arial"/>
                <w:sz w:val="18"/>
                <w:szCs w:val="18"/>
                <w:color w:val="auto"/>
              </w:rPr>
              <w:t>State</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17,574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(1,458)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Local</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(310)</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(7,977)</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2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deferred</w:t>
            </w:r>
          </w:p>
        </w:tc>
        <w:tc>
          <w:tcPr>
            <w:tcW w:w="13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33,825</w:t>
            </w:r>
          </w:p>
        </w:tc>
        <w:tc>
          <w:tcPr>
            <w:tcW w:w="1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(112,563)</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11,201</w:t>
            </w:r>
          </w:p>
        </w:tc>
        <w:tc>
          <w:tcPr>
            <w:tcW w:w="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2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Income tax (benefit) expense</w:t>
            </w:r>
          </w:p>
        </w:tc>
        <w:tc>
          <w:tcPr>
            <w:tcW w:w="13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40,387</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(116,769</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13,101</w:t>
            </w:r>
          </w:p>
        </w:tc>
        <w:tc>
          <w:tcPr>
            <w:tcW w:w="80" w:type="dxa"/>
            <w:vAlign w:val="bottom"/>
            <w:tcBorders>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340" w:type="dxa"/>
            <w:vAlign w:val="bottom"/>
            <w:vMerge w:val="restart"/>
          </w:tcPr>
          <w:p>
            <w:pPr>
              <w:jc w:val="right"/>
              <w:ind w:right="350"/>
              <w:spacing w:after="0"/>
              <w:rPr>
                <w:sz w:val="20"/>
                <w:szCs w:val="20"/>
                <w:color w:val="auto"/>
              </w:rPr>
            </w:pPr>
            <w:r>
              <w:rPr>
                <w:rFonts w:ascii="Arial" w:cs="Arial" w:eastAsia="Arial" w:hAnsi="Arial"/>
                <w:sz w:val="18"/>
                <w:szCs w:val="18"/>
                <w:color w:val="auto"/>
              </w:rPr>
              <w:t>110</w:t>
            </w: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12" w:name="page113"/>
    <w:bookmarkEnd w:id="112"/>
    <w:p>
      <w:pPr>
        <w:ind w:right="160" w:firstLine="555"/>
        <w:spacing w:after="0" w:line="277" w:lineRule="auto"/>
        <w:rPr>
          <w:sz w:val="20"/>
          <w:szCs w:val="20"/>
          <w:color w:val="auto"/>
        </w:rPr>
      </w:pPr>
      <w:r>
        <w:rPr>
          <w:rFonts w:ascii="Arial" w:cs="Arial" w:eastAsia="Arial" w:hAnsi="Arial"/>
          <w:sz w:val="18"/>
          <w:szCs w:val="18"/>
          <w:color w:val="auto"/>
        </w:rPr>
        <w:t>The following is a reconciliation of the statutory federal income tax rate to the Company’s effective tax rate for the years ended December 31, 2018, 2017 and 2016:</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4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4"/>
                <w:szCs w:val="14"/>
                <w:color w:val="auto"/>
              </w:rPr>
            </w:pP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rate</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State and local taxes</w:t>
            </w: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State tax rate adjustment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Stock compensation</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(1.8)%</w:t>
            </w: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Goodwill impairment</w:t>
            </w:r>
          </w:p>
        </w:tc>
        <w:tc>
          <w:tcPr>
            <w:tcW w:w="12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 %</w:t>
            </w:r>
          </w:p>
        </w:tc>
        <w:tc>
          <w:tcPr>
            <w:tcW w:w="12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(27.1)%</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Transaction expenses</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 %</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(10.7)%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Tax Cuts and Jobs Act</w:t>
            </w:r>
          </w:p>
        </w:tc>
        <w:tc>
          <w:tcPr>
            <w:tcW w:w="12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264.0</w:t>
            </w:r>
          </w:p>
        </w:tc>
        <w:tc>
          <w:tcPr>
            <w:tcW w:w="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Valuation allowance</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(0.3)%</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(2.3)%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Tax credits</w:t>
            </w:r>
          </w:p>
        </w:tc>
        <w:tc>
          <w:tcPr>
            <w:tcW w:w="12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Other</w:t>
            </w: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(2.6)%</w:t>
            </w: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Effective income tax rate</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340" w:type="dxa"/>
            <w:vAlign w:val="bottom"/>
            <w:tcBorders>
              <w:top w:val="single" w:sz="8" w:color="CFF0FC"/>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269.1</w:t>
            </w:r>
          </w:p>
        </w:tc>
        <w:tc>
          <w:tcPr>
            <w:tcW w:w="360" w:type="dxa"/>
            <w:vAlign w:val="bottom"/>
            <w:tcBorders>
              <w:top w:val="single" w:sz="8" w:color="CFF0FC"/>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2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60" w:firstLine="555"/>
        <w:spacing w:after="0" w:line="297" w:lineRule="auto"/>
        <w:rPr>
          <w:sz w:val="20"/>
          <w:szCs w:val="20"/>
          <w:color w:val="auto"/>
        </w:rPr>
      </w:pPr>
      <w:r>
        <w:rPr>
          <w:rFonts w:ascii="Arial" w:cs="Arial" w:eastAsia="Arial" w:hAnsi="Arial"/>
          <w:sz w:val="16"/>
          <w:szCs w:val="16"/>
          <w:color w:val="auto"/>
        </w:rPr>
        <w:t>For the year ended December 31, 2018, the difference between the effective rate and the statutory rate is attributable primarily to state tax rate adjustment and changes in the effective state tax rate associated with the acquisitions of Elgin and Tropicana. The Company continues to provide for a valuation allowance against net federal and state deferred tax assets associated with non-operating land, the sale of which could result in capital losses that can only be offset against capital gains. The Company also continues to provide for a valuation allowance against net state deferred tax assets relating to certain operations in a few states. Management determined it was not more-likely-than-not that the Company will realize these net deferred tax assets.</w:t>
      </w:r>
    </w:p>
    <w:p>
      <w:pPr>
        <w:spacing w:after="0" w:line="199"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For the year ended December 31, 2017, the difference between the effective rate and the statutory rate is attributable primarily to the impact of the Tax Act, non-deductible asset impairment charges and non-deductible transaction costs incurred and changes in the effective state tax rate associated with the acquisition of Isle.</w:t>
      </w:r>
    </w:p>
    <w:p>
      <w:pPr>
        <w:spacing w:after="0" w:line="181" w:lineRule="exact"/>
        <w:rPr>
          <w:sz w:val="20"/>
          <w:szCs w:val="20"/>
          <w:color w:val="auto"/>
        </w:rPr>
      </w:pPr>
    </w:p>
    <w:p>
      <w:pPr>
        <w:ind w:right="440" w:firstLine="555"/>
        <w:spacing w:after="0" w:line="312" w:lineRule="auto"/>
        <w:rPr>
          <w:sz w:val="20"/>
          <w:szCs w:val="20"/>
          <w:color w:val="auto"/>
        </w:rPr>
      </w:pPr>
      <w:r>
        <w:rPr>
          <w:rFonts w:ascii="Arial" w:cs="Arial" w:eastAsia="Arial" w:hAnsi="Arial"/>
          <w:sz w:val="16"/>
          <w:szCs w:val="16"/>
          <w:color w:val="auto"/>
        </w:rPr>
        <w:t>For the year ended December 31, 2016, the difference between the effective rate and the statutory rate is attributable primarily to the release of a majority of the state valuation allowances on the Company’s West Virginia deferred tax assets and excess tax benefits on stock compensation under Accounting Standards Update 2016-09, Compensation – Stock Compensation, which the Company adopted effective the first quarter of 2016.</w:t>
      </w:r>
    </w:p>
    <w:p>
      <w:pPr>
        <w:spacing w:after="0" w:line="147"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A valuation allowance is recognized if, based on the weight of available evidence, it is more-likely-than-not that some portion, or all, of the deferred tax asset will not be realized. Management must analyze all available positive and negative evidence regarding realization of the deferred tax assets and make an assessment of the likelihood of sufficient future taxable income. For the years ended December 31, 2018, 2017 and 2016, the Company released valuation allowances of $0.5 million, $5.2 million and $1.4 million, respectively.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3" w:name="page114"/>
    <w:bookmarkEnd w:id="113"/>
    <w:p>
      <w:pPr>
        <w:ind w:right="40" w:firstLine="555"/>
        <w:spacing w:after="0" w:line="264"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net deferred taxes related to continuing operations at December 31, 2018 and 2017 are as follows (amounts in thousands):</w:t>
      </w:r>
    </w:p>
    <w:p>
      <w:pPr>
        <w:spacing w:after="0" w:line="18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840" w:type="dxa"/>
            <w:vAlign w:val="bottom"/>
            <w:tcBorders>
              <w:bottom w:val="single" w:sz="8" w:color="CFF0FC"/>
            </w:tcBorders>
          </w:tcPr>
          <w:p>
            <w:pPr>
              <w:spacing w:after="0"/>
              <w:rPr>
                <w:sz w:val="14"/>
                <w:szCs w:val="14"/>
                <w:color w:val="auto"/>
              </w:rPr>
            </w:pPr>
          </w:p>
        </w:tc>
        <w:tc>
          <w:tcPr>
            <w:tcW w:w="14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840" w:type="dxa"/>
            <w:vAlign w:val="bottom"/>
          </w:tcPr>
          <w:p>
            <w:pPr>
              <w:ind w:left="240"/>
              <w:spacing w:after="0"/>
              <w:rPr>
                <w:sz w:val="20"/>
                <w:szCs w:val="20"/>
                <w:color w:val="auto"/>
              </w:rPr>
            </w:pPr>
            <w:r>
              <w:rPr>
                <w:rFonts w:ascii="Arial" w:cs="Arial" w:eastAsia="Arial" w:hAnsi="Arial"/>
                <w:sz w:val="18"/>
                <w:szCs w:val="18"/>
                <w:color w:val="auto"/>
              </w:rPr>
              <w:t>Loss carryforwards</w:t>
            </w:r>
          </w:p>
        </w:tc>
        <w:tc>
          <w:tcPr>
            <w:tcW w:w="17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31,880</w:t>
            </w:r>
          </w:p>
        </w:tc>
        <w:tc>
          <w:tcPr>
            <w:tcW w:w="180" w:type="dxa"/>
            <w:vAlign w:val="bottom"/>
          </w:tcPr>
          <w:p>
            <w:pPr>
              <w:spacing w:after="0"/>
              <w:rPr>
                <w:sz w:val="19"/>
                <w:szCs w:val="19"/>
                <w:color w:val="auto"/>
              </w:rPr>
            </w:pP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58,245</w:t>
            </w:r>
          </w:p>
        </w:tc>
        <w:tc>
          <w:tcPr>
            <w:tcW w:w="80" w:type="dxa"/>
            <w:vAlign w:val="bottom"/>
          </w:tcPr>
          <w:p>
            <w:pPr>
              <w:spacing w:after="0"/>
              <w:rPr>
                <w:sz w:val="19"/>
                <w:szCs w:val="19"/>
                <w:color w:val="auto"/>
              </w:rPr>
            </w:pPr>
          </w:p>
        </w:tc>
      </w:tr>
      <w:tr>
        <w:trPr>
          <w:trHeight w:val="230"/>
        </w:trPr>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w:t>
            </w:r>
          </w:p>
        </w:tc>
        <w:tc>
          <w:tcPr>
            <w:tcW w:w="1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19,306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10,806</w:t>
            </w:r>
          </w:p>
        </w:tc>
        <w:tc>
          <w:tcPr>
            <w:tcW w:w="80" w:type="dxa"/>
            <w:vAlign w:val="bottom"/>
            <w:shd w:val="clear" w:color="auto" w:fill="CFF0FC"/>
          </w:tcPr>
          <w:p>
            <w:pPr>
              <w:spacing w:after="0"/>
              <w:rPr>
                <w:sz w:val="19"/>
                <w:szCs w:val="19"/>
                <w:color w:val="auto"/>
              </w:rPr>
            </w:pPr>
          </w:p>
        </w:tc>
      </w:tr>
      <w:tr>
        <w:trPr>
          <w:trHeight w:val="230"/>
        </w:trPr>
        <w:tc>
          <w:tcPr>
            <w:tcW w:w="3840" w:type="dxa"/>
            <w:vAlign w:val="bottom"/>
          </w:tcPr>
          <w:p>
            <w:pPr>
              <w:ind w:left="240"/>
              <w:spacing w:after="0"/>
              <w:rPr>
                <w:sz w:val="20"/>
                <w:szCs w:val="20"/>
                <w:color w:val="auto"/>
              </w:rPr>
            </w:pPr>
            <w:r>
              <w:rPr>
                <w:rFonts w:ascii="Arial" w:cs="Arial" w:eastAsia="Arial" w:hAnsi="Arial"/>
                <w:sz w:val="18"/>
                <w:szCs w:val="18"/>
                <w:color w:val="auto"/>
              </w:rPr>
              <w:t>Credit carryforwards</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8,986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19,838</w:t>
            </w:r>
          </w:p>
        </w:tc>
        <w:tc>
          <w:tcPr>
            <w:tcW w:w="80" w:type="dxa"/>
            <w:vAlign w:val="bottom"/>
          </w:tcPr>
          <w:p>
            <w:pPr>
              <w:spacing w:after="0"/>
              <w:rPr>
                <w:sz w:val="19"/>
                <w:szCs w:val="19"/>
                <w:color w:val="auto"/>
              </w:rPr>
            </w:pPr>
          </w:p>
        </w:tc>
      </w:tr>
      <w:tr>
        <w:trPr>
          <w:trHeight w:val="230"/>
        </w:trPr>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Financing obligation to GLPI</w:t>
            </w:r>
          </w:p>
        </w:tc>
        <w:tc>
          <w:tcPr>
            <w:tcW w:w="1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126,368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8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14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9,623</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11,336</w:t>
            </w:r>
          </w:p>
        </w:tc>
        <w:tc>
          <w:tcPr>
            <w:tcW w:w="80" w:type="dxa"/>
            <w:vAlign w:val="bottom"/>
            <w:tcBorders>
              <w:bottom w:val="single" w:sz="8" w:color="CFF0FC"/>
            </w:tcBorders>
          </w:tcPr>
          <w:p>
            <w:pPr>
              <w:spacing w:after="0"/>
              <w:rPr>
                <w:sz w:val="19"/>
                <w:szCs w:val="19"/>
                <w:color w:val="auto"/>
              </w:rPr>
            </w:pPr>
          </w:p>
        </w:tc>
      </w:tr>
      <w:tr>
        <w:trPr>
          <w:trHeight w:val="223"/>
        </w:trPr>
        <w:tc>
          <w:tcPr>
            <w:tcW w:w="38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196,163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100,225</w:t>
            </w:r>
          </w:p>
        </w:tc>
        <w:tc>
          <w:tcPr>
            <w:tcW w:w="80" w:type="dxa"/>
            <w:vAlign w:val="bottom"/>
            <w:shd w:val="clear" w:color="auto" w:fill="CFF0FC"/>
          </w:tcPr>
          <w:p>
            <w:pPr>
              <w:spacing w:after="0"/>
              <w:rPr>
                <w:sz w:val="19"/>
                <w:szCs w:val="19"/>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Identified intangibles</w:t>
            </w:r>
          </w:p>
        </w:tc>
        <w:tc>
          <w:tcPr>
            <w:tcW w:w="1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(214,756)</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(203,015)</w:t>
            </w:r>
          </w:p>
        </w:tc>
      </w:tr>
      <w:tr>
        <w:trPr>
          <w:trHeight w:val="230"/>
        </w:trPr>
        <w:tc>
          <w:tcPr>
            <w:tcW w:w="3840" w:type="dxa"/>
            <w:vAlign w:val="bottom"/>
          </w:tcPr>
          <w:p>
            <w:pPr>
              <w:ind w:left="240"/>
              <w:spacing w:after="0"/>
              <w:rPr>
                <w:sz w:val="20"/>
                <w:szCs w:val="20"/>
                <w:color w:val="auto"/>
              </w:rPr>
            </w:pPr>
            <w:r>
              <w:rPr>
                <w:rFonts w:ascii="Arial" w:cs="Arial" w:eastAsia="Arial" w:hAnsi="Arial"/>
                <w:sz w:val="18"/>
                <w:szCs w:val="18"/>
                <w:color w:val="auto"/>
              </w:rPr>
              <w:t>Fixed assets</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(149,491)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(28,375)</w:t>
            </w:r>
          </w:p>
        </w:tc>
      </w:tr>
      <w:tr>
        <w:trPr>
          <w:trHeight w:val="230"/>
        </w:trPr>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(6,560)</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(5,531)</w:t>
            </w:r>
          </w:p>
        </w:tc>
      </w:tr>
      <w:tr>
        <w:trPr>
          <w:trHeight w:val="223"/>
        </w:trPr>
        <w:tc>
          <w:tcPr>
            <w:tcW w:w="38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(370,807)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(236,921)</w:t>
            </w:r>
          </w:p>
        </w:tc>
        <w:tc>
          <w:tcPr>
            <w:tcW w:w="80" w:type="dxa"/>
            <w:vAlign w:val="bottom"/>
          </w:tcPr>
          <w:p>
            <w:pPr>
              <w:spacing w:after="0"/>
              <w:rPr>
                <w:sz w:val="19"/>
                <w:szCs w:val="19"/>
                <w:color w:val="auto"/>
              </w:rPr>
            </w:pPr>
          </w:p>
        </w:tc>
      </w:tr>
      <w:tr>
        <w:trPr>
          <w:trHeight w:val="230"/>
        </w:trPr>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Valuation allowance</w:t>
            </w:r>
          </w:p>
        </w:tc>
        <w:tc>
          <w:tcPr>
            <w:tcW w:w="1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(25,366)</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(26,271)</w:t>
            </w: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Net deferred tax liabilities</w:t>
            </w:r>
          </w:p>
        </w:tc>
        <w:tc>
          <w:tcPr>
            <w:tcW w:w="14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(200,010)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(162,967)</w:t>
            </w:r>
          </w:p>
        </w:tc>
        <w:tc>
          <w:tcPr>
            <w:tcW w:w="80" w:type="dxa"/>
            <w:vAlign w:val="bottom"/>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As of December 31, 2018, the Company had federal and state net operating loss carryforwards of $40.7 million and $361.2 million, respectively. State net operating losses began to expire in 2018 and federal net operating losses begin to expire in 2030. As of December 31, 2018, the Company had federal jobs credit carryforwards of $9.0 million, which begin to expire in 2024.</w:t>
      </w:r>
    </w:p>
    <w:p>
      <w:pPr>
        <w:spacing w:after="0" w:line="181" w:lineRule="exact"/>
        <w:rPr>
          <w:sz w:val="20"/>
          <w:szCs w:val="20"/>
          <w:color w:val="auto"/>
        </w:rPr>
      </w:pPr>
    </w:p>
    <w:p>
      <w:pPr>
        <w:ind w:right="580" w:firstLine="555"/>
        <w:spacing w:after="0" w:line="277" w:lineRule="auto"/>
        <w:rPr>
          <w:sz w:val="20"/>
          <w:szCs w:val="20"/>
          <w:color w:val="auto"/>
        </w:rPr>
      </w:pPr>
      <w:r>
        <w:rPr>
          <w:rFonts w:ascii="Arial" w:cs="Arial" w:eastAsia="Arial" w:hAnsi="Arial"/>
          <w:sz w:val="18"/>
          <w:szCs w:val="18"/>
          <w:color w:val="auto"/>
        </w:rPr>
        <w:t>The acquisitions of Elgin and Tropicana were treated as asset acquisitions for tax purposes and the assets and liabilities were stepped up to fair value. As a result, there are no deferred tax assets or liabilities recorded upon acquisition.</w:t>
      </w:r>
    </w:p>
    <w:p>
      <w:pPr>
        <w:spacing w:after="0" w:line="170" w:lineRule="exact"/>
        <w:rPr>
          <w:sz w:val="20"/>
          <w:szCs w:val="20"/>
          <w:color w:val="auto"/>
        </w:rPr>
      </w:pPr>
    </w:p>
    <w:p>
      <w:pPr>
        <w:ind w:firstLine="555"/>
        <w:spacing w:after="0" w:line="218" w:lineRule="exact"/>
        <w:rPr>
          <w:sz w:val="20"/>
          <w:szCs w:val="20"/>
          <w:color w:val="auto"/>
        </w:rPr>
      </w:pPr>
      <w:r>
        <w:rPr>
          <w:rFonts w:ascii="Arial" w:cs="Arial" w:eastAsia="Arial" w:hAnsi="Arial"/>
          <w:sz w:val="17"/>
          <w:szCs w:val="17"/>
          <w:color w:val="auto"/>
        </w:rPr>
        <w:t>Utilization of net operating loss, credit, and other carryforwards are subject to annual limitations due to ownership changes as provided by the Internal Revenue Code of 1986, as amended and similar state provisions. An ownership change is defined as a greater than 50% change in ownership by 5% stockholders in any three</w:t>
      </w:r>
      <w:r>
        <w:rPr>
          <w:rFonts w:ascii="MS PGothic" w:cs="MS PGothic" w:eastAsia="MS PGothic" w:hAnsi="MS PGothic"/>
          <w:sz w:val="17"/>
          <w:szCs w:val="17"/>
          <w:color w:val="auto"/>
        </w:rPr>
        <w:t>‑</w:t>
      </w:r>
      <w:r>
        <w:rPr>
          <w:rFonts w:ascii="Arial" w:cs="Arial" w:eastAsia="Arial" w:hAnsi="Arial"/>
          <w:sz w:val="17"/>
          <w:szCs w:val="17"/>
          <w:color w:val="auto"/>
        </w:rPr>
        <w:t>year period. Under Sections 382 and 383 of the Internal Revenue Code of 1986, as amended, the Company had a “change in ownership” event that limits the utilization of net operating loss, credit, and other carryforwards that were previously available to Isle and the Company to offset future taxable income. The “change in ownership” event for Isle and the Company occurred on May 1, 2017 in connection with the merger with Isle of Capri. This limitation resulted in no significant loss of federal attributes, but did result in significant loss of state attributes. The federal and state net operating loss credit and other carryforwards are stated net of limitations.</w:t>
      </w:r>
    </w:p>
    <w:p>
      <w:pPr>
        <w:spacing w:after="0" w:line="206" w:lineRule="exact"/>
        <w:rPr>
          <w:sz w:val="20"/>
          <w:szCs w:val="20"/>
          <w:color w:val="auto"/>
        </w:rPr>
      </w:pPr>
    </w:p>
    <w:p>
      <w:pPr>
        <w:ind w:right="300" w:firstLine="555"/>
        <w:spacing w:after="0" w:line="264" w:lineRule="auto"/>
        <w:rPr>
          <w:sz w:val="20"/>
          <w:szCs w:val="20"/>
          <w:color w:val="auto"/>
        </w:rPr>
      </w:pPr>
      <w:r>
        <w:rPr>
          <w:rFonts w:ascii="Arial" w:cs="Arial" w:eastAsia="Arial" w:hAnsi="Arial"/>
          <w:sz w:val="18"/>
          <w:szCs w:val="18"/>
          <w:color w:val="auto"/>
        </w:rPr>
        <w:t>As of December 31, 2018, there were no unrecognized tax benefits and the Company does not expect a significant increase or decrease to the total amounts of unrecognized tax benefits within the next twelve months. We recognize accrued interest and penalties related to unrecognized tax benefits in income tax expense.</w:t>
      </w:r>
    </w:p>
    <w:p>
      <w:pPr>
        <w:spacing w:after="0" w:line="181" w:lineRule="exact"/>
        <w:rPr>
          <w:sz w:val="20"/>
          <w:szCs w:val="20"/>
          <w:color w:val="auto"/>
        </w:rPr>
      </w:pPr>
    </w:p>
    <w:p>
      <w:pPr>
        <w:ind w:right="200" w:firstLine="555"/>
        <w:spacing w:after="0" w:line="286" w:lineRule="auto"/>
        <w:rPr>
          <w:sz w:val="20"/>
          <w:szCs w:val="20"/>
          <w:color w:val="auto"/>
        </w:rPr>
      </w:pPr>
      <w:r>
        <w:rPr>
          <w:rFonts w:ascii="Arial" w:cs="Arial" w:eastAsia="Arial" w:hAnsi="Arial"/>
          <w:sz w:val="17"/>
          <w:szCs w:val="17"/>
          <w:color w:val="auto"/>
        </w:rPr>
        <w:t>The Company was notified by the Internal Revenue Service in October of 2016 that its federal tax return for the year ended December 31, 2014 had been selected for examination. In September 2017, the IRS informed the Company that they completed the examination of the tax return and made no changes. However, the Company may be subject to audit in the future and the outcome of tax audits cannot be predicted with certainty.</w:t>
      </w:r>
    </w:p>
    <w:p>
      <w:pPr>
        <w:spacing w:after="0" w:line="166" w:lineRule="exact"/>
        <w:rPr>
          <w:sz w:val="20"/>
          <w:szCs w:val="20"/>
          <w:color w:val="auto"/>
        </w:rPr>
      </w:pPr>
    </w:p>
    <w:p>
      <w:pPr>
        <w:jc w:val="both"/>
        <w:ind w:right="80" w:firstLine="555"/>
        <w:spacing w:after="0" w:line="264" w:lineRule="auto"/>
        <w:rPr>
          <w:sz w:val="20"/>
          <w:szCs w:val="20"/>
          <w:color w:val="auto"/>
        </w:rPr>
      </w:pPr>
      <w:r>
        <w:rPr>
          <w:rFonts w:ascii="Arial" w:cs="Arial" w:eastAsia="Arial" w:hAnsi="Arial"/>
          <w:sz w:val="18"/>
          <w:szCs w:val="18"/>
          <w:color w:val="auto"/>
        </w:rPr>
        <w:t>The Company and its subsidiaries file US federal income tax returns and various state and local income tax returns. The Company does not have tax sharing agreements with the other members within the consolidated ERI group. With few exceptions, the Company is no longer subject to US federal or state and local tax examinations by tax authorities for years before 2012.</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Note 13. Employee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Plans</w:t>
      </w:r>
    </w:p>
    <w:p>
      <w:pPr>
        <w:spacing w:after="0" w:line="117"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color w:val="auto"/>
        </w:rPr>
        <w:t>The Company offers several 401(k) plans to substantially all employees who are not covered by collective bargaining agreements, who meet certain eligibility requirements, namely terms of service. Employer match policies vary between the plans.</w:t>
      </w:r>
    </w:p>
    <w:p>
      <w:pPr>
        <w:spacing w:after="0" w:line="170"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color w:val="auto"/>
        </w:rPr>
        <w:t>The Company’s matching contributions totaled $2.4 million, $2.6 million and $1.5 million for the years ended December 31, 2018, 2017 and 2016, respectively.</w:t>
      </w:r>
    </w:p>
    <w:p>
      <w:pPr>
        <w:spacing w:after="0" w:line="170" w:lineRule="exact"/>
        <w:rPr>
          <w:sz w:val="20"/>
          <w:szCs w:val="20"/>
          <w:color w:val="auto"/>
        </w:rPr>
      </w:pPr>
    </w:p>
    <w:p>
      <w:pPr>
        <w:jc w:val="both"/>
        <w:ind w:firstLine="555"/>
        <w:spacing w:after="0" w:line="288" w:lineRule="auto"/>
        <w:rPr>
          <w:sz w:val="20"/>
          <w:szCs w:val="20"/>
          <w:color w:val="auto"/>
        </w:rPr>
      </w:pPr>
      <w:r>
        <w:rPr>
          <w:rFonts w:ascii="Arial" w:cs="Arial" w:eastAsia="Arial" w:hAnsi="Arial"/>
          <w:sz w:val="16"/>
          <w:szCs w:val="16"/>
          <w:color w:val="auto"/>
        </w:rPr>
        <w:t>Mountaineer’s qualified defined contribution plan (established by West Virginia legislation) covers substantially all of its employees. Contributions to the plan are based on 1/4% of the race track and simulcast wagering handles and approximately 1% of the net win from gaming operations until the racetrack reaches its Excess Net Terminal Income threshold, which for Mountaineer is approximately $160 million per year based on the state’s June 30 fiscal year.</w:t>
      </w:r>
    </w:p>
    <w:p>
      <w:pPr>
        <w:ind w:right="700"/>
        <w:spacing w:after="0" w:line="261" w:lineRule="auto"/>
        <w:rPr>
          <w:sz w:val="20"/>
          <w:szCs w:val="20"/>
          <w:color w:val="auto"/>
        </w:rPr>
      </w:pPr>
      <w:r>
        <w:rPr>
          <w:rFonts w:ascii="Arial" w:cs="Arial" w:eastAsia="Arial" w:hAnsi="Arial"/>
          <w:sz w:val="18"/>
          <w:szCs w:val="18"/>
          <w:color w:val="auto"/>
        </w:rPr>
        <w:t>Contributions to the ERI 401(k) Plan for the benefit of Mountaineer employees were $1.1 million, $1.1 million and $1.2 million for the years ended December 31, 2018, 2017 and 2016,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Benefit-Plan</w:t>
      </w:r>
    </w:p>
    <w:p>
      <w:pPr>
        <w:spacing w:after="0" w:line="117" w:lineRule="exact"/>
        <w:rPr>
          <w:sz w:val="20"/>
          <w:szCs w:val="20"/>
          <w:color w:val="auto"/>
        </w:rPr>
      </w:pPr>
    </w:p>
    <w:p>
      <w:pPr>
        <w:ind w:right="100" w:firstLine="555"/>
        <w:spacing w:after="0" w:line="276" w:lineRule="auto"/>
        <w:rPr>
          <w:sz w:val="20"/>
          <w:szCs w:val="20"/>
          <w:color w:val="auto"/>
        </w:rPr>
      </w:pPr>
      <w:r>
        <w:rPr>
          <w:rFonts w:ascii="Arial" w:cs="Arial" w:eastAsia="Arial" w:hAnsi="Arial"/>
          <w:sz w:val="17"/>
          <w:szCs w:val="17"/>
          <w:color w:val="auto"/>
        </w:rPr>
        <w:t>Scioto Downs sponsors a noncontributory defined-benefit plan covering all full-time employees meeting certain age and service requirements. On May 31, 2001, the plan was amended to freeze eligibility, accrual of years of service and benefits. As of December 31, 2018, the fair value of the plan assets was $1.0 million, and the fair value of the benefit obligations was $0.7 million, resulting in an over-funded status of $0.3 million. The plan assets are comprised primarily of money market and mutual funds whose values are determined based on quoted market prices and are classified in Level 1 of the fair value hierarchy. We did not make cash contributions to the Scioto Downs pension plan during 2018, 2017 and 2016.</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 AC Employees Variable Annuity Pension Plan</w:t>
      </w:r>
    </w:p>
    <w:p>
      <w:pPr>
        <w:spacing w:after="0" w:line="117" w:lineRule="exact"/>
        <w:rPr>
          <w:sz w:val="20"/>
          <w:szCs w:val="20"/>
          <w:color w:val="auto"/>
        </w:rPr>
      </w:pPr>
    </w:p>
    <w:p>
      <w:pPr>
        <w:ind w:right="320" w:firstLine="555"/>
        <w:spacing w:after="0" w:line="264" w:lineRule="auto"/>
        <w:rPr>
          <w:sz w:val="20"/>
          <w:szCs w:val="20"/>
          <w:color w:val="auto"/>
        </w:rPr>
      </w:pPr>
      <w:r>
        <w:rPr>
          <w:rFonts w:ascii="Arial" w:cs="Arial" w:eastAsia="Arial" w:hAnsi="Arial"/>
          <w:sz w:val="18"/>
          <w:szCs w:val="18"/>
          <w:color w:val="auto"/>
        </w:rPr>
        <w:t>In connection with the collective bargaining agreement and related settlement agreement (the “Settlement Agreement”) that was executed in May 2014 between Trop AC and UNITE HERE Local 54 (“Local 54”), the parties agreed that Trop AC would establish a Variable Annuity Pension Plan (“VAPP”), a defined benefit pension plan, for certain Trop AC Local 54 employees.</w:t>
      </w:r>
    </w:p>
    <w:p>
      <w:pPr>
        <w:spacing w:after="0" w:line="181" w:lineRule="exact"/>
        <w:rPr>
          <w:sz w:val="20"/>
          <w:szCs w:val="20"/>
          <w:color w:val="auto"/>
        </w:rPr>
      </w:pPr>
    </w:p>
    <w:p>
      <w:pPr>
        <w:ind w:right="520" w:firstLine="555"/>
        <w:spacing w:after="0" w:line="277" w:lineRule="auto"/>
        <w:rPr>
          <w:sz w:val="20"/>
          <w:szCs w:val="20"/>
          <w:color w:val="auto"/>
        </w:rPr>
      </w:pPr>
      <w:r>
        <w:rPr>
          <w:rFonts w:ascii="Arial" w:cs="Arial" w:eastAsia="Arial" w:hAnsi="Arial"/>
          <w:sz w:val="18"/>
          <w:szCs w:val="18"/>
          <w:color w:val="auto"/>
        </w:rPr>
        <w:t>Contributions to the VAPP through the end of the current collective bargaining agreement of February 29, 2020, will be calculated at $1.93 per straight time hour paid to employees covered by the agreement.</w:t>
      </w:r>
    </w:p>
    <w:p>
      <w:pPr>
        <w:spacing w:after="0" w:line="170"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color w:val="auto"/>
        </w:rPr>
        <w:t>The components of net periodic benefit costs for the period beginning with the Tropicana Acquisition date of October 1, 2018 through December 31, 2018 related to the VAPP consists of the following (in thousands):</w:t>
      </w:r>
    </w:p>
    <w:p>
      <w:pPr>
        <w:spacing w:after="0" w:line="185"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Service costs</w:t>
            </w:r>
          </w:p>
        </w:tc>
        <w:tc>
          <w:tcPr>
            <w:tcW w:w="2120" w:type="dxa"/>
            <w:vAlign w:val="bottom"/>
            <w:gridSpan w:val="2"/>
            <w:shd w:val="clear" w:color="auto" w:fill="CFF0FC"/>
          </w:tcPr>
          <w:p>
            <w:pPr>
              <w:jc w:val="right"/>
              <w:ind w:right="7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w:t>
            </w:r>
          </w:p>
        </w:tc>
        <w:tc>
          <w:tcPr>
            <w:tcW w:w="140" w:type="dxa"/>
            <w:vAlign w:val="bottom"/>
            <w:shd w:val="clear" w:color="auto" w:fill="CFF0FC"/>
          </w:tcPr>
          <w:p>
            <w:pPr>
              <w:spacing w:after="0"/>
              <w:rPr>
                <w:sz w:val="19"/>
                <w:szCs w:val="19"/>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Interest costs</w:t>
            </w: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9"/>
                <w:szCs w:val="19"/>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(178)</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Amortization of net (gain) loss</w:t>
            </w: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3380" w:type="dxa"/>
            <w:vAlign w:val="bottom"/>
            <w:tcBorders>
              <w:top w:val="single" w:sz="8" w:color="CFF0FC"/>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Net periodic benefit cost</w:t>
            </w: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periodic benefit costs are reported in the various operation departments in the Consolidated Statements of Income.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115" w:name="page116"/>
    <w:bookmarkEnd w:id="115"/>
    <w:p>
      <w:pPr>
        <w:ind w:left="560"/>
        <w:spacing w:after="0"/>
        <w:rPr>
          <w:sz w:val="20"/>
          <w:szCs w:val="20"/>
          <w:color w:val="auto"/>
        </w:rPr>
      </w:pPr>
      <w:r>
        <w:rPr>
          <w:rFonts w:ascii="Arial" w:cs="Arial" w:eastAsia="Arial" w:hAnsi="Arial"/>
          <w:sz w:val="16"/>
          <w:szCs w:val="16"/>
          <w:color w:val="auto"/>
        </w:rPr>
        <w:t>The change in the projected benefit obligation, change in plan assets and funded status for the period beginning with the Tropicana Acquisition date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1, 2018 through December 31, 2018 is as follows (in thousands):</w:t>
      </w:r>
    </w:p>
    <w:p>
      <w:pPr>
        <w:spacing w:after="0" w:line="225"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Change in benefit obligations:</w:t>
            </w: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3900" w:type="dxa"/>
            <w:vAlign w:val="bottom"/>
          </w:tcPr>
          <w:p>
            <w:pPr>
              <w:ind w:left="120"/>
              <w:spacing w:after="0"/>
              <w:rPr>
                <w:sz w:val="20"/>
                <w:szCs w:val="20"/>
                <w:color w:val="auto"/>
              </w:rPr>
            </w:pPr>
            <w:r>
              <w:rPr>
                <w:rFonts w:ascii="Arial" w:cs="Arial" w:eastAsia="Arial" w:hAnsi="Arial"/>
                <w:sz w:val="18"/>
                <w:szCs w:val="18"/>
                <w:color w:val="auto"/>
              </w:rPr>
              <w:t>Projected benefit obligation beginning of</w:t>
            </w: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900" w:type="dxa"/>
            <w:vAlign w:val="bottom"/>
          </w:tcPr>
          <w:p>
            <w:pPr>
              <w:ind w:left="240"/>
              <w:spacing w:after="0"/>
              <w:rPr>
                <w:sz w:val="20"/>
                <w:szCs w:val="20"/>
                <w:color w:val="auto"/>
              </w:rPr>
            </w:pPr>
            <w:r>
              <w:rPr>
                <w:rFonts w:ascii="Arial" w:cs="Arial" w:eastAsia="Arial" w:hAnsi="Arial"/>
                <w:sz w:val="18"/>
                <w:szCs w:val="18"/>
                <w:color w:val="auto"/>
              </w:rPr>
              <w:t>period</w:t>
            </w:r>
          </w:p>
        </w:tc>
        <w:tc>
          <w:tcPr>
            <w:tcW w:w="158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12,024</w:t>
            </w:r>
          </w:p>
        </w:tc>
        <w:tc>
          <w:tcPr>
            <w:tcW w:w="120" w:type="dxa"/>
            <w:vAlign w:val="bottom"/>
          </w:tcPr>
          <w:p>
            <w:pPr>
              <w:spacing w:after="0"/>
              <w:rPr>
                <w:sz w:val="20"/>
                <w:szCs w:val="20"/>
                <w:color w:val="auto"/>
              </w:rPr>
            </w:pPr>
          </w:p>
        </w:tc>
      </w:tr>
      <w:tr>
        <w:trPr>
          <w:trHeight w:val="230"/>
        </w:trPr>
        <w:tc>
          <w:tcPr>
            <w:tcW w:w="39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Service and interest cost during period</w:t>
            </w: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120" w:type="dxa"/>
            <w:vAlign w:val="bottom"/>
            <w:shd w:val="clear" w:color="auto" w:fill="CFF0FC"/>
          </w:tcPr>
          <w:p>
            <w:pPr>
              <w:spacing w:after="0"/>
              <w:rPr>
                <w:sz w:val="19"/>
                <w:szCs w:val="19"/>
                <w:color w:val="auto"/>
              </w:rPr>
            </w:pPr>
          </w:p>
        </w:tc>
      </w:tr>
      <w:tr>
        <w:trPr>
          <w:trHeight w:val="230"/>
        </w:trPr>
        <w:tc>
          <w:tcPr>
            <w:tcW w:w="3900" w:type="dxa"/>
            <w:vAlign w:val="bottom"/>
          </w:tcPr>
          <w:p>
            <w:pPr>
              <w:ind w:left="360"/>
              <w:spacing w:after="0"/>
              <w:rPr>
                <w:sz w:val="20"/>
                <w:szCs w:val="20"/>
                <w:color w:val="auto"/>
              </w:rPr>
            </w:pPr>
            <w:r>
              <w:rPr>
                <w:rFonts w:ascii="Arial" w:cs="Arial" w:eastAsia="Arial" w:hAnsi="Arial"/>
                <w:sz w:val="18"/>
                <w:szCs w:val="18"/>
                <w:color w:val="auto"/>
              </w:rPr>
              <w:t>Benefit payments during period</w:t>
            </w: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Expenses during period</w:t>
            </w: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w:t>
            </w:r>
          </w:p>
        </w:tc>
      </w:tr>
      <w:tr>
        <w:trPr>
          <w:trHeight w:val="230"/>
        </w:trPr>
        <w:tc>
          <w:tcPr>
            <w:tcW w:w="3900" w:type="dxa"/>
            <w:vAlign w:val="bottom"/>
          </w:tcPr>
          <w:p>
            <w:pPr>
              <w:ind w:left="360"/>
              <w:spacing w:after="0"/>
              <w:rPr>
                <w:sz w:val="20"/>
                <w:szCs w:val="20"/>
                <w:color w:val="auto"/>
              </w:rPr>
            </w:pPr>
            <w:r>
              <w:rPr>
                <w:rFonts w:ascii="Arial" w:cs="Arial" w:eastAsia="Arial" w:hAnsi="Arial"/>
                <w:sz w:val="18"/>
                <w:szCs w:val="18"/>
                <w:color w:val="auto"/>
              </w:rPr>
              <w:t>Actuarial gain</w:t>
            </w: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(303)</w:t>
            </w:r>
          </w:p>
        </w:tc>
      </w:tr>
      <w:tr>
        <w:trPr>
          <w:trHeight w:val="223"/>
        </w:trPr>
        <w:tc>
          <w:tcPr>
            <w:tcW w:w="390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Projected benefit obligation end of period</w:t>
            </w:r>
          </w:p>
        </w:tc>
        <w:tc>
          <w:tcPr>
            <w:tcW w:w="7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12,650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Change in plan assets:</w:t>
            </w: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3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Fair value of plan assets at beginning of</w:t>
            </w:r>
          </w:p>
        </w:tc>
        <w:tc>
          <w:tcPr>
            <w:tcW w:w="7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period</w:t>
            </w:r>
          </w:p>
        </w:tc>
        <w:tc>
          <w:tcPr>
            <w:tcW w:w="1580" w:type="dxa"/>
            <w:vAlign w:val="bottom"/>
            <w:gridSpan w:val="2"/>
            <w:shd w:val="clear" w:color="auto" w:fill="CFF0FC"/>
          </w:tcPr>
          <w:p>
            <w:pPr>
              <w:jc w:val="right"/>
              <w:ind w:right="6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14,283</w:t>
            </w:r>
          </w:p>
        </w:tc>
        <w:tc>
          <w:tcPr>
            <w:tcW w:w="120" w:type="dxa"/>
            <w:vAlign w:val="bottom"/>
            <w:shd w:val="clear" w:color="auto" w:fill="CFF0FC"/>
          </w:tcPr>
          <w:p>
            <w:pPr>
              <w:spacing w:after="0"/>
              <w:rPr>
                <w:sz w:val="20"/>
                <w:szCs w:val="20"/>
                <w:color w:val="auto"/>
              </w:rPr>
            </w:pPr>
          </w:p>
        </w:tc>
      </w:tr>
      <w:tr>
        <w:trPr>
          <w:trHeight w:val="230"/>
        </w:trPr>
        <w:tc>
          <w:tcPr>
            <w:tcW w:w="3900" w:type="dxa"/>
            <w:vAlign w:val="bottom"/>
          </w:tcPr>
          <w:p>
            <w:pPr>
              <w:ind w:left="360"/>
              <w:spacing w:after="0"/>
              <w:rPr>
                <w:sz w:val="20"/>
                <w:szCs w:val="20"/>
                <w:color w:val="auto"/>
              </w:rPr>
            </w:pPr>
            <w:r>
              <w:rPr>
                <w:rFonts w:ascii="Arial" w:cs="Arial" w:eastAsia="Arial" w:hAnsi="Arial"/>
                <w:sz w:val="18"/>
                <w:szCs w:val="18"/>
                <w:color w:val="auto"/>
              </w:rPr>
              <w:t>Return on plan assets during period</w:t>
            </w: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r>
      <w:tr>
        <w:trPr>
          <w:trHeight w:val="230"/>
        </w:trPr>
        <w:tc>
          <w:tcPr>
            <w:tcW w:w="39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Benefit payments during period</w:t>
            </w: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tcPr>
          <w:p>
            <w:pPr>
              <w:ind w:left="360"/>
              <w:spacing w:after="0"/>
              <w:rPr>
                <w:sz w:val="20"/>
                <w:szCs w:val="20"/>
                <w:color w:val="auto"/>
              </w:rPr>
            </w:pPr>
            <w:r>
              <w:rPr>
                <w:rFonts w:ascii="Arial" w:cs="Arial" w:eastAsia="Arial" w:hAnsi="Arial"/>
                <w:sz w:val="18"/>
                <w:szCs w:val="18"/>
                <w:color w:val="auto"/>
              </w:rPr>
              <w:t>Expenses during period</w:t>
            </w: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r>
      <w:tr>
        <w:trPr>
          <w:trHeight w:val="230"/>
        </w:trPr>
        <w:tc>
          <w:tcPr>
            <w:tcW w:w="39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Employer contributions</w:t>
            </w: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39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Fair value of plan assets at end of period</w:t>
            </w:r>
          </w:p>
        </w:tc>
        <w:tc>
          <w:tcPr>
            <w:tcW w:w="760" w:type="dxa"/>
            <w:vAlign w:val="bottom"/>
            <w:tcBorders>
              <w:bottom w:val="single" w:sz="8" w:color="CFF0FC"/>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14,330</w:t>
            </w:r>
          </w:p>
        </w:tc>
        <w:tc>
          <w:tcPr>
            <w:tcW w:w="120" w:type="dxa"/>
            <w:vAlign w:val="bottom"/>
            <w:tcBorders>
              <w:bottom w:val="single" w:sz="8" w:color="CFF0FC"/>
            </w:tcBorders>
          </w:tcPr>
          <w:p>
            <w:pPr>
              <w:spacing w:after="0"/>
              <w:rPr>
                <w:sz w:val="19"/>
                <w:szCs w:val="19"/>
                <w:color w:val="auto"/>
              </w:rPr>
            </w:pPr>
          </w:p>
        </w:tc>
      </w:tr>
      <w:tr>
        <w:trPr>
          <w:trHeight w:val="223"/>
        </w:trPr>
        <w:tc>
          <w:tcPr>
            <w:tcW w:w="3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Funded status at end of period</w:t>
            </w:r>
          </w:p>
        </w:tc>
        <w:tc>
          <w:tcPr>
            <w:tcW w:w="7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As of December 31, 2018, the VAPP was in an overfunded status in the amount of $1.7 million, which is included in other assets, net on the Consolidated Balance Sheet. Actuarial assumptions used to determine the benefit obligations for the VAPP include an expected rate of return on assets of 5%, discount rate of 5.0% pre-retirement and a discount rate of 3.0% post-retirement, which, as defined in the Settlement Agreement, will result in no adjustments to the plan benefit.</w:t>
      </w:r>
    </w:p>
    <w:p>
      <w:pPr>
        <w:spacing w:after="0" w:line="187" w:lineRule="exact"/>
        <w:rPr>
          <w:sz w:val="20"/>
          <w:szCs w:val="20"/>
          <w:color w:val="auto"/>
        </w:rPr>
      </w:pPr>
    </w:p>
    <w:p>
      <w:pPr>
        <w:ind w:right="660" w:firstLine="555"/>
        <w:spacing w:after="0" w:line="277" w:lineRule="auto"/>
        <w:rPr>
          <w:sz w:val="20"/>
          <w:szCs w:val="20"/>
          <w:color w:val="auto"/>
        </w:rPr>
      </w:pPr>
      <w:r>
        <w:rPr>
          <w:rFonts w:ascii="Arial" w:cs="Arial" w:eastAsia="Arial" w:hAnsi="Arial"/>
          <w:sz w:val="18"/>
          <w:szCs w:val="18"/>
          <w:color w:val="auto"/>
        </w:rPr>
        <w:t>The plan assets are comprised primarily of money market and mutual funds whose value is determined based on quoted market prices and are classified as Level 1 within the fair value hierarchy.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Future estimated expected benefit payments for 2019 through 2028 are as follows (in thousands):</w:t>
      </w:r>
    </w:p>
    <w:p>
      <w:pPr>
        <w:spacing w:after="0" w:line="21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Expected Benefit</w:t>
            </w:r>
          </w:p>
        </w:tc>
      </w:tr>
      <w:tr>
        <w:trPr>
          <w:trHeight w:val="171"/>
        </w:trPr>
        <w:tc>
          <w:tcPr>
            <w:tcW w:w="4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Payments</w:t>
            </w:r>
          </w:p>
        </w:tc>
      </w:tr>
      <w:tr>
        <w:trPr>
          <w:trHeight w:val="223"/>
        </w:trPr>
        <w:tc>
          <w:tcPr>
            <w:tcW w:w="456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2019</w:t>
            </w:r>
          </w:p>
        </w:tc>
        <w:tc>
          <w:tcPr>
            <w:tcW w:w="380" w:type="dxa"/>
            <w:vAlign w:val="bottom"/>
            <w:tcBorders>
              <w:top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560" w:type="dxa"/>
            <w:vAlign w:val="bottom"/>
          </w:tcPr>
          <w:p>
            <w:pPr>
              <w:ind w:left="120"/>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r>
      <w:tr>
        <w:trPr>
          <w:trHeight w:val="230"/>
        </w:trPr>
        <w:tc>
          <w:tcPr>
            <w:tcW w:w="4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2021</w:t>
            </w:r>
          </w:p>
        </w:tc>
        <w:tc>
          <w:tcPr>
            <w:tcW w:w="38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FF0FC"/>
          </w:tcPr>
          <w:p>
            <w:pPr>
              <w:spacing w:after="0"/>
              <w:rPr>
                <w:sz w:val="19"/>
                <w:szCs w:val="19"/>
                <w:color w:val="auto"/>
              </w:rPr>
            </w:pPr>
          </w:p>
        </w:tc>
      </w:tr>
      <w:tr>
        <w:trPr>
          <w:trHeight w:val="230"/>
        </w:trPr>
        <w:tc>
          <w:tcPr>
            <w:tcW w:w="4560" w:type="dxa"/>
            <w:vAlign w:val="bottom"/>
          </w:tcPr>
          <w:p>
            <w:pPr>
              <w:ind w:left="120"/>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9"/>
                <w:szCs w:val="19"/>
                <w:color w:val="auto"/>
              </w:rPr>
            </w:pPr>
          </w:p>
        </w:tc>
      </w:tr>
      <w:tr>
        <w:trPr>
          <w:trHeight w:val="230"/>
        </w:trPr>
        <w:tc>
          <w:tcPr>
            <w:tcW w:w="4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2023</w:t>
            </w:r>
          </w:p>
        </w:tc>
        <w:tc>
          <w:tcPr>
            <w:tcW w:w="38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FF0FC"/>
          </w:tcPr>
          <w:p>
            <w:pPr>
              <w:spacing w:after="0"/>
              <w:rPr>
                <w:sz w:val="19"/>
                <w:szCs w:val="19"/>
                <w:color w:val="auto"/>
              </w:rPr>
            </w:pPr>
          </w:p>
        </w:tc>
      </w:tr>
      <w:tr>
        <w:trPr>
          <w:trHeight w:val="230"/>
        </w:trPr>
        <w:tc>
          <w:tcPr>
            <w:tcW w:w="456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2024 through 2028</w:t>
            </w:r>
          </w:p>
        </w:tc>
        <w:tc>
          <w:tcPr>
            <w:tcW w:w="3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3,879</w:t>
            </w:r>
          </w:p>
        </w:tc>
        <w:tc>
          <w:tcPr>
            <w:tcW w:w="120" w:type="dxa"/>
            <w:vAlign w:val="bottom"/>
            <w:tcBorders>
              <w:bottom w:val="single" w:sz="8" w:color="CFF0FC"/>
            </w:tcBorders>
          </w:tcPr>
          <w:p>
            <w:pPr>
              <w:spacing w:after="0"/>
              <w:rPr>
                <w:sz w:val="19"/>
                <w:szCs w:val="19"/>
                <w:color w:val="auto"/>
              </w:rPr>
            </w:pPr>
          </w:p>
        </w:tc>
      </w:tr>
      <w:tr>
        <w:trPr>
          <w:trHeight w:val="223"/>
        </w:trPr>
        <w:tc>
          <w:tcPr>
            <w:tcW w:w="45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Trop AC’s net periodic pension cost for the year ended December 31, 2019 is expected to be approximately $3.1 million.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Note 14. Stock-Based Compensation and Stockholder’s Equity</w:t>
      </w:r>
    </w:p>
    <w:p>
      <w:pPr>
        <w:spacing w:after="0" w:line="12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Awards</w:t>
      </w:r>
    </w:p>
    <w:p>
      <w:pPr>
        <w:spacing w:after="0" w:line="117" w:lineRule="exact"/>
        <w:rPr>
          <w:sz w:val="20"/>
          <w:szCs w:val="20"/>
          <w:color w:val="auto"/>
        </w:rPr>
      </w:pPr>
    </w:p>
    <w:p>
      <w:pPr>
        <w:ind w:right="40" w:firstLine="555"/>
        <w:spacing w:after="0" w:line="289" w:lineRule="auto"/>
        <w:rPr>
          <w:sz w:val="20"/>
          <w:szCs w:val="20"/>
          <w:color w:val="auto"/>
        </w:rPr>
      </w:pPr>
      <w:r>
        <w:rPr>
          <w:rFonts w:ascii="Arial" w:cs="Arial" w:eastAsia="Arial" w:hAnsi="Arial"/>
          <w:sz w:val="16"/>
          <w:szCs w:val="16"/>
          <w:color w:val="auto"/>
        </w:rPr>
        <w:t>The Board of Directors (“BOD”) adopted the Eldorado Resorts, Inc. 2015 Equity Incentive Plan (“2015 Plan”) on January 23, 2015 and our stockholders subsequently approved the adoption of the 2015 Plan on June 23, 2015. The Plan permits the granting of stock options, including incentive stock options (“ERI Stock Options”), stock appreciation rights, restricted stock or restricted stock units (“RSUs”), performance awards, and other stock-based awards and dividend equivalents. ERI Stock Options primarily vest ratably over three years and RSUs granted to employees and executive officers primarily vest and become non-forfeitable upon the third anniversary of the date of grant. RSUs granted to non-employee directors vest immediately and are delivered upon the date that is the earlier of termination of service on the BOD or the consummation of a change of control of the Company. The performance awards relate to the achievement of defined levels of performance and are generally measured over a one or two-year performance period depending upon the award agreement. If the performance award levels are achieved, the awards earned will vest and become payable at the end of the vesting period, defined as either a one or two calendar year period following the performance period. Payout ranges are from 0% up to 200% of the award target.</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outstanding equity awards of Isle were converted into comparable equity awards of ERI stock upon consummation of the merger in May 2017.</w:t>
      </w:r>
    </w:p>
    <w:p>
      <w:pPr>
        <w:spacing w:after="0" w:line="248"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color w:val="auto"/>
        </w:rPr>
        <w:t>A summary of the RSU activity, including performance awards and converted Isle awards, for the years ended December 31, 2016, 2017 and 2018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Weighted-</w:t>
            </w:r>
          </w:p>
        </w:tc>
        <w:tc>
          <w:tcPr>
            <w:tcW w:w="1180" w:type="dxa"/>
            <w:vAlign w:val="bottom"/>
          </w:tcPr>
          <w:p>
            <w:pPr>
              <w:jc w:val="center"/>
              <w:ind w:left="20"/>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80" w:type="dxa"/>
            <w:vAlign w:val="bottom"/>
          </w:tcPr>
          <w:p>
            <w:pPr>
              <w:jc w:val="center"/>
              <w:ind w:left="4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1180" w:type="dxa"/>
            <w:vAlign w:val="bottom"/>
          </w:tcPr>
          <w:p>
            <w:pPr>
              <w:jc w:val="center"/>
              <w:ind w:left="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Aggregate Fair</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3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Date</w:t>
            </w:r>
          </w:p>
        </w:tc>
        <w:tc>
          <w:tcPr>
            <w:tcW w:w="1180" w:type="dxa"/>
            <w:vAlign w:val="bottom"/>
          </w:tcPr>
          <w:p>
            <w:pPr>
              <w:jc w:val="center"/>
              <w:ind w:left="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1180" w:type="dxa"/>
            <w:vAlign w:val="bottom"/>
          </w:tcPr>
          <w:p>
            <w:pPr>
              <w:jc w:val="center"/>
              <w:ind w:left="20"/>
              <w:spacing w:after="0"/>
              <w:rPr>
                <w:sz w:val="20"/>
                <w:szCs w:val="20"/>
                <w:color w:val="auto"/>
              </w:rPr>
            </w:pPr>
            <w:r>
              <w:rPr>
                <w:rFonts w:ascii="Arial" w:cs="Arial" w:eastAsia="Arial" w:hAnsi="Arial"/>
                <w:sz w:val="14"/>
                <w:szCs w:val="14"/>
                <w:b w:val="1"/>
                <w:bCs w:val="1"/>
                <w:color w:val="auto"/>
                <w:w w:val="96"/>
              </w:rPr>
              <w:t>Life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6"/>
        </w:trPr>
        <w:tc>
          <w:tcPr>
            <w:tcW w:w="544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ind w:right="18"/>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Unvested outstanding as of January 1, 2016</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827,383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60"/>
              <w:spacing w:after="0"/>
              <w:rPr>
                <w:sz w:val="20"/>
                <w:szCs w:val="20"/>
                <w:color w:val="auto"/>
              </w:rPr>
            </w:pPr>
            <w:r>
              <w:rPr>
                <w:rFonts w:ascii="Arial" w:cs="Arial" w:eastAsia="Arial" w:hAnsi="Arial"/>
                <w:sz w:val="18"/>
                <w:szCs w:val="18"/>
                <w:color w:val="auto"/>
              </w:rPr>
              <w:t>Granted (1)</w:t>
            </w:r>
          </w:p>
        </w:tc>
        <w:tc>
          <w:tcPr>
            <w:tcW w:w="1160" w:type="dxa"/>
            <w:vAlign w:val="bottom"/>
          </w:tcPr>
          <w:p>
            <w:pPr>
              <w:jc w:val="right"/>
              <w:spacing w:after="0"/>
              <w:rPr>
                <w:sz w:val="20"/>
                <w:szCs w:val="20"/>
                <w:color w:val="auto"/>
              </w:rPr>
            </w:pPr>
            <w:r>
              <w:rPr>
                <w:rFonts w:ascii="Arial" w:cs="Arial" w:eastAsia="Arial" w:hAnsi="Arial"/>
                <w:sz w:val="18"/>
                <w:szCs w:val="18"/>
                <w:color w:val="auto"/>
              </w:rPr>
              <w:t>410,694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10.81</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(255,707)</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Unvested outstanding as of December 31, 2016</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982,370</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6.45</w:t>
            </w:r>
          </w:p>
        </w:tc>
        <w:tc>
          <w:tcPr>
            <w:tcW w:w="22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Granted (1)</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600,206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20.91</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Exchanged</w:t>
            </w:r>
          </w:p>
        </w:tc>
        <w:tc>
          <w:tcPr>
            <w:tcW w:w="1160" w:type="dxa"/>
            <w:vAlign w:val="bottom"/>
          </w:tcPr>
          <w:p>
            <w:pPr>
              <w:jc w:val="right"/>
              <w:spacing w:after="0"/>
              <w:rPr>
                <w:sz w:val="20"/>
                <w:szCs w:val="20"/>
                <w:color w:val="auto"/>
              </w:rPr>
            </w:pPr>
            <w:r>
              <w:rPr>
                <w:rFonts w:ascii="Arial" w:cs="Arial" w:eastAsia="Arial" w:hAnsi="Arial"/>
                <w:sz w:val="18"/>
                <w:szCs w:val="18"/>
                <w:color w:val="auto"/>
              </w:rPr>
              <w:t>860,557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18.94</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(11,870)</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15.74</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(851,764)</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18.37</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outstanding as of December 31, 2017</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1,579,499</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2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0.92</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19.35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60"/>
              <w:spacing w:after="0"/>
              <w:rPr>
                <w:sz w:val="20"/>
                <w:szCs w:val="20"/>
                <w:color w:val="auto"/>
              </w:rPr>
            </w:pPr>
            <w:r>
              <w:rPr>
                <w:rFonts w:ascii="Arial" w:cs="Arial" w:eastAsia="Arial" w:hAnsi="Arial"/>
                <w:sz w:val="18"/>
                <w:szCs w:val="18"/>
                <w:color w:val="auto"/>
              </w:rPr>
              <w:t>Granted (1)</w:t>
            </w:r>
          </w:p>
        </w:tc>
        <w:tc>
          <w:tcPr>
            <w:tcW w:w="1160" w:type="dxa"/>
            <w:vAlign w:val="bottom"/>
          </w:tcPr>
          <w:p>
            <w:pPr>
              <w:jc w:val="right"/>
              <w:spacing w:after="0"/>
              <w:rPr>
                <w:sz w:val="20"/>
                <w:szCs w:val="20"/>
                <w:color w:val="auto"/>
              </w:rPr>
            </w:pPr>
            <w:r>
              <w:rPr>
                <w:rFonts w:ascii="Arial" w:cs="Arial" w:eastAsia="Arial" w:hAnsi="Arial"/>
                <w:sz w:val="18"/>
                <w:szCs w:val="18"/>
                <w:color w:val="auto"/>
              </w:rPr>
              <w:t>574,753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33.91</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(860,995)</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Canceled</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(9,885)</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19.13</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outstanding as of December 31, 2018</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1,283,372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23.93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42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30.71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right="220" w:hanging="552"/>
        <w:spacing w:after="0" w:line="277" w:lineRule="auto"/>
        <w:tabs>
          <w:tab w:leader="none" w:pos="5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Included are 32,284, 46,282, and 34,920 RSUs granted to non-employee members of the BOD during the year ended December 31, 2018, 2017 and 2016, respectively.</w:t>
      </w:r>
    </w:p>
    <w:p>
      <w:pPr>
        <w:spacing w:after="0" w:line="170" w:lineRule="exact"/>
        <w:rPr>
          <w:sz w:val="20"/>
          <w:szCs w:val="20"/>
          <w:color w:val="auto"/>
        </w:rPr>
      </w:pPr>
    </w:p>
    <w:p>
      <w:pPr>
        <w:ind w:right="360" w:firstLine="555"/>
        <w:spacing w:after="0" w:line="277" w:lineRule="auto"/>
        <w:rPr>
          <w:sz w:val="20"/>
          <w:szCs w:val="20"/>
          <w:color w:val="auto"/>
        </w:rPr>
      </w:pPr>
      <w:r>
        <w:rPr>
          <w:rFonts w:ascii="Arial" w:cs="Arial" w:eastAsia="Arial" w:hAnsi="Arial"/>
          <w:sz w:val="18"/>
          <w:szCs w:val="18"/>
          <w:color w:val="auto"/>
        </w:rPr>
        <w:t>As of December 31, 2018 and 2017, the Company had $18.0 million and $11.1 million, respectively, of unrecognized compensation expense. The RSUs are expected to be recognized over a weighted-average period of 1.41 years and 0.92 years, respectively.</w:t>
      </w:r>
    </w:p>
    <w:p>
      <w:pPr>
        <w:spacing w:after="0" w:line="170" w:lineRule="exact"/>
        <w:rPr>
          <w:sz w:val="20"/>
          <w:szCs w:val="20"/>
          <w:color w:val="auto"/>
        </w:rPr>
      </w:pPr>
    </w:p>
    <w:p>
      <w:pPr>
        <w:ind w:right="20" w:firstLine="555"/>
        <w:spacing w:after="0" w:line="297" w:lineRule="auto"/>
        <w:rPr>
          <w:sz w:val="20"/>
          <w:szCs w:val="20"/>
          <w:color w:val="auto"/>
        </w:rPr>
      </w:pPr>
      <w:r>
        <w:rPr>
          <w:rFonts w:ascii="Arial" w:cs="Arial" w:eastAsia="Arial" w:hAnsi="Arial"/>
          <w:sz w:val="16"/>
          <w:szCs w:val="16"/>
          <w:color w:val="auto"/>
        </w:rPr>
        <w:t>The Company accounts for stock-based compensation in accordance with ASC 718, Compensation—Stock Compensation. Total stock-based compensation expense in the accompanying consolidated statements of income was $13.1 million, $6.3 million and $3.3 million during the years ended December 31, 2018, 2017 and 2016, respectively. These amounts are included in corporate expenses and, in the case of certain property positions, general and administrative expenses in the Company’s Consolidated Statements of Income. We recognized a reduction in income tax expense of $4.8 million, $1.0 million and $0.8 million for the year ended December 31, 2018, 2017 and 2016, respectively, for excess tax benefits related to stock-based compensation.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7" w:name="page118"/>
    <w:bookmarkEnd w:id="117"/>
    <w:p>
      <w:pPr>
        <w:ind w:left="560"/>
        <w:spacing w:after="0"/>
        <w:rPr>
          <w:sz w:val="20"/>
          <w:szCs w:val="20"/>
          <w:color w:val="auto"/>
        </w:rPr>
      </w:pPr>
      <w:r>
        <w:rPr>
          <w:rFonts w:ascii="Arial" w:cs="Arial" w:eastAsia="Arial" w:hAnsi="Arial"/>
          <w:sz w:val="18"/>
          <w:szCs w:val="18"/>
          <w:color w:val="auto"/>
        </w:rPr>
        <w:t>A summary of the ERI Stock Option activity for the years ended December 31, 2016, 2017 and 2018: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Weighted-</w:t>
            </w:r>
          </w:p>
        </w:tc>
      </w:tr>
      <w:tr>
        <w:trPr>
          <w:trHeight w:val="162"/>
        </w:trPr>
        <w:tc>
          <w:tcPr>
            <w:tcW w:w="7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7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0"/>
              </w:rPr>
              <w:t>Exercise</w:t>
            </w:r>
          </w:p>
        </w:tc>
      </w:tr>
      <w:tr>
        <w:trPr>
          <w:trHeight w:val="171"/>
        </w:trPr>
        <w:tc>
          <w:tcPr>
            <w:tcW w:w="7020" w:type="dxa"/>
            <w:vAlign w:val="bottom"/>
          </w:tcPr>
          <w:p>
            <w:pPr>
              <w:spacing w:after="0"/>
              <w:rPr>
                <w:sz w:val="14"/>
                <w:szCs w:val="14"/>
                <w:color w:val="auto"/>
              </w:rPr>
            </w:pPr>
          </w:p>
        </w:tc>
        <w:tc>
          <w:tcPr>
            <w:tcW w:w="19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Options</w:t>
            </w:r>
          </w:p>
        </w:tc>
        <w:tc>
          <w:tcPr>
            <w:tcW w:w="420" w:type="dxa"/>
            <w:vAlign w:val="bottom"/>
          </w:tcPr>
          <w:p>
            <w:pPr>
              <w:spacing w:after="0"/>
              <w:rPr>
                <w:sz w:val="14"/>
                <w:szCs w:val="14"/>
                <w:color w:val="auto"/>
              </w:rPr>
            </w:pPr>
          </w:p>
        </w:tc>
        <w:tc>
          <w:tcPr>
            <w:tcW w:w="20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3"/>
              </w:rPr>
              <w:t>Price</w:t>
            </w:r>
          </w:p>
        </w:tc>
      </w:tr>
      <w:tr>
        <w:trPr>
          <w:trHeight w:val="223"/>
        </w:trPr>
        <w:tc>
          <w:tcPr>
            <w:tcW w:w="7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January 1, 2016 (1)</w:t>
            </w:r>
          </w:p>
        </w:tc>
        <w:tc>
          <w:tcPr>
            <w:tcW w:w="1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312,200</w:t>
            </w:r>
          </w:p>
        </w:tc>
        <w:tc>
          <w:tcPr>
            <w:tcW w:w="1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300" w:type="dxa"/>
            <w:vAlign w:val="bottom"/>
            <w:tcBorders>
              <w:top w:val="single" w:sz="8" w:color="CFF0FC"/>
            </w:tcBorders>
            <w:shd w:val="clear" w:color="auto" w:fill="CFF0FC"/>
          </w:tcPr>
          <w:p>
            <w:pPr>
              <w:spacing w:after="0"/>
              <w:rPr>
                <w:sz w:val="19"/>
                <w:szCs w:val="19"/>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Expired</w:t>
            </w:r>
          </w:p>
        </w:tc>
        <w:tc>
          <w:tcPr>
            <w:tcW w:w="184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11.30</w:t>
            </w:r>
          </w:p>
        </w:tc>
        <w:tc>
          <w:tcPr>
            <w:tcW w:w="300" w:type="dxa"/>
            <w:vAlign w:val="bottom"/>
          </w:tcPr>
          <w:p>
            <w:pPr>
              <w:spacing w:after="0"/>
              <w:rPr>
                <w:sz w:val="19"/>
                <w:szCs w:val="19"/>
                <w:color w:val="auto"/>
              </w:rPr>
            </w:pPr>
          </w:p>
        </w:tc>
      </w:tr>
      <w:tr>
        <w:trPr>
          <w:trHeight w:val="230"/>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(132,900)</w:t>
            </w:r>
          </w:p>
        </w:tc>
        <w:tc>
          <w:tcPr>
            <w:tcW w:w="42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300" w:type="dxa"/>
            <w:vAlign w:val="bottom"/>
            <w:shd w:val="clear" w:color="auto" w:fill="CFF0FC"/>
          </w:tcPr>
          <w:p>
            <w:pPr>
              <w:spacing w:after="0"/>
              <w:rPr>
                <w:sz w:val="19"/>
                <w:szCs w:val="19"/>
                <w:color w:val="auto"/>
              </w:rPr>
            </w:pPr>
          </w:p>
        </w:tc>
      </w:tr>
      <w:tr>
        <w:trPr>
          <w:trHeight w:val="223"/>
        </w:trPr>
        <w:tc>
          <w:tcPr>
            <w:tcW w:w="7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as of December 31, 2016 (1)</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169,300</w:t>
            </w: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17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9.94</w:t>
            </w:r>
          </w:p>
        </w:tc>
        <w:tc>
          <w:tcPr>
            <w:tcW w:w="300" w:type="dxa"/>
            <w:vAlign w:val="bottom"/>
            <w:tcBorders>
              <w:bottom w:val="single" w:sz="8" w:color="CFF0FC"/>
            </w:tcBorders>
          </w:tcPr>
          <w:p>
            <w:pPr>
              <w:spacing w:after="0"/>
              <w:rPr>
                <w:sz w:val="19"/>
                <w:szCs w:val="19"/>
                <w:color w:val="auto"/>
              </w:rPr>
            </w:pPr>
          </w:p>
        </w:tc>
      </w:tr>
      <w:tr>
        <w:trPr>
          <w:trHeight w:val="223"/>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Exchanged</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1,351,168</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300" w:type="dxa"/>
            <w:vAlign w:val="bottom"/>
            <w:shd w:val="clear" w:color="auto" w:fill="CFF0FC"/>
          </w:tcPr>
          <w:p>
            <w:pPr>
              <w:spacing w:after="0"/>
              <w:rPr>
                <w:sz w:val="19"/>
                <w:szCs w:val="19"/>
                <w:color w:val="auto"/>
              </w:rPr>
            </w:pP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Expired</w:t>
            </w:r>
          </w:p>
        </w:tc>
        <w:tc>
          <w:tcPr>
            <w:tcW w:w="1960" w:type="dxa"/>
            <w:vAlign w:val="bottom"/>
            <w:gridSpan w:val="2"/>
          </w:tcPr>
          <w:p>
            <w:pPr>
              <w:jc w:val="right"/>
              <w:ind w:right="60"/>
              <w:spacing w:after="0"/>
              <w:rPr>
                <w:sz w:val="20"/>
                <w:szCs w:val="20"/>
                <w:color w:val="auto"/>
              </w:rPr>
            </w:pPr>
            <w:r>
              <w:rPr>
                <w:rFonts w:ascii="Arial" w:cs="Arial" w:eastAsia="Arial" w:hAnsi="Arial"/>
                <w:sz w:val="18"/>
                <w:szCs w:val="18"/>
                <w:color w:val="auto"/>
              </w:rPr>
              <w:t>(62,871)</w:t>
            </w:r>
          </w:p>
        </w:tc>
        <w:tc>
          <w:tcPr>
            <w:tcW w:w="4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4.63</w:t>
            </w:r>
          </w:p>
        </w:tc>
        <w:tc>
          <w:tcPr>
            <w:tcW w:w="300" w:type="dxa"/>
            <w:vAlign w:val="bottom"/>
          </w:tcPr>
          <w:p>
            <w:pPr>
              <w:spacing w:after="0"/>
              <w:rPr>
                <w:sz w:val="19"/>
                <w:szCs w:val="19"/>
                <w:color w:val="auto"/>
              </w:rPr>
            </w:pPr>
          </w:p>
        </w:tc>
      </w:tr>
      <w:tr>
        <w:trPr>
          <w:trHeight w:val="230"/>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(1,185,745)</w:t>
            </w:r>
          </w:p>
        </w:tc>
        <w:tc>
          <w:tcPr>
            <w:tcW w:w="42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w:t>
            </w:r>
          </w:p>
        </w:tc>
        <w:tc>
          <w:tcPr>
            <w:tcW w:w="300" w:type="dxa"/>
            <w:vAlign w:val="bottom"/>
            <w:shd w:val="clear" w:color="auto" w:fill="CFF0FC"/>
          </w:tcPr>
          <w:p>
            <w:pPr>
              <w:spacing w:after="0"/>
              <w:rPr>
                <w:sz w:val="19"/>
                <w:szCs w:val="19"/>
                <w:color w:val="auto"/>
              </w:rPr>
            </w:pPr>
          </w:p>
        </w:tc>
      </w:tr>
      <w:tr>
        <w:trPr>
          <w:trHeight w:val="223"/>
        </w:trPr>
        <w:tc>
          <w:tcPr>
            <w:tcW w:w="7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as of December 31, 2017 (1)</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271,852</w:t>
            </w: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17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9.63</w:t>
            </w:r>
          </w:p>
        </w:tc>
        <w:tc>
          <w:tcPr>
            <w:tcW w:w="300" w:type="dxa"/>
            <w:vAlign w:val="bottom"/>
            <w:tcBorders>
              <w:bottom w:val="single" w:sz="8" w:color="CFF0FC"/>
            </w:tcBorders>
          </w:tcPr>
          <w:p>
            <w:pPr>
              <w:spacing w:after="0"/>
              <w:rPr>
                <w:sz w:val="19"/>
                <w:szCs w:val="19"/>
                <w:color w:val="auto"/>
              </w:rPr>
            </w:pPr>
          </w:p>
        </w:tc>
      </w:tr>
      <w:tr>
        <w:trPr>
          <w:trHeight w:val="223"/>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Expired</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(15,776)</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w:t>
            </w:r>
          </w:p>
        </w:tc>
        <w:tc>
          <w:tcPr>
            <w:tcW w:w="300" w:type="dxa"/>
            <w:vAlign w:val="bottom"/>
            <w:shd w:val="clear" w:color="auto" w:fill="CFF0FC"/>
          </w:tcPr>
          <w:p>
            <w:pPr>
              <w:spacing w:after="0"/>
              <w:rPr>
                <w:sz w:val="19"/>
                <w:szCs w:val="19"/>
                <w:color w:val="auto"/>
              </w:rPr>
            </w:pP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Exercised</w:t>
            </w:r>
          </w:p>
        </w:tc>
        <w:tc>
          <w:tcPr>
            <w:tcW w:w="1960" w:type="dxa"/>
            <w:vAlign w:val="bottom"/>
            <w:gridSpan w:val="2"/>
          </w:tcPr>
          <w:p>
            <w:pPr>
              <w:jc w:val="right"/>
              <w:ind w:right="60"/>
              <w:spacing w:after="0"/>
              <w:rPr>
                <w:sz w:val="20"/>
                <w:szCs w:val="20"/>
                <w:color w:val="auto"/>
              </w:rPr>
            </w:pPr>
            <w:r>
              <w:rPr>
                <w:rFonts w:ascii="Arial" w:cs="Arial" w:eastAsia="Arial" w:hAnsi="Arial"/>
                <w:sz w:val="18"/>
                <w:szCs w:val="18"/>
                <w:color w:val="auto"/>
              </w:rPr>
              <w:t>(120,120)</w:t>
            </w:r>
          </w:p>
        </w:tc>
        <w:tc>
          <w:tcPr>
            <w:tcW w:w="4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9.09</w:t>
            </w:r>
          </w:p>
        </w:tc>
        <w:tc>
          <w:tcPr>
            <w:tcW w:w="300" w:type="dxa"/>
            <w:vAlign w:val="bottom"/>
          </w:tcPr>
          <w:p>
            <w:pPr>
              <w:spacing w:after="0"/>
              <w:rPr>
                <w:sz w:val="19"/>
                <w:szCs w:val="19"/>
                <w:color w:val="auto"/>
              </w:rPr>
            </w:pPr>
          </w:p>
        </w:tc>
      </w:tr>
      <w:tr>
        <w:trPr>
          <w:trHeight w:val="223"/>
        </w:trPr>
        <w:tc>
          <w:tcPr>
            <w:tcW w:w="7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2018 (1)</w:t>
            </w:r>
          </w:p>
        </w:tc>
        <w:tc>
          <w:tcPr>
            <w:tcW w:w="1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135,956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CFF0FC"/>
              <w:bottom w:val="single" w:sz="8" w:color="CFF0FC"/>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9.96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right="80" w:hanging="552"/>
        <w:spacing w:after="0" w:line="277" w:lineRule="auto"/>
        <w:tabs>
          <w:tab w:leader="none" w:pos="5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119,505 and 228,143 options were exercisable as of December 31, 2018 and 2017, respectively. All outstanding options as of December 31, 2016 and January 1, 2016 were exercisable.</w:t>
      </w:r>
    </w:p>
    <w:p>
      <w:pPr>
        <w:spacing w:after="0" w:line="197" w:lineRule="exact"/>
        <w:rPr>
          <w:rFonts w:ascii="Arial" w:cs="Arial" w:eastAsia="Arial" w:hAnsi="Arial"/>
          <w:sz w:val="18"/>
          <w:szCs w:val="18"/>
          <w:color w:val="auto"/>
        </w:rPr>
      </w:pPr>
    </w:p>
    <w:p>
      <w:pPr>
        <w:ind w:left="560" w:right="300"/>
        <w:spacing w:after="0" w:line="591" w:lineRule="auto"/>
        <w:rPr>
          <w:rFonts w:ascii="Arial" w:cs="Arial" w:eastAsia="Arial" w:hAnsi="Arial"/>
          <w:sz w:val="18"/>
          <w:szCs w:val="18"/>
          <w:color w:val="auto"/>
        </w:rPr>
      </w:pPr>
      <w:r>
        <w:rPr>
          <w:rFonts w:ascii="Arial" w:cs="Arial" w:eastAsia="Arial" w:hAnsi="Arial"/>
          <w:sz w:val="17"/>
          <w:szCs w:val="17"/>
          <w:color w:val="auto"/>
        </w:rPr>
        <w:t>Cash received from the exercise of stock options was $0.2 million and $2.9 million for the years ended December 31, 2018 and 2017, respectively. A summary of the ERI Restricted Stock Awards activity for the years ended December 31, 2016, 2017 and 2018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4"/>
              </w:rPr>
              <w:t>Weighted-</w:t>
            </w:r>
          </w:p>
        </w:tc>
      </w:tr>
      <w:tr>
        <w:trPr>
          <w:trHeight w:val="162"/>
        </w:trPr>
        <w:tc>
          <w:tcPr>
            <w:tcW w:w="70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70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7"/>
              </w:rPr>
              <w:t>Grant Date</w:t>
            </w:r>
          </w:p>
        </w:tc>
      </w:tr>
      <w:tr>
        <w:trPr>
          <w:trHeight w:val="171"/>
        </w:trPr>
        <w:tc>
          <w:tcPr>
            <w:tcW w:w="7000" w:type="dxa"/>
            <w:vAlign w:val="bottom"/>
          </w:tcPr>
          <w:p>
            <w:pPr>
              <w:spacing w:after="0"/>
              <w:rPr>
                <w:sz w:val="14"/>
                <w:szCs w:val="14"/>
                <w:color w:val="auto"/>
              </w:rPr>
            </w:pPr>
          </w:p>
        </w:tc>
        <w:tc>
          <w:tcPr>
            <w:tcW w:w="19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Restricted Stock</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5"/>
              </w:rPr>
              <w:t>Fair Value</w:t>
            </w:r>
          </w:p>
        </w:tc>
      </w:tr>
      <w:tr>
        <w:trPr>
          <w:trHeight w:val="223"/>
        </w:trPr>
        <w:tc>
          <w:tcPr>
            <w:tcW w:w="7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2016</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FF0FC"/>
            </w:tcBorders>
            <w:shd w:val="clear" w:color="auto" w:fill="CFF0FC"/>
          </w:tcPr>
          <w:p>
            <w:pPr>
              <w:spacing w:after="0"/>
              <w:rPr>
                <w:sz w:val="19"/>
                <w:szCs w:val="19"/>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Exchanged (1)</w:t>
            </w:r>
          </w:p>
        </w:tc>
        <w:tc>
          <w:tcPr>
            <w:tcW w:w="1820" w:type="dxa"/>
            <w:vAlign w:val="bottom"/>
          </w:tcPr>
          <w:p>
            <w:pPr>
              <w:jc w:val="right"/>
              <w:spacing w:after="0"/>
              <w:rPr>
                <w:sz w:val="20"/>
                <w:szCs w:val="20"/>
                <w:color w:val="auto"/>
              </w:rPr>
            </w:pPr>
            <w:r>
              <w:rPr>
                <w:rFonts w:ascii="Arial" w:cs="Arial" w:eastAsia="Arial" w:hAnsi="Arial"/>
                <w:sz w:val="18"/>
                <w:szCs w:val="18"/>
                <w:color w:val="auto"/>
              </w:rPr>
              <w:t>180,374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19.23</w:t>
            </w:r>
          </w:p>
        </w:tc>
        <w:tc>
          <w:tcPr>
            <w:tcW w:w="340" w:type="dxa"/>
            <w:vAlign w:val="bottom"/>
          </w:tcPr>
          <w:p>
            <w:pPr>
              <w:spacing w:after="0"/>
              <w:rPr>
                <w:sz w:val="19"/>
                <w:szCs w:val="19"/>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Forfeited</w:t>
            </w:r>
          </w:p>
        </w:tc>
        <w:tc>
          <w:tcPr>
            <w:tcW w:w="1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(1,602)</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19.13</w:t>
            </w:r>
          </w:p>
        </w:tc>
        <w:tc>
          <w:tcPr>
            <w:tcW w:w="340" w:type="dxa"/>
            <w:vAlign w:val="bottom"/>
            <w:shd w:val="clear" w:color="auto" w:fill="CFF0FC"/>
          </w:tcPr>
          <w:p>
            <w:pPr>
              <w:spacing w:after="0"/>
              <w:rPr>
                <w:sz w:val="19"/>
                <w:szCs w:val="19"/>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Vested</w:t>
            </w:r>
          </w:p>
        </w:tc>
        <w:tc>
          <w:tcPr>
            <w:tcW w:w="1960" w:type="dxa"/>
            <w:vAlign w:val="bottom"/>
            <w:gridSpan w:val="2"/>
          </w:tcPr>
          <w:p>
            <w:pPr>
              <w:jc w:val="right"/>
              <w:ind w:right="80"/>
              <w:spacing w:after="0"/>
              <w:rPr>
                <w:sz w:val="20"/>
                <w:szCs w:val="20"/>
                <w:color w:val="auto"/>
              </w:rPr>
            </w:pPr>
            <w:r>
              <w:rPr>
                <w:rFonts w:ascii="Arial" w:cs="Arial" w:eastAsia="Arial" w:hAnsi="Arial"/>
                <w:sz w:val="18"/>
                <w:szCs w:val="18"/>
                <w:color w:val="auto"/>
              </w:rPr>
              <w:t>(167,963)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19.24</w:t>
            </w:r>
          </w:p>
        </w:tc>
        <w:tc>
          <w:tcPr>
            <w:tcW w:w="340" w:type="dxa"/>
            <w:vAlign w:val="bottom"/>
          </w:tcPr>
          <w:p>
            <w:pPr>
              <w:spacing w:after="0"/>
              <w:rPr>
                <w:sz w:val="19"/>
                <w:szCs w:val="19"/>
                <w:color w:val="auto"/>
              </w:rPr>
            </w:pPr>
          </w:p>
        </w:tc>
      </w:tr>
      <w:tr>
        <w:trPr>
          <w:trHeight w:val="223"/>
        </w:trPr>
        <w:tc>
          <w:tcPr>
            <w:tcW w:w="7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2017</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10,809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19.13</w:t>
            </w:r>
          </w:p>
        </w:tc>
        <w:tc>
          <w:tcPr>
            <w:tcW w:w="340" w:type="dxa"/>
            <w:vAlign w:val="bottom"/>
            <w:tcBorders>
              <w:top w:val="single" w:sz="8" w:color="CFF0FC"/>
            </w:tcBorders>
            <w:shd w:val="clear" w:color="auto" w:fill="CFF0FC"/>
          </w:tcPr>
          <w:p>
            <w:pPr>
              <w:spacing w:after="0"/>
              <w:rPr>
                <w:sz w:val="19"/>
                <w:szCs w:val="19"/>
                <w:color w:val="auto"/>
              </w:rPr>
            </w:pPr>
          </w:p>
        </w:tc>
      </w:tr>
      <w:tr>
        <w:trPr>
          <w:trHeight w:val="223"/>
        </w:trPr>
        <w:tc>
          <w:tcPr>
            <w:tcW w:w="7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w:t>
            </w:r>
          </w:p>
        </w:tc>
        <w:tc>
          <w:tcPr>
            <w:tcW w:w="340" w:type="dxa"/>
            <w:vAlign w:val="bottom"/>
            <w:tcBorders>
              <w:bottom w:val="single" w:sz="8" w:color="CFF0FC"/>
            </w:tcBorders>
          </w:tcPr>
          <w:p>
            <w:pPr>
              <w:spacing w:after="0"/>
              <w:rPr>
                <w:sz w:val="19"/>
                <w:szCs w:val="19"/>
                <w:color w:val="auto"/>
              </w:rPr>
            </w:pPr>
          </w:p>
        </w:tc>
      </w:tr>
      <w:tr>
        <w:trPr>
          <w:trHeight w:val="223"/>
        </w:trPr>
        <w:tc>
          <w:tcPr>
            <w:tcW w:w="7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2018</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0" w:hanging="552"/>
        <w:spacing w:after="0"/>
        <w:tabs>
          <w:tab w:leader="none" w:pos="5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exchanged Isle Restricted Stock Awards as a result of the Isle Acquisition.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right="180" w:firstLine="555"/>
        <w:spacing w:after="0" w:line="279" w:lineRule="auto"/>
        <w:rPr>
          <w:sz w:val="20"/>
          <w:szCs w:val="20"/>
          <w:color w:val="auto"/>
        </w:rPr>
      </w:pPr>
      <w:r>
        <w:rPr>
          <w:rFonts w:ascii="Arial" w:cs="Arial" w:eastAsia="Arial" w:hAnsi="Arial"/>
          <w:sz w:val="17"/>
          <w:szCs w:val="17"/>
          <w:color w:val="auto"/>
        </w:rPr>
        <w:t>In November 2018 the BOD authorized a $150 million common stock repurchase program (the “Share Repurchase Program”) pursuant to which the Company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the Company is required to repurchase under the Share Repurchase Program.</w:t>
      </w:r>
    </w:p>
    <w:p>
      <w:pPr>
        <w:spacing w:after="0" w:line="171" w:lineRule="exact"/>
        <w:rPr>
          <w:sz w:val="20"/>
          <w:szCs w:val="20"/>
          <w:color w:val="auto"/>
        </w:rPr>
      </w:pPr>
    </w:p>
    <w:p>
      <w:pPr>
        <w:ind w:right="360" w:firstLine="555"/>
        <w:spacing w:after="0" w:line="277" w:lineRule="auto"/>
        <w:rPr>
          <w:sz w:val="20"/>
          <w:szCs w:val="20"/>
          <w:color w:val="auto"/>
        </w:rPr>
      </w:pPr>
      <w:r>
        <w:rPr>
          <w:rFonts w:ascii="Arial" w:cs="Arial" w:eastAsia="Arial" w:hAnsi="Arial"/>
          <w:sz w:val="18"/>
          <w:szCs w:val="18"/>
          <w:color w:val="auto"/>
        </w:rPr>
        <w:t>The Company acquired 223,823 shares of common stock at an aggregate value of $9.1 million and an average of $40.80 per share during the year ended December 31,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Note 15. Earnings per Share</w:t>
      </w:r>
    </w:p>
    <w:p>
      <w:pPr>
        <w:spacing w:after="0" w:line="121" w:lineRule="exact"/>
        <w:rPr>
          <w:sz w:val="20"/>
          <w:szCs w:val="20"/>
          <w:color w:val="auto"/>
        </w:rPr>
      </w:pPr>
    </w:p>
    <w:p>
      <w:pPr>
        <w:ind w:firstLine="555"/>
        <w:spacing w:after="0" w:line="308" w:lineRule="auto"/>
        <w:rPr>
          <w:sz w:val="20"/>
          <w:szCs w:val="20"/>
          <w:color w:val="auto"/>
        </w:rPr>
      </w:pPr>
      <w:r>
        <w:rPr>
          <w:rFonts w:ascii="Arial" w:cs="Arial" w:eastAsia="Arial" w:hAnsi="Arial"/>
          <w:sz w:val="17"/>
          <w:szCs w:val="17"/>
          <w:color w:val="auto"/>
        </w:rPr>
        <w:t>The following table illustrates the required disclosure of the reconciliation of the numerators and denominators of the basic and diluted net income per share computations during the years ended December 31, 2018, 2017 and 2016 (dollars in thousands, except per share amounts):</w:t>
      </w:r>
    </w:p>
    <w:p>
      <w:pPr>
        <w:spacing w:after="0" w:line="15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80" w:type="dxa"/>
            <w:vAlign w:val="bottom"/>
            <w:tcBorders>
              <w:bottom w:val="single" w:sz="8" w:color="CFF0FC"/>
            </w:tcBorders>
          </w:tcPr>
          <w:p>
            <w:pPr>
              <w:spacing w:after="0"/>
              <w:rPr>
                <w:sz w:val="14"/>
                <w:szCs w:val="14"/>
                <w:color w:val="auto"/>
              </w:rPr>
            </w:pPr>
          </w:p>
        </w:tc>
        <w:tc>
          <w:tcPr>
            <w:tcW w:w="9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available to common stockholders</w:t>
            </w:r>
          </w:p>
        </w:tc>
        <w:tc>
          <w:tcPr>
            <w:tcW w:w="9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95,235</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73,380</w:t>
            </w: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24,527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Shares outstanding:</w:t>
            </w: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Weighted average shares outstanding – basic</w:t>
            </w: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77,458,902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67,133,531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47,033,311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Effect of dilutive securities:</w:t>
            </w: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220"/>
              <w:spacing w:after="0"/>
              <w:rPr>
                <w:sz w:val="20"/>
                <w:szCs w:val="20"/>
                <w:color w:val="auto"/>
              </w:rPr>
            </w:pPr>
            <w:r>
              <w:rPr>
                <w:rFonts w:ascii="Arial" w:cs="Arial" w:eastAsia="Arial" w:hAnsi="Arial"/>
                <w:sz w:val="18"/>
                <w:szCs w:val="18"/>
                <w:color w:val="auto"/>
              </w:rPr>
              <w:t>Stock options</w:t>
            </w: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119,418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98,294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96,515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RSUs</w:t>
            </w:r>
          </w:p>
        </w:tc>
        <w:tc>
          <w:tcPr>
            <w:tcW w:w="9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703,781</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870,989</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571,736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900" w:type="dxa"/>
            <w:vAlign w:val="bottom"/>
            <w:gridSpan w:val="2"/>
          </w:tcPr>
          <w:p>
            <w:pPr>
              <w:spacing w:after="0"/>
              <w:rPr>
                <w:sz w:val="20"/>
                <w:szCs w:val="20"/>
                <w:color w:val="auto"/>
              </w:rPr>
            </w:pPr>
            <w:r>
              <w:rPr>
                <w:rFonts w:ascii="Arial" w:cs="Arial" w:eastAsia="Arial" w:hAnsi="Arial"/>
                <w:sz w:val="18"/>
                <w:szCs w:val="18"/>
                <w:color w:val="auto"/>
              </w:rPr>
              <w:t>Weighted average shares outstanding – diluted</w:t>
            </w:r>
          </w:p>
        </w:tc>
        <w:tc>
          <w:tcPr>
            <w:tcW w:w="9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78,282,101</w:t>
            </w:r>
          </w:p>
        </w:tc>
        <w:tc>
          <w:tcPr>
            <w:tcW w:w="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68,102,814</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47,701,562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Net income per common share attributable to common</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880" w:type="dxa"/>
            <w:vAlign w:val="bottom"/>
          </w:tcPr>
          <w:p>
            <w:pPr>
              <w:ind w:left="120"/>
              <w:spacing w:after="0"/>
              <w:rPr>
                <w:sz w:val="20"/>
                <w:szCs w:val="20"/>
                <w:color w:val="auto"/>
              </w:rPr>
            </w:pPr>
            <w:r>
              <w:rPr>
                <w:rFonts w:ascii="Arial" w:cs="Arial" w:eastAsia="Arial" w:hAnsi="Arial"/>
                <w:sz w:val="18"/>
                <w:szCs w:val="18"/>
                <w:color w:val="auto"/>
              </w:rPr>
              <w:t>stockholders – basic:</w:t>
            </w:r>
          </w:p>
        </w:tc>
        <w:tc>
          <w:tcPr>
            <w:tcW w:w="12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1.23</w:t>
            </w:r>
          </w:p>
        </w:tc>
        <w:tc>
          <w:tcPr>
            <w:tcW w:w="4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1.09</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0.52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income per common share attributable to common</w:t>
            </w:r>
          </w:p>
        </w:tc>
        <w:tc>
          <w:tcPr>
            <w:tcW w:w="9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stockholders – diluted:</w:t>
            </w:r>
          </w:p>
        </w:tc>
        <w:tc>
          <w:tcPr>
            <w:tcW w:w="12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44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4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Fair Value Measurements</w:t>
      </w:r>
    </w:p>
    <w:p>
      <w:pPr>
        <w:spacing w:after="0" w:line="121" w:lineRule="exact"/>
        <w:rPr>
          <w:sz w:val="20"/>
          <w:szCs w:val="20"/>
          <w:color w:val="auto"/>
        </w:rPr>
      </w:pPr>
    </w:p>
    <w:p>
      <w:pPr>
        <w:ind w:right="100" w:firstLine="555"/>
        <w:spacing w:after="0" w:line="220" w:lineRule="exact"/>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Accordingly, fair value is a market-based measurement that is determined based on assumptions that market participants would use in pricing an asset or liability. As a basis for considering such assumptions, there is a three</w:t>
      </w:r>
      <w:r>
        <w:rPr>
          <w:rFonts w:ascii="MS PGothic" w:cs="MS PGothic" w:eastAsia="MS PGothic" w:hAnsi="MS PGothic"/>
          <w:sz w:val="18"/>
          <w:szCs w:val="18"/>
          <w:color w:val="auto"/>
        </w:rPr>
        <w:t>‑</w:t>
      </w:r>
      <w:r>
        <w:rPr>
          <w:rFonts w:ascii="Arial" w:cs="Arial" w:eastAsia="Arial" w:hAnsi="Arial"/>
          <w:sz w:val="18"/>
          <w:szCs w:val="18"/>
          <w:color w:val="auto"/>
        </w:rPr>
        <w:t>tier fair value hierarchy, which prioritizes the inputs used in measuring fair values as follows:</w:t>
      </w:r>
    </w:p>
    <w:p>
      <w:pPr>
        <w:spacing w:after="0" w:line="96" w:lineRule="exact"/>
        <w:rPr>
          <w:sz w:val="20"/>
          <w:szCs w:val="20"/>
          <w:color w:val="auto"/>
        </w:rPr>
      </w:pPr>
    </w:p>
    <w:p>
      <w:pPr>
        <w:ind w:left="1120" w:hanging="558"/>
        <w:spacing w:after="0"/>
        <w:tabs>
          <w:tab w:leader="none" w:pos="112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Level 1 Inputs</w:t>
      </w:r>
      <w:r>
        <w:rPr>
          <w:rFonts w:ascii="Arial" w:cs="Arial" w:eastAsia="Arial" w:hAnsi="Arial"/>
          <w:sz w:val="18"/>
          <w:szCs w:val="18"/>
          <w:color w:val="auto"/>
        </w:rPr>
        <w:t>: Quoted market prices in active markets for identical assets or liabilities.</w:t>
      </w:r>
    </w:p>
    <w:p>
      <w:pPr>
        <w:spacing w:after="0" w:line="117" w:lineRule="exact"/>
        <w:rPr>
          <w:rFonts w:ascii="Arial" w:cs="Arial" w:eastAsia="Arial" w:hAnsi="Arial"/>
          <w:sz w:val="18"/>
          <w:szCs w:val="18"/>
          <w:color w:val="auto"/>
        </w:rPr>
      </w:pPr>
    </w:p>
    <w:p>
      <w:pPr>
        <w:ind w:left="1120" w:hanging="558"/>
        <w:spacing w:after="0" w:line="207" w:lineRule="exact"/>
        <w:tabs>
          <w:tab w:leader="none" w:pos="112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Level 2 Inputs</w:t>
      </w:r>
      <w:r>
        <w:rPr>
          <w:rFonts w:ascii="Arial" w:cs="Arial" w:eastAsia="Arial" w:hAnsi="Arial"/>
          <w:sz w:val="18"/>
          <w:szCs w:val="18"/>
          <w:color w:val="auto"/>
        </w:rPr>
        <w:t>: Observable market</w:t>
      </w:r>
      <w:r>
        <w:rPr>
          <w:rFonts w:ascii="MS PGothic" w:cs="MS PGothic" w:eastAsia="MS PGothic" w:hAnsi="MS PGothic"/>
          <w:sz w:val="18"/>
          <w:szCs w:val="18"/>
          <w:color w:val="auto"/>
        </w:rPr>
        <w:t>‑</w:t>
      </w:r>
      <w:r>
        <w:rPr>
          <w:rFonts w:ascii="Arial" w:cs="Arial" w:eastAsia="Arial" w:hAnsi="Arial"/>
          <w:sz w:val="18"/>
          <w:szCs w:val="18"/>
          <w:color w:val="auto"/>
        </w:rPr>
        <w:t>based inputs or unobservable inputs that are corroborated by market data.</w:t>
      </w:r>
    </w:p>
    <w:p>
      <w:pPr>
        <w:spacing w:after="0" w:line="117" w:lineRule="exact"/>
        <w:rPr>
          <w:rFonts w:ascii="Arial" w:cs="Arial" w:eastAsia="Arial" w:hAnsi="Arial"/>
          <w:sz w:val="18"/>
          <w:szCs w:val="18"/>
          <w:color w:val="auto"/>
        </w:rPr>
      </w:pPr>
    </w:p>
    <w:p>
      <w:pPr>
        <w:ind w:left="1120" w:right="400" w:hanging="558"/>
        <w:spacing w:after="0" w:line="277" w:lineRule="auto"/>
        <w:tabs>
          <w:tab w:leader="none" w:pos="112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Level 3 Inputs</w:t>
      </w:r>
      <w:r>
        <w:rPr>
          <w:rFonts w:ascii="Arial" w:cs="Arial" w:eastAsia="Arial" w:hAnsi="Arial"/>
          <w:sz w:val="18"/>
          <w:szCs w:val="18"/>
          <w:color w:val="auto"/>
        </w:rPr>
        <w:t>: Unobservable inputs that are not corroborated by market data. Level 3 assets include financial instruments whose value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pricing models relying on stock volatility of 44% and risk free rate of 2.7%.</w:t>
      </w:r>
    </w:p>
    <w:p>
      <w:pPr>
        <w:spacing w:after="0" w:line="170" w:lineRule="exact"/>
        <w:rPr>
          <w:sz w:val="20"/>
          <w:szCs w:val="20"/>
          <w:color w:val="auto"/>
        </w:rPr>
      </w:pPr>
    </w:p>
    <w:p>
      <w:pPr>
        <w:ind w:right="180" w:firstLine="555"/>
        <w:spacing w:after="0" w:line="277"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practical to estimate fair value:</w:t>
      </w:r>
    </w:p>
    <w:p>
      <w:pPr>
        <w:spacing w:after="0" w:line="170" w:lineRule="exact"/>
        <w:rPr>
          <w:sz w:val="20"/>
          <w:szCs w:val="20"/>
          <w:color w:val="auto"/>
        </w:rPr>
      </w:pPr>
    </w:p>
    <w:p>
      <w:pPr>
        <w:ind w:right="120" w:firstLine="555"/>
        <w:spacing w:after="0" w:line="219" w:lineRule="exact"/>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Cash equivalents include cash held in money market funds and investments that can be redeemed immediately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net asset value per share. A money market fund is a mutual fund whose investments are primarily in short</w:t>
      </w:r>
      <w:r>
        <w:rPr>
          <w:rFonts w:ascii="MS PGothic" w:cs="MS PGothic" w:eastAsia="MS PGothic" w:hAnsi="MS PGothic"/>
          <w:sz w:val="18"/>
          <w:szCs w:val="18"/>
          <w:color w:val="auto"/>
        </w:rPr>
        <w:t>‑</w:t>
      </w:r>
      <w:r>
        <w:rPr>
          <w:rFonts w:ascii="Arial" w:cs="Arial" w:eastAsia="Arial" w:hAnsi="Arial"/>
          <w:sz w:val="18"/>
          <w:szCs w:val="18"/>
          <w:color w:val="auto"/>
        </w:rPr>
        <w:t>term debt securities designed to maximize current income with liquidity and capital preservation, usually maintaining per share net asset value at a constant amount, such as one dollar. Cash and cash equivalents also include cash maintained for gaming operations. The carrying amounts approximate the fair value because of the short maturity of those instruments (Level 1).</w:t>
      </w:r>
    </w:p>
    <w:p>
      <w:pPr>
        <w:spacing w:after="0" w:line="206" w:lineRule="exact"/>
        <w:rPr>
          <w:sz w:val="20"/>
          <w:szCs w:val="20"/>
          <w:color w:val="auto"/>
        </w:rPr>
      </w:pPr>
    </w:p>
    <w:p>
      <w:pPr>
        <w:ind w:right="200" w:firstLine="555"/>
        <w:spacing w:after="0" w:line="259" w:lineRule="auto"/>
        <w:rPr>
          <w:sz w:val="20"/>
          <w:szCs w:val="20"/>
          <w:color w:val="auto"/>
        </w:rPr>
      </w:pPr>
      <w:r>
        <w:rPr>
          <w:rFonts w:ascii="Arial" w:cs="Arial" w:eastAsia="Arial" w:hAnsi="Arial"/>
          <w:sz w:val="18"/>
          <w:szCs w:val="18"/>
          <w:i w:val="1"/>
          <w:iCs w:val="1"/>
          <w:color w:val="auto"/>
        </w:rPr>
        <w:t>Restricted Cash and Investments</w:t>
      </w:r>
      <w:r>
        <w:rPr>
          <w:rFonts w:ascii="Arial" w:cs="Arial" w:eastAsia="Arial" w:hAnsi="Arial"/>
          <w:sz w:val="18"/>
          <w:szCs w:val="18"/>
          <w:color w:val="auto"/>
        </w:rPr>
        <w:t>: The estimated fair values of our restricted cash and investments are based upon quoted prices available in 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(Level 1), or quoted prices for similar assets in active and inactive markets (Level 2), or quoted prices available in active markets adjusted for time restrictions related to the sale of the investment (Level 3) and represent the amounts we would expect to receive if we sold our restricted cash and investments.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119" w:name="page120"/>
    <w:bookmarkEnd w:id="119"/>
    <w:p>
      <w:pPr>
        <w:ind w:right="100" w:firstLine="555"/>
        <w:spacing w:after="0" w:line="255" w:lineRule="auto"/>
        <w:rPr>
          <w:sz w:val="20"/>
          <w:szCs w:val="20"/>
          <w:color w:val="auto"/>
        </w:rPr>
      </w:pPr>
      <w:r>
        <w:rPr>
          <w:rFonts w:ascii="Arial" w:cs="Arial" w:eastAsia="Arial" w:hAnsi="Arial"/>
          <w:sz w:val="18"/>
          <w:szCs w:val="18"/>
          <w:i w:val="1"/>
          <w:iCs w:val="1"/>
          <w:color w:val="auto"/>
        </w:rPr>
        <w:t xml:space="preserve">Restricted Investment: </w:t>
      </w:r>
      <w:r>
        <w:rPr>
          <w:rFonts w:ascii="Arial" w:cs="Arial" w:eastAsia="Arial" w:hAnsi="Arial"/>
          <w:sz w:val="18"/>
          <w:szCs w:val="18"/>
          <w:color w:val="auto"/>
        </w:rPr>
        <w:t>In November 2018, we entered into a 20-year agreement with The Stars Group Inc. (“TSG”) pursuant to which we agreed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TSG with options to obtain access to our second skin for online sports wagering and third skin for real money online gaming and poker, in each case with respect to our properties in the United States. Under the terms of the agreement, we will receive a revenue share from the operation of the applicable verticals by TSG under our licenses. Pursuant to the terms of the TSG agreement, we received 1.1 million TSG common shares and we may receive an additional $5.0 million in TSG common shares upon the exercise of the first option by TSG. We may also receive additional TSG common shares in the future based on TSG net gaming revenue generated in our markets. The initial 1.1 million shares are subject to a restriction on transfer and may not be sold until November 2019.</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Accounts Receivable and Credit Risk</w:t>
      </w:r>
      <w:r>
        <w:rPr>
          <w:rFonts w:ascii="Arial" w:cs="Arial" w:eastAsia="Arial" w:hAnsi="Arial"/>
          <w:sz w:val="17"/>
          <w:szCs w:val="17"/>
          <w:color w:val="auto"/>
        </w:rPr>
        <w:t>: The allowance is estimated based on specific review of customer accounts as well as historical collection</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experience and current economic and business conditions. Management believes that no significant concentrations of credit risk related to receivables existed.</w:t>
      </w:r>
    </w:p>
    <w:p>
      <w:pPr>
        <w:spacing w:after="0" w:line="234"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Marketable securities consist primarily of trading securities held the Company’s captive insurance subsidiary. The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values of the Company’s marketable securities are determined on an individual asset basis based upon quoted prices of identical assets available in active markets (Level 1), quoted prices of identical assets in inactive markets, or quoted prices for similar assets in active and inactive markets (Level 2), and represent the amounts we would expect to receive if we sold these marketable securities.</w:t>
      </w:r>
    </w:p>
    <w:p>
      <w:pPr>
        <w:spacing w:after="0" w:line="187" w:lineRule="exact"/>
        <w:rPr>
          <w:sz w:val="20"/>
          <w:szCs w:val="20"/>
          <w:color w:val="auto"/>
        </w:rPr>
      </w:pPr>
    </w:p>
    <w:p>
      <w:pPr>
        <w:jc w:val="both"/>
        <w:ind w:right="80" w:firstLine="555"/>
        <w:spacing w:after="0" w:line="221" w:lineRule="exact"/>
        <w:rPr>
          <w:sz w:val="20"/>
          <w:szCs w:val="20"/>
          <w:color w:val="auto"/>
        </w:rPr>
      </w:pPr>
      <w:r>
        <w:rPr>
          <w:rFonts w:ascii="Arial" w:cs="Arial" w:eastAsia="Arial" w:hAnsi="Arial"/>
          <w:sz w:val="16"/>
          <w:szCs w:val="16"/>
          <w:i w:val="1"/>
          <w:iCs w:val="1"/>
          <w:color w:val="auto"/>
        </w:rPr>
        <w:t>Long</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term Debt</w:t>
      </w:r>
      <w:r>
        <w:rPr>
          <w:rFonts w:ascii="Arial" w:cs="Arial" w:eastAsia="Arial" w:hAnsi="Arial"/>
          <w:sz w:val="16"/>
          <w:szCs w:val="16"/>
          <w:color w:val="auto"/>
        </w:rPr>
        <w:t>: The fair value of our long-term debt or other long-term obligations is estimated based on the quoted market price of the underlying</w:t>
      </w:r>
      <w:r>
        <w:rPr>
          <w:rFonts w:ascii="Arial" w:cs="Arial" w:eastAsia="Arial" w:hAnsi="Arial"/>
          <w:sz w:val="16"/>
          <w:szCs w:val="16"/>
          <w:i w:val="1"/>
          <w:iCs w:val="1"/>
          <w:color w:val="auto"/>
        </w:rPr>
        <w:t xml:space="preserve"> </w:t>
      </w:r>
      <w:r>
        <w:rPr>
          <w:rFonts w:ascii="Arial" w:cs="Arial" w:eastAsia="Arial" w:hAnsi="Arial"/>
          <w:sz w:val="16"/>
          <w:szCs w:val="16"/>
          <w:color w:val="auto"/>
        </w:rPr>
        <w:t>debt issue (Level 1) or, when a quoted market price is not available, the discounted cash flow of future payments utilizing current rates available to us for the debt of similar remaining maturities (Level 2). Debt obligations with a short remaining maturity have a carrying amount that approximates fair value.</w:t>
      </w:r>
    </w:p>
    <w:p>
      <w:pPr>
        <w:spacing w:after="0" w:line="243" w:lineRule="exact"/>
        <w:rPr>
          <w:sz w:val="20"/>
          <w:szCs w:val="20"/>
          <w:color w:val="auto"/>
        </w:rPr>
      </w:pPr>
    </w:p>
    <w:p>
      <w:pPr>
        <w:jc w:val="both"/>
        <w:ind w:firstLine="555"/>
        <w:spacing w:after="0" w:line="221" w:lineRule="exact"/>
        <w:rPr>
          <w:sz w:val="20"/>
          <w:szCs w:val="20"/>
          <w:color w:val="auto"/>
        </w:rPr>
      </w:pPr>
      <w:r>
        <w:rPr>
          <w:rFonts w:ascii="Arial" w:cs="Arial" w:eastAsia="Arial" w:hAnsi="Arial"/>
          <w:sz w:val="17"/>
          <w:szCs w:val="17"/>
          <w:i w:val="1"/>
          <w:iCs w:val="1"/>
          <w:color w:val="auto"/>
        </w:rPr>
        <w:t>Acquisition</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Related Contingent Considerations</w:t>
      </w:r>
      <w:r>
        <w:rPr>
          <w:rFonts w:ascii="Arial" w:cs="Arial" w:eastAsia="Arial" w:hAnsi="Arial"/>
          <w:sz w:val="17"/>
          <w:szCs w:val="17"/>
          <w:color w:val="auto"/>
        </w:rPr>
        <w:t>: Contingent consideration related to the July 2003 acquisition of Scioto Downs represents the estimate</w:t>
      </w:r>
      <w:r>
        <w:rPr>
          <w:rFonts w:ascii="Arial" w:cs="Arial" w:eastAsia="Arial" w:hAnsi="Arial"/>
          <w:sz w:val="17"/>
          <w:szCs w:val="17"/>
          <w:i w:val="1"/>
          <w:iCs w:val="1"/>
          <w:color w:val="auto"/>
        </w:rPr>
        <w:t xml:space="preserve"> </w:t>
      </w:r>
      <w:r>
        <w:rPr>
          <w:rFonts w:ascii="Arial" w:cs="Arial" w:eastAsia="Arial" w:hAnsi="Arial"/>
          <w:sz w:val="17"/>
          <w:szCs w:val="17"/>
          <w:color w:val="auto"/>
        </w:rPr>
        <w:t>of amounts to be paid to former stockholders of Scioto Downs under certain earn-out provisions. Acquisition related contingent considerations of $0.5 million is included in accrued other liabilities on the Consolidated Balance Sheets as of December 31, 2018 and 2017.</w:t>
      </w:r>
    </w:p>
    <w:p>
      <w:pPr>
        <w:spacing w:after="0" w:line="202" w:lineRule="exact"/>
        <w:rPr>
          <w:sz w:val="20"/>
          <w:szCs w:val="20"/>
          <w:color w:val="auto"/>
        </w:rPr>
      </w:pPr>
    </w:p>
    <w:p>
      <w:pPr>
        <w:ind w:right="380" w:firstLine="555"/>
        <w:spacing w:after="0" w:line="277" w:lineRule="auto"/>
        <w:rPr>
          <w:sz w:val="20"/>
          <w:szCs w:val="20"/>
          <w:color w:val="auto"/>
        </w:rPr>
      </w:pPr>
      <w:r>
        <w:rPr>
          <w:rFonts w:ascii="Arial" w:cs="Arial" w:eastAsia="Arial" w:hAnsi="Arial"/>
          <w:sz w:val="18"/>
          <w:szCs w:val="18"/>
          <w:i w:val="1"/>
          <w:iCs w:val="1"/>
          <w:color w:val="auto"/>
        </w:rPr>
        <w:t>Items Measured at Fair Value on a Recurring Basis</w:t>
      </w:r>
      <w:r>
        <w:rPr>
          <w:rFonts w:ascii="Arial" w:cs="Arial" w:eastAsia="Arial" w:hAnsi="Arial"/>
          <w:sz w:val="18"/>
          <w:szCs w:val="18"/>
          <w:color w:val="auto"/>
        </w:rPr>
        <w:t>: The following table sets forth the assets measured at fair value on a recurring basis, by input</w:t>
      </w:r>
      <w:r>
        <w:rPr>
          <w:rFonts w:ascii="Arial" w:cs="Arial" w:eastAsia="Arial" w:hAnsi="Arial"/>
          <w:sz w:val="18"/>
          <w:szCs w:val="18"/>
          <w:i w:val="1"/>
          <w:iCs w:val="1"/>
          <w:color w:val="auto"/>
        </w:rPr>
        <w:t xml:space="preserve"> </w:t>
      </w:r>
      <w:r>
        <w:rPr>
          <w:rFonts w:ascii="Arial" w:cs="Arial" w:eastAsia="Arial" w:hAnsi="Arial"/>
          <w:sz w:val="18"/>
          <w:szCs w:val="18"/>
          <w:color w:val="auto"/>
        </w:rPr>
        <w:t>level, in the Consolidated Balance Sheets at December 31, 2018:</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8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December 31, 2018</w:t>
            </w: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80" w:type="dxa"/>
            <w:vAlign w:val="bottom"/>
            <w:vMerge w:val="continue"/>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236"/>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239"/>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9"/>
                <w:szCs w:val="19"/>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8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Restricted cash and investments</w:t>
            </w:r>
          </w:p>
        </w:tc>
        <w:tc>
          <w:tcPr>
            <w:tcW w:w="1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19,481</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4,467</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16,008</w:t>
            </w: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39,956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40"/>
              <w:spacing w:after="0"/>
              <w:rPr>
                <w:sz w:val="20"/>
                <w:szCs w:val="20"/>
                <w:color w:val="auto"/>
              </w:rPr>
            </w:pPr>
            <w:r>
              <w:rPr>
                <w:rFonts w:ascii="Arial" w:cs="Arial" w:eastAsia="Arial" w:hAnsi="Arial"/>
                <w:sz w:val="18"/>
                <w:szCs w:val="18"/>
                <w:color w:val="auto"/>
              </w:rPr>
              <w:t>Marketable securities</w:t>
            </w: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9,515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7,442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88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December 31, 2017</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880" w:type="dxa"/>
            <w:vAlign w:val="bottom"/>
            <w:vMerge w:val="continue"/>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236"/>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239"/>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9"/>
                <w:szCs w:val="19"/>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8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Restricted cash and investments</w:t>
            </w:r>
          </w:p>
        </w:tc>
        <w:tc>
          <w:tcPr>
            <w:tcW w:w="1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9,055</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4,098</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13,153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40"/>
              <w:spacing w:after="0"/>
              <w:rPr>
                <w:sz w:val="20"/>
                <w:szCs w:val="20"/>
                <w:color w:val="auto"/>
              </w:rPr>
            </w:pPr>
            <w:r>
              <w:rPr>
                <w:rFonts w:ascii="Arial" w:cs="Arial" w:eastAsia="Arial" w:hAnsi="Arial"/>
                <w:sz w:val="18"/>
                <w:szCs w:val="18"/>
                <w:color w:val="auto"/>
              </w:rPr>
              <w:t>Marketable securities</w:t>
            </w: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7,906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9,725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change in restricted investments valued using Level 3 inputs for the year ended December 31, 2018 is as follows:</w:t>
      </w:r>
    </w:p>
    <w:p>
      <w:pPr>
        <w:spacing w:after="0" w:line="298"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4"/>
              </w:rPr>
              <w:t>Level 3 Investment</w:t>
            </w: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of investment received</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18,595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Unrealized loss in restricted investments</w:t>
            </w:r>
          </w:p>
        </w:tc>
        <w:tc>
          <w:tcPr>
            <w:tcW w:w="1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(2,587)</w:t>
            </w: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December 31, 2018</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16,008</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transfers between Level 1, Level 2 and Level 3 investments.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20" w:name="page121"/>
    <w:bookmarkEnd w:id="120"/>
    <w:p>
      <w:pPr>
        <w:ind w:left="560"/>
        <w:spacing w:after="0"/>
        <w:rPr>
          <w:sz w:val="20"/>
          <w:szCs w:val="20"/>
          <w:color w:val="auto"/>
        </w:rPr>
      </w:pPr>
      <w:r>
        <w:rPr>
          <w:rFonts w:ascii="Arial" w:cs="Arial" w:eastAsia="Arial" w:hAnsi="Arial"/>
          <w:sz w:val="18"/>
          <w:szCs w:val="18"/>
          <w:color w:val="auto"/>
        </w:rPr>
        <w:t>The estimated fair values of the Company’s financial instruments are as follows (amounts in thousands):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5"/>
          </w:tcPr>
          <w:p>
            <w:pPr>
              <w:ind w:left="420"/>
              <w:spacing w:after="0"/>
              <w:rPr>
                <w:sz w:val="20"/>
                <w:szCs w:val="20"/>
                <w:color w:val="auto"/>
              </w:rPr>
            </w:pPr>
            <w:r>
              <w:rPr>
                <w:rFonts w:ascii="Arial" w:cs="Arial" w:eastAsia="Arial" w:hAnsi="Arial"/>
                <w:sz w:val="14"/>
                <w:szCs w:val="14"/>
                <w:b w:val="1"/>
                <w:bCs w:val="1"/>
                <w:color w:val="auto"/>
              </w:rPr>
              <w:t>December 31, 2017</w:t>
            </w:r>
          </w:p>
        </w:tc>
      </w:tr>
      <w:tr>
        <w:trPr>
          <w:trHeight w:val="146"/>
        </w:trPr>
        <w:tc>
          <w:tcPr>
            <w:tcW w:w="3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75"/>
              <w:spacing w:after="0" w:line="147" w:lineRule="exact"/>
              <w:rPr>
                <w:sz w:val="20"/>
                <w:szCs w:val="20"/>
                <w:color w:val="auto"/>
              </w:rPr>
            </w:pPr>
            <w:r>
              <w:rPr>
                <w:rFonts w:ascii="Arial" w:cs="Arial" w:eastAsia="Arial" w:hAnsi="Arial"/>
                <w:sz w:val="14"/>
                <w:szCs w:val="14"/>
                <w:b w:val="1"/>
                <w:bCs w:val="1"/>
                <w:color w:val="auto"/>
              </w:rPr>
              <w:t>Carrying</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34"/>
              <w:spacing w:after="0" w:line="147"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75"/>
              <w:spacing w:after="0" w:line="147" w:lineRule="exact"/>
              <w:rPr>
                <w:sz w:val="20"/>
                <w:szCs w:val="20"/>
                <w:color w:val="auto"/>
              </w:rPr>
            </w:pPr>
            <w:r>
              <w:rPr>
                <w:rFonts w:ascii="Arial" w:cs="Arial" w:eastAsia="Arial" w:hAnsi="Arial"/>
                <w:sz w:val="14"/>
                <w:szCs w:val="14"/>
                <w:b w:val="1"/>
                <w:bCs w:val="1"/>
                <w:color w:val="auto"/>
              </w:rPr>
              <w:t>Carrying</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right="174"/>
              <w:spacing w:after="0" w:line="147"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r>
      <w:tr>
        <w:trPr>
          <w:trHeight w:val="171"/>
        </w:trPr>
        <w:tc>
          <w:tcPr>
            <w:tcW w:w="3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95"/>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294"/>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215"/>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r>
      <w:tr>
        <w:trPr>
          <w:trHeight w:val="223"/>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5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40" w:type="dxa"/>
            <w:vAlign w:val="bottom"/>
          </w:tcPr>
          <w:p>
            <w:pPr>
              <w:ind w:left="240"/>
              <w:spacing w:after="0"/>
              <w:rPr>
                <w:sz w:val="20"/>
                <w:szCs w:val="20"/>
                <w:color w:val="auto"/>
              </w:rPr>
            </w:pPr>
            <w:r>
              <w:rPr>
                <w:rFonts w:ascii="Arial" w:cs="Arial" w:eastAsia="Arial" w:hAnsi="Arial"/>
                <w:sz w:val="18"/>
                <w:szCs w:val="18"/>
                <w:color w:val="auto"/>
              </w:rPr>
              <w:t>7% Senior Notes due 2023</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368,925</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385,312</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367,854</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400,800</w:t>
            </w:r>
          </w:p>
        </w:tc>
        <w:tc>
          <w:tcPr>
            <w:tcW w:w="100" w:type="dxa"/>
            <w:vAlign w:val="bottom"/>
          </w:tcPr>
          <w:p>
            <w:pPr>
              <w:spacing w:after="0"/>
              <w:rPr>
                <w:sz w:val="19"/>
                <w:szCs w:val="19"/>
                <w:color w:val="auto"/>
              </w:rPr>
            </w:pPr>
          </w:p>
        </w:tc>
      </w:tr>
      <w:tr>
        <w:trPr>
          <w:trHeight w:val="230"/>
        </w:trPr>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6% Senior Notes due 2025</w:t>
            </w:r>
          </w:p>
        </w:tc>
        <w:tc>
          <w:tcPr>
            <w:tcW w:w="1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880,086</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840,000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880,889</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914,375</w:t>
            </w:r>
          </w:p>
        </w:tc>
        <w:tc>
          <w:tcPr>
            <w:tcW w:w="100" w:type="dxa"/>
            <w:vAlign w:val="bottom"/>
            <w:shd w:val="clear" w:color="auto" w:fill="CFF0FC"/>
          </w:tcPr>
          <w:p>
            <w:pPr>
              <w:spacing w:after="0"/>
              <w:rPr>
                <w:sz w:val="19"/>
                <w:szCs w:val="19"/>
                <w:color w:val="auto"/>
              </w:rPr>
            </w:pPr>
          </w:p>
        </w:tc>
      </w:tr>
      <w:tr>
        <w:trPr>
          <w:trHeight w:val="230"/>
        </w:trPr>
        <w:tc>
          <w:tcPr>
            <w:tcW w:w="3740" w:type="dxa"/>
            <w:vAlign w:val="bottom"/>
          </w:tcPr>
          <w:p>
            <w:pPr>
              <w:ind w:left="240"/>
              <w:spacing w:after="0"/>
              <w:rPr>
                <w:sz w:val="20"/>
                <w:szCs w:val="20"/>
                <w:color w:val="auto"/>
              </w:rPr>
            </w:pPr>
            <w:r>
              <w:rPr>
                <w:rFonts w:ascii="Arial" w:cs="Arial" w:eastAsia="Arial" w:hAnsi="Arial"/>
                <w:sz w:val="18"/>
                <w:szCs w:val="18"/>
                <w:color w:val="auto"/>
              </w:rPr>
              <w:t>6% Senior Notes due 2026</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580,370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567,000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Term Loan</w:t>
            </w:r>
          </w:p>
        </w:tc>
        <w:tc>
          <w:tcPr>
            <w:tcW w:w="1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938,324</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916,088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938,002</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956,750</w:t>
            </w:r>
          </w:p>
        </w:tc>
        <w:tc>
          <w:tcPr>
            <w:tcW w:w="100" w:type="dxa"/>
            <w:vAlign w:val="bottom"/>
            <w:shd w:val="clear" w:color="auto" w:fill="CFF0FC"/>
          </w:tcPr>
          <w:p>
            <w:pPr>
              <w:spacing w:after="0"/>
              <w:rPr>
                <w:sz w:val="19"/>
                <w:szCs w:val="19"/>
                <w:color w:val="auto"/>
              </w:rPr>
            </w:pPr>
          </w:p>
        </w:tc>
      </w:tr>
      <w:tr>
        <w:trPr>
          <w:trHeight w:val="230"/>
        </w:trPr>
        <w:tc>
          <w:tcPr>
            <w:tcW w:w="3740" w:type="dxa"/>
            <w:vAlign w:val="bottom"/>
          </w:tcPr>
          <w:p>
            <w:pPr>
              <w:ind w:left="240"/>
              <w:spacing w:after="0"/>
              <w:rPr>
                <w:sz w:val="20"/>
                <w:szCs w:val="20"/>
                <w:color w:val="auto"/>
              </w:rPr>
            </w:pPr>
            <w:r>
              <w:rPr>
                <w:rFonts w:ascii="Arial" w:cs="Arial" w:eastAsia="Arial" w:hAnsi="Arial"/>
                <w:sz w:val="18"/>
                <w:szCs w:val="18"/>
                <w:color w:val="auto"/>
              </w:rPr>
              <w:t>Revolving Credit Facility</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245,000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245,000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Lumière Loan</w:t>
            </w:r>
          </w:p>
        </w:tc>
        <w:tc>
          <w:tcPr>
            <w:tcW w:w="1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246,000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246,000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3740" w:type="dxa"/>
            <w:vAlign w:val="bottom"/>
          </w:tcPr>
          <w:p>
            <w:pPr>
              <w:ind w:left="240"/>
              <w:spacing w:after="0"/>
              <w:rPr>
                <w:sz w:val="20"/>
                <w:szCs w:val="20"/>
                <w:color w:val="auto"/>
              </w:rPr>
            </w:pPr>
            <w:r>
              <w:rPr>
                <w:rFonts w:ascii="Arial" w:cs="Arial" w:eastAsia="Arial" w:hAnsi="Arial"/>
                <w:sz w:val="18"/>
                <w:szCs w:val="18"/>
                <w:color w:val="auto"/>
              </w:rPr>
              <w:t>Other long-term debt</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2,440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2,440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2,531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2,531</w:t>
            </w:r>
          </w:p>
        </w:tc>
        <w:tc>
          <w:tcPr>
            <w:tcW w:w="100" w:type="dxa"/>
            <w:vAlign w:val="bottom"/>
          </w:tcPr>
          <w:p>
            <w:pPr>
              <w:spacing w:after="0"/>
              <w:rPr>
                <w:sz w:val="19"/>
                <w:szCs w:val="19"/>
                <w:color w:val="auto"/>
              </w:rPr>
            </w:pPr>
          </w:p>
        </w:tc>
      </w:tr>
      <w:tr>
        <w:trPr>
          <w:trHeight w:val="230"/>
        </w:trPr>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leases</w:t>
            </w:r>
          </w:p>
        </w:tc>
        <w:tc>
          <w:tcPr>
            <w:tcW w:w="1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FF0FC"/>
          </w:tcPr>
          <w:p>
            <w:pPr>
              <w:spacing w:after="0"/>
              <w:rPr>
                <w:sz w:val="19"/>
                <w:szCs w:val="19"/>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121"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b w:val="1"/>
          <w:bCs w:val="1"/>
          <w:i w:val="1"/>
          <w:iCs w:val="1"/>
          <w:color w:val="auto"/>
        </w:rPr>
        <w:t xml:space="preserve">Capital Leases. </w:t>
      </w:r>
      <w:r>
        <w:rPr>
          <w:rFonts w:ascii="Arial" w:cs="Arial" w:eastAsia="Arial" w:hAnsi="Arial"/>
          <w:sz w:val="17"/>
          <w:szCs w:val="17"/>
          <w:color w:val="auto"/>
        </w:rPr>
        <w:t>The Company leases certain equipment under agreements classified as capital leases. The future minimum lease payments,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at December 31, 2018 were $0.5 million, $0.1 million, $0.1 million and $0.1 million in 2019, 2020, 2021 and 2022, respectively. After reducing these amounts for interest of $0.1 million, the present value of the minimum lease payments at December 31, 2018 was $0.5 million.</w:t>
      </w:r>
    </w:p>
    <w:p>
      <w:pPr>
        <w:spacing w:after="0" w:line="166" w:lineRule="exact"/>
        <w:rPr>
          <w:sz w:val="20"/>
          <w:szCs w:val="20"/>
          <w:color w:val="auto"/>
        </w:rPr>
      </w:pPr>
    </w:p>
    <w:p>
      <w:pPr>
        <w:ind w:right="600" w:firstLine="555"/>
        <w:spacing w:after="0" w:line="221" w:lineRule="exact"/>
        <w:rPr>
          <w:sz w:val="20"/>
          <w:szCs w:val="20"/>
          <w:color w:val="auto"/>
        </w:rPr>
      </w:pPr>
      <w:r>
        <w:rPr>
          <w:rFonts w:ascii="Arial" w:cs="Arial" w:eastAsia="Arial" w:hAnsi="Arial"/>
          <w:sz w:val="16"/>
          <w:szCs w:val="16"/>
          <w:b w:val="1"/>
          <w:bCs w:val="1"/>
          <w:i w:val="1"/>
          <w:iCs w:val="1"/>
          <w:color w:val="auto"/>
        </w:rPr>
        <w:t xml:space="preserve">Operating Leases. </w:t>
      </w:r>
      <w:r>
        <w:rPr>
          <w:rFonts w:ascii="Arial" w:cs="Arial" w:eastAsia="Arial" w:hAnsi="Arial"/>
          <w:sz w:val="16"/>
          <w:szCs w:val="16"/>
          <w:color w:val="auto"/>
        </w:rPr>
        <w:t>The Company leases land and certain equipment, including some of our slot machines, timing and photo finish equipment,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videotape and closed-circuit television equipment, and certain pari</w:t>
      </w:r>
      <w:r>
        <w:rPr>
          <w:rFonts w:ascii="MS PGothic" w:cs="MS PGothic" w:eastAsia="MS PGothic" w:hAnsi="MS PGothic"/>
          <w:sz w:val="16"/>
          <w:szCs w:val="16"/>
          <w:color w:val="auto"/>
        </w:rPr>
        <w:t>‑</w:t>
      </w:r>
      <w:r>
        <w:rPr>
          <w:rFonts w:ascii="Arial" w:cs="Arial" w:eastAsia="Arial" w:hAnsi="Arial"/>
          <w:sz w:val="16"/>
          <w:szCs w:val="16"/>
          <w:color w:val="auto"/>
        </w:rPr>
        <w:t>mutuel equipment, under operating leases. Future minimum payments under non</w:t>
      </w:r>
      <w:r>
        <w:rPr>
          <w:rFonts w:ascii="MS PGothic" w:cs="MS PGothic" w:eastAsia="MS PGothic" w:hAnsi="MS PGothic"/>
          <w:sz w:val="16"/>
          <w:szCs w:val="16"/>
          <w:color w:val="auto"/>
        </w:rPr>
        <w:t>‑</w:t>
      </w:r>
      <w:r>
        <w:rPr>
          <w:rFonts w:ascii="Arial" w:cs="Arial" w:eastAsia="Arial" w:hAnsi="Arial"/>
          <w:sz w:val="16"/>
          <w:szCs w:val="16"/>
          <w:color w:val="auto"/>
        </w:rPr>
        <w:t>cancellable operating leases with initial terms of one year or more consisted of the following at December 31, 2018 (in thousands):</w:t>
      </w:r>
    </w:p>
    <w:p>
      <w:pPr>
        <w:spacing w:after="0" w:line="207"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Leases</w:t>
            </w:r>
          </w:p>
        </w:tc>
      </w:tr>
      <w:tr>
        <w:trPr>
          <w:trHeight w:val="223"/>
        </w:trPr>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24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23,250</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2020</w:t>
            </w:r>
          </w:p>
        </w:tc>
        <w:tc>
          <w:tcPr>
            <w:tcW w:w="2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20,172</w:t>
            </w:r>
          </w:p>
        </w:tc>
        <w:tc>
          <w:tcPr>
            <w:tcW w:w="60" w:type="dxa"/>
            <w:vAlign w:val="bottom"/>
          </w:tcPr>
          <w:p>
            <w:pPr>
              <w:spacing w:after="0"/>
              <w:rPr>
                <w:sz w:val="19"/>
                <w:szCs w:val="19"/>
                <w:color w:val="auto"/>
              </w:rPr>
            </w:pPr>
          </w:p>
        </w:tc>
      </w:tr>
      <w:tr>
        <w:trPr>
          <w:trHeight w:val="230"/>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18,605</w:t>
            </w:r>
          </w:p>
        </w:tc>
        <w:tc>
          <w:tcPr>
            <w:tcW w:w="60" w:type="dxa"/>
            <w:vAlign w:val="bottom"/>
            <w:shd w:val="clear" w:color="auto" w:fill="CFF0FC"/>
          </w:tcPr>
          <w:p>
            <w:pPr>
              <w:spacing w:after="0"/>
              <w:rPr>
                <w:sz w:val="19"/>
                <w:szCs w:val="19"/>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2022</w:t>
            </w:r>
          </w:p>
        </w:tc>
        <w:tc>
          <w:tcPr>
            <w:tcW w:w="2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17,467</w:t>
            </w:r>
          </w:p>
        </w:tc>
        <w:tc>
          <w:tcPr>
            <w:tcW w:w="60" w:type="dxa"/>
            <w:vAlign w:val="bottom"/>
          </w:tcPr>
          <w:p>
            <w:pPr>
              <w:spacing w:after="0"/>
              <w:rPr>
                <w:sz w:val="19"/>
                <w:szCs w:val="19"/>
                <w:color w:val="auto"/>
              </w:rPr>
            </w:pPr>
          </w:p>
        </w:tc>
      </w:tr>
      <w:tr>
        <w:trPr>
          <w:trHeight w:val="230"/>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17,362</w:t>
            </w:r>
          </w:p>
        </w:tc>
        <w:tc>
          <w:tcPr>
            <w:tcW w:w="60" w:type="dxa"/>
            <w:vAlign w:val="bottom"/>
            <w:shd w:val="clear" w:color="auto" w:fill="CFF0FC"/>
          </w:tcPr>
          <w:p>
            <w:pPr>
              <w:spacing w:after="0"/>
              <w:rPr>
                <w:sz w:val="19"/>
                <w:szCs w:val="19"/>
                <w:color w:val="auto"/>
              </w:rPr>
            </w:pPr>
          </w:p>
        </w:tc>
      </w:tr>
      <w:tr>
        <w:trPr>
          <w:trHeight w:val="230"/>
        </w:trPr>
        <w:tc>
          <w:tcPr>
            <w:tcW w:w="3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4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178,247</w:t>
            </w:r>
          </w:p>
        </w:tc>
        <w:tc>
          <w:tcPr>
            <w:tcW w:w="60" w:type="dxa"/>
            <w:vAlign w:val="bottom"/>
            <w:tcBorders>
              <w:bottom w:val="single" w:sz="8" w:color="CFF0FC"/>
            </w:tcBorders>
          </w:tcPr>
          <w:p>
            <w:pPr>
              <w:spacing w:after="0"/>
              <w:rPr>
                <w:sz w:val="19"/>
                <w:szCs w:val="19"/>
                <w:color w:val="auto"/>
              </w:rPr>
            </w:pPr>
          </w:p>
        </w:tc>
      </w:tr>
      <w:tr>
        <w:trPr>
          <w:trHeight w:val="223"/>
        </w:trPr>
        <w:tc>
          <w:tcPr>
            <w:tcW w:w="3140" w:type="dxa"/>
            <w:vAlign w:val="bottom"/>
            <w:tcBorders>
              <w:bottom w:val="single" w:sz="8" w:color="CFF0FC"/>
            </w:tcBorders>
            <w:shd w:val="clear" w:color="auto" w:fill="CFF0FC"/>
          </w:tcPr>
          <w:p>
            <w:pPr>
              <w:spacing w:after="0"/>
              <w:rPr>
                <w:sz w:val="19"/>
                <w:szCs w:val="19"/>
                <w:color w:val="auto"/>
              </w:rPr>
            </w:pPr>
          </w:p>
        </w:tc>
        <w:tc>
          <w:tcPr>
            <w:tcW w:w="24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275,103</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color w:val="auto"/>
        </w:rPr>
        <w:t>Total rental expense under operating leases totaled $42.9 million, $28.2 million and $17.0 million for the years ended December 31, 2018, 2017 and 2016, respectively.</w:t>
      </w:r>
    </w:p>
    <w:p>
      <w:pPr>
        <w:spacing w:after="0" w:line="170" w:lineRule="exact"/>
        <w:rPr>
          <w:sz w:val="20"/>
          <w:szCs w:val="20"/>
          <w:color w:val="auto"/>
        </w:rPr>
      </w:pPr>
    </w:p>
    <w:p>
      <w:pPr>
        <w:ind w:right="40" w:firstLine="555"/>
        <w:spacing w:after="0" w:line="272" w:lineRule="auto"/>
        <w:rPr>
          <w:sz w:val="20"/>
          <w:szCs w:val="20"/>
          <w:color w:val="auto"/>
        </w:rPr>
      </w:pPr>
      <w:r>
        <w:rPr>
          <w:rFonts w:ascii="Arial" w:cs="Arial" w:eastAsia="Arial" w:hAnsi="Arial"/>
          <w:sz w:val="17"/>
          <w:szCs w:val="17"/>
          <w:b w:val="1"/>
          <w:bCs w:val="1"/>
          <w:i w:val="1"/>
          <w:iCs w:val="1"/>
          <w:color w:val="auto"/>
        </w:rPr>
        <w:t xml:space="preserve">Litigation. </w:t>
      </w:r>
      <w:r>
        <w:rPr>
          <w:rFonts w:ascii="Arial" w:cs="Arial" w:eastAsia="Arial" w:hAnsi="Arial"/>
          <w:sz w:val="17"/>
          <w:szCs w:val="17"/>
          <w:color w:val="auto"/>
        </w:rPr>
        <w:t>The Company is a party to various legal and administrative proceedings, which have arisen in the normal course of its business. Estimated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losses are accrued for these proceedings when the loss is probable and can be estimated. The current liability for the estimated losses associated with these proceedings is not material to the Company’s consolidated financial condition and those estimated losses are not expected to have a material impact on its results of operations. In addition,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consolidated financial condition or results of operations. Further, no assurance can be given that the amount of scope of existing insurance coverage will be sufficient to cover losses arising from such matter.</w:t>
      </w:r>
    </w:p>
    <w:p>
      <w:pPr>
        <w:spacing w:after="0" w:line="178" w:lineRule="exact"/>
        <w:rPr>
          <w:sz w:val="20"/>
          <w:szCs w:val="20"/>
          <w:color w:val="auto"/>
        </w:rPr>
      </w:pPr>
    </w:p>
    <w:p>
      <w:pPr>
        <w:ind w:right="20" w:firstLine="555"/>
        <w:spacing w:after="0" w:line="302" w:lineRule="auto"/>
        <w:rPr>
          <w:sz w:val="20"/>
          <w:szCs w:val="20"/>
          <w:color w:val="auto"/>
        </w:rPr>
      </w:pPr>
      <w:r>
        <w:rPr>
          <w:rFonts w:ascii="Arial" w:cs="Arial" w:eastAsia="Arial" w:hAnsi="Arial"/>
          <w:sz w:val="16"/>
          <w:szCs w:val="16"/>
          <w:b w:val="1"/>
          <w:bCs w:val="1"/>
          <w:i w:val="1"/>
          <w:iCs w:val="1"/>
          <w:color w:val="auto"/>
        </w:rPr>
        <w:t xml:space="preserve">Collective Bargaining Agreements. </w:t>
      </w:r>
      <w:r>
        <w:rPr>
          <w:rFonts w:ascii="Arial" w:cs="Arial" w:eastAsia="Arial" w:hAnsi="Arial"/>
          <w:sz w:val="16"/>
          <w:szCs w:val="16"/>
          <w:color w:val="auto"/>
        </w:rPr>
        <w:t>As of December 31, 2018, we had approximately 18,700 employees and 21 collective bargaining agreements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covering approximately 3,400 employees. Two collective bargaining agreements are scheduled to expire in 2019, and we are currently renegotiating three that expired in 2018. There can be no assurance that we will be able to extend or enter into replacement agreements. If we are able to extend or enter into replacement agreements, there can be no assurance as to whether the terms will on comparable terms to the existing agreements.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1" w:name="page122"/>
    <w:bookmarkEnd w:id="121"/>
    <w:p>
      <w:pPr>
        <w:ind w:firstLine="555"/>
        <w:spacing w:after="0" w:line="217" w:lineRule="exact"/>
        <w:rPr>
          <w:sz w:val="20"/>
          <w:szCs w:val="20"/>
          <w:color w:val="auto"/>
        </w:rPr>
      </w:pPr>
      <w:r>
        <w:rPr>
          <w:rFonts w:ascii="Arial" w:cs="Arial" w:eastAsia="Arial" w:hAnsi="Arial"/>
          <w:sz w:val="16"/>
          <w:szCs w:val="16"/>
          <w:b w:val="1"/>
          <w:bCs w:val="1"/>
          <w:i w:val="1"/>
          <w:iCs w:val="1"/>
          <w:color w:val="auto"/>
        </w:rPr>
        <w:t>Agreements with Horsemen and Pari-mutuel Clerks</w:t>
      </w:r>
      <w:r>
        <w:rPr>
          <w:rFonts w:ascii="Arial" w:cs="Arial" w:eastAsia="Arial" w:hAnsi="Arial"/>
          <w:sz w:val="16"/>
          <w:szCs w:val="16"/>
          <w:color w:val="auto"/>
        </w:rPr>
        <w:t>. The Federal Interstate Horse Racing Act and the state racing laws in West Virginia, Ohio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Pennsylvania require that, in order to simulcast races, we have written agreements with the horse owners and trainers at those racetracks. In addition, in order to operate slot machines in West Virginia, we are required to enter into written agreements regarding the proceeds of the slot machines (a “proceeds agreement”) with a representative of a majority of the horse owners and trainers and with a representative of a majority of the pari</w:t>
      </w:r>
      <w:r>
        <w:rPr>
          <w:rFonts w:ascii="MS PGothic" w:cs="MS PGothic" w:eastAsia="MS PGothic" w:hAnsi="MS PGothic"/>
          <w:sz w:val="16"/>
          <w:szCs w:val="16"/>
          <w:color w:val="auto"/>
        </w:rPr>
        <w:t>‑</w:t>
      </w:r>
      <w:r>
        <w:rPr>
          <w:rFonts w:ascii="Arial" w:cs="Arial" w:eastAsia="Arial" w:hAnsi="Arial"/>
          <w:sz w:val="16"/>
          <w:szCs w:val="16"/>
          <w:color w:val="auto"/>
        </w:rPr>
        <w:t>mutuel clerks. We are required to have a proceeds agreement in effect on July 1 of each year with the horsemen and the pari</w:t>
      </w:r>
      <w:r>
        <w:rPr>
          <w:rFonts w:ascii="MS PGothic" w:cs="MS PGothic" w:eastAsia="MS PGothic" w:hAnsi="MS PGothic"/>
          <w:sz w:val="16"/>
          <w:szCs w:val="16"/>
          <w:color w:val="auto"/>
        </w:rPr>
        <w:t>‑</w:t>
      </w:r>
      <w:r>
        <w:rPr>
          <w:rFonts w:ascii="Arial" w:cs="Arial" w:eastAsia="Arial" w:hAnsi="Arial"/>
          <w:sz w:val="16"/>
          <w:szCs w:val="16"/>
          <w:color w:val="auto"/>
        </w:rPr>
        <w:t>mutuel clerks as a condition to renewal of our video lottery license for such year. If the requisite proceeds agreement is not in place as of July 1 of a particular year, Mountaineer’s application for renewal of its video lottery license could be denied, in which case Mountaineer would not be permitted to operate either its slot machines or table games. In Pennsylvania and Ohio, we must have an agreement with the representative of the horse owners. We have all the requisite agreements in place referenced in this sub section at Mountaineer, Scioto Downs and Presque Isle Downs. Certain agreements referenced above may be terminated upon written notice by either party.</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Related Parties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w:t>
      </w:r>
    </w:p>
    <w:p>
      <w:pPr>
        <w:spacing w:after="0" w:line="117" w:lineRule="exact"/>
        <w:rPr>
          <w:sz w:val="20"/>
          <w:szCs w:val="20"/>
          <w:color w:val="auto"/>
        </w:rPr>
      </w:pPr>
    </w:p>
    <w:p>
      <w:pPr>
        <w:ind w:right="100" w:firstLine="555"/>
        <w:spacing w:after="0" w:line="271" w:lineRule="auto"/>
        <w:rPr>
          <w:sz w:val="20"/>
          <w:szCs w:val="20"/>
          <w:color w:val="auto"/>
        </w:rPr>
      </w:pPr>
      <w:r>
        <w:rPr>
          <w:rFonts w:ascii="Arial" w:cs="Arial" w:eastAsia="Arial" w:hAnsi="Arial"/>
          <w:sz w:val="17"/>
          <w:szCs w:val="17"/>
          <w:color w:val="auto"/>
        </w:rPr>
        <w:t>As of December 31, 2018, REI owned approximately 14.4% of outstanding common stock of the Company. The directors of REI are Company’s Executive Chairman of the Board, Gary L. Carano, its Chief Executive Officer and Board member, Thomas R. Reeg, and its former Senior Vice President of Regional Operations, Gene Carano. In addition, Gary L. Carano also serves as the Vice President of REI and Gene Carano also serves as the Secretary and Treasurer of REI. Members of the Carano Family, including Gary L. Carano and Gene Carano, own the equity interests in REI. As such, the Carano Family has the ability to significantly influence the affairs of the Company. Donald L. Carano, who was formerly the president and a director of REI, received remuneration in the amount of, $0.3 million and $0.4 million in 2017 and 2016, respectively, for his service to ERI and its subsidiaries. For each of the years ended December 31, 2018, 2017 and 2016, there were no related party transactions between the Company and the Carano Family other than compensation, including salary and equity incentives and the CSY Lease listed below.</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Hotel Casino Management, Inc.</w:t>
      </w:r>
    </w:p>
    <w:p>
      <w:pPr>
        <w:spacing w:after="0" w:line="117" w:lineRule="exact"/>
        <w:rPr>
          <w:sz w:val="20"/>
          <w:szCs w:val="20"/>
          <w:color w:val="auto"/>
        </w:rPr>
      </w:pPr>
    </w:p>
    <w:p>
      <w:pPr>
        <w:ind w:right="140" w:firstLine="555"/>
        <w:spacing w:after="0" w:line="264" w:lineRule="auto"/>
        <w:rPr>
          <w:sz w:val="20"/>
          <w:szCs w:val="20"/>
          <w:color w:val="auto"/>
        </w:rPr>
      </w:pPr>
      <w:r>
        <w:rPr>
          <w:rFonts w:ascii="Arial" w:cs="Arial" w:eastAsia="Arial" w:hAnsi="Arial"/>
          <w:sz w:val="18"/>
          <w:szCs w:val="18"/>
          <w:color w:val="auto"/>
        </w:rPr>
        <w:t>Prior to November 2017, Hotel Casino Management, Inc., which is beneficially owned by members of the Poncia family, including Raymond J. Poncia, owned more than 5% of the outstanding common stock of the Company. Raymond J. Poncia received remuneration in the amount of $0.2 million in each of 2018, 2017 and 2016 for services that he provided to ERI and its subsidiaries.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S. &amp; Y. Associates</w:t>
      </w:r>
    </w:p>
    <w:p>
      <w:pPr>
        <w:spacing w:after="0" w:line="117"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The Company owns the entire parcel on which Eldorado Reno is located, except for approximately 30,000 square feet which is leased from C. S. &amp; Y. Associates which is an entity partially owned by REI (the “CSY Lease”). The CSY Lease expires on June 30, 2057. Rent pursuant to the CSY Lease amounted to $0.6 million in each of the years ended December 31, 2018, 2017 and 2016. As of December 31, 2018 and 2017 there were no amounts due to or from C.S. &amp; Y. Associates.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Segment Information</w:t>
      </w:r>
    </w:p>
    <w:p>
      <w:pPr>
        <w:spacing w:after="0" w:line="121" w:lineRule="exact"/>
        <w:rPr>
          <w:sz w:val="20"/>
          <w:szCs w:val="20"/>
          <w:color w:val="auto"/>
        </w:rPr>
      </w:pPr>
    </w:p>
    <w:p>
      <w:pPr>
        <w:ind w:right="20" w:firstLine="555"/>
        <w:spacing w:after="0" w:line="272" w:lineRule="auto"/>
        <w:rPr>
          <w:sz w:val="20"/>
          <w:szCs w:val="20"/>
          <w:color w:val="auto"/>
        </w:rPr>
      </w:pPr>
      <w:r>
        <w:rPr>
          <w:rFonts w:ascii="Arial" w:cs="Arial" w:eastAsia="Arial" w:hAnsi="Arial"/>
          <w:sz w:val="17"/>
          <w:szCs w:val="17"/>
          <w:color w:val="auto"/>
        </w:rPr>
        <w:t>The following table sets forth, for the period indicated, certain operating data for our reportable segments. The executive decision maker of our Company reviews operating results, assesses performance and makes decisions on a “significant market” basis. Management views each of our casinos as an operating segment. Operating segments are aggregated based on their similar economic characteristics, types of customers, types of services and products provided, and their management and reporting structure. Prior to our acquisition of Isle, our principal operating activities occurred in three geographic regions: Nevada, Louisiana and parts of the eastern United States. Following the Isle Acquisition, the Company’s principal operating activities occurred in four geographic regions and reportable segments: West, Midwest, South and East. Following the Tropicana Acquisition and Elgin Acquisition, and additional segment, Central, was added increasing our reportable segments to five.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22" w:name="page123"/>
    <w:bookmarkEnd w:id="122"/>
    <w:p>
      <w:pPr>
        <w:ind w:left="560"/>
        <w:spacing w:after="0"/>
        <w:rPr>
          <w:sz w:val="20"/>
          <w:szCs w:val="20"/>
          <w:color w:val="auto"/>
        </w:rPr>
      </w:pPr>
      <w:r>
        <w:rPr>
          <w:rFonts w:ascii="Arial" w:cs="Arial" w:eastAsia="Arial" w:hAnsi="Arial"/>
          <w:sz w:val="18"/>
          <w:szCs w:val="18"/>
          <w:color w:val="auto"/>
        </w:rPr>
        <w:t>The following table summarizes our current segments and dates at which each property was aggregated into the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80" w:type="dxa"/>
            <w:vAlign w:val="bottom"/>
            <w:gridSpan w:val="2"/>
          </w:tcPr>
          <w:p>
            <w:pPr>
              <w:ind w:left="920"/>
              <w:spacing w:after="0"/>
              <w:rPr>
                <w:sz w:val="20"/>
                <w:szCs w:val="20"/>
                <w:color w:val="auto"/>
              </w:rPr>
            </w:pPr>
            <w:r>
              <w:rPr>
                <w:rFonts w:ascii="Arial" w:cs="Arial" w:eastAsia="Arial" w:hAnsi="Arial"/>
                <w:sz w:val="14"/>
                <w:szCs w:val="14"/>
                <w:b w:val="1"/>
                <w:bCs w:val="1"/>
                <w:color w:val="auto"/>
              </w:rPr>
              <w:t>Segment</w:t>
            </w:r>
          </w:p>
        </w:tc>
        <w:tc>
          <w:tcPr>
            <w:tcW w:w="4420" w:type="dxa"/>
            <w:vAlign w:val="bottom"/>
            <w:gridSpan w:val="2"/>
          </w:tcPr>
          <w:p>
            <w:pPr>
              <w:ind w:left="1780"/>
              <w:spacing w:after="0"/>
              <w:rPr>
                <w:sz w:val="20"/>
                <w:szCs w:val="20"/>
                <w:color w:val="auto"/>
              </w:rPr>
            </w:pPr>
            <w:r>
              <w:rPr>
                <w:rFonts w:ascii="Arial" w:cs="Arial" w:eastAsia="Arial" w:hAnsi="Arial"/>
                <w:sz w:val="14"/>
                <w:szCs w:val="14"/>
                <w:b w:val="1"/>
                <w:bCs w:val="1"/>
                <w:color w:val="auto"/>
              </w:rPr>
              <w:t>Property</w:t>
            </w:r>
          </w:p>
        </w:tc>
        <w:tc>
          <w:tcPr>
            <w:tcW w:w="2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Date Acquired</w:t>
            </w:r>
          </w:p>
        </w:tc>
        <w:tc>
          <w:tcPr>
            <w:tcW w:w="1840" w:type="dxa"/>
            <w:vAlign w:val="bottom"/>
          </w:tcPr>
          <w:p>
            <w:pPr>
              <w:ind w:left="760"/>
              <w:spacing w:after="0"/>
              <w:rPr>
                <w:sz w:val="20"/>
                <w:szCs w:val="20"/>
                <w:color w:val="auto"/>
              </w:rPr>
            </w:pPr>
            <w:r>
              <w:rPr>
                <w:rFonts w:ascii="Arial" w:cs="Arial" w:eastAsia="Arial" w:hAnsi="Arial"/>
                <w:sz w:val="14"/>
                <w:szCs w:val="14"/>
                <w:b w:val="1"/>
                <w:bCs w:val="1"/>
                <w:color w:val="auto"/>
              </w:rPr>
              <w:t>State</w:t>
            </w:r>
          </w:p>
        </w:tc>
      </w:tr>
      <w:tr>
        <w:trPr>
          <w:trHeight w:val="223"/>
        </w:trPr>
        <w:tc>
          <w:tcPr>
            <w:tcW w:w="238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300" w:type="dxa"/>
            <w:vAlign w:val="bottom"/>
            <w:tcBorders>
              <w:top w:val="single" w:sz="8" w:color="CFF0FC"/>
            </w:tcBorders>
            <w:shd w:val="clear" w:color="auto" w:fill="CFF0FC"/>
          </w:tcPr>
          <w:p>
            <w:pPr>
              <w:spacing w:after="0"/>
              <w:rPr>
                <w:sz w:val="19"/>
                <w:szCs w:val="19"/>
                <w:color w:val="auto"/>
              </w:rPr>
            </w:pPr>
          </w:p>
        </w:tc>
        <w:tc>
          <w:tcPr>
            <w:tcW w:w="410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Eldorado Reno</w:t>
            </w:r>
          </w:p>
        </w:tc>
        <w:tc>
          <w:tcPr>
            <w:tcW w:w="320" w:type="dxa"/>
            <w:vAlign w:val="bottom"/>
            <w:tcBorders>
              <w:top w:val="single" w:sz="8" w:color="CFF0FC"/>
            </w:tcBorders>
            <w:shd w:val="clear" w:color="auto" w:fill="CFF0FC"/>
          </w:tcPr>
          <w:p>
            <w:pPr>
              <w:spacing w:after="0"/>
              <w:rPr>
                <w:sz w:val="19"/>
                <w:szCs w:val="19"/>
                <w:color w:val="auto"/>
              </w:rPr>
            </w:pPr>
          </w:p>
        </w:tc>
        <w:tc>
          <w:tcPr>
            <w:tcW w:w="21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(a)</w:t>
            </w:r>
          </w:p>
        </w:tc>
        <w:tc>
          <w:tcPr>
            <w:tcW w:w="300" w:type="dxa"/>
            <w:vAlign w:val="bottom"/>
            <w:tcBorders>
              <w:top w:val="single" w:sz="8" w:color="CFF0FC"/>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Nevada</w:t>
            </w:r>
          </w:p>
        </w:tc>
      </w:tr>
      <w:tr>
        <w:trPr>
          <w:trHeight w:val="230"/>
        </w:trPr>
        <w:tc>
          <w:tcPr>
            <w:tcW w:w="2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Silver Legacy</w:t>
            </w:r>
          </w:p>
        </w:tc>
        <w:tc>
          <w:tcPr>
            <w:tcW w:w="24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(a)</w:t>
            </w:r>
          </w:p>
        </w:tc>
        <w:tc>
          <w:tcPr>
            <w:tcW w:w="1840" w:type="dxa"/>
            <w:vAlign w:val="bottom"/>
          </w:tcPr>
          <w:p>
            <w:pPr>
              <w:ind w:left="260"/>
              <w:spacing w:after="0"/>
              <w:rPr>
                <w:sz w:val="20"/>
                <w:szCs w:val="20"/>
                <w:color w:val="auto"/>
              </w:rPr>
            </w:pPr>
            <w:r>
              <w:rPr>
                <w:rFonts w:ascii="Arial" w:cs="Arial" w:eastAsia="Arial" w:hAnsi="Arial"/>
                <w:sz w:val="18"/>
                <w:szCs w:val="18"/>
                <w:color w:val="auto"/>
              </w:rPr>
              <w:t>Nevada</w:t>
            </w:r>
          </w:p>
        </w:tc>
      </w:tr>
      <w:tr>
        <w:trPr>
          <w:trHeight w:val="230"/>
        </w:trPr>
        <w:tc>
          <w:tcPr>
            <w:tcW w:w="2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Circus Reno</w:t>
            </w:r>
          </w:p>
        </w:tc>
        <w:tc>
          <w:tcPr>
            <w:tcW w:w="248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0"/>
              </w:rPr>
              <w:t>(a)</w:t>
            </w:r>
          </w:p>
        </w:tc>
        <w:tc>
          <w:tcPr>
            <w:tcW w:w="1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Nevada</w:t>
            </w:r>
          </w:p>
        </w:tc>
      </w:tr>
      <w:tr>
        <w:trPr>
          <w:trHeight w:val="230"/>
        </w:trPr>
        <w:tc>
          <w:tcPr>
            <w:tcW w:w="2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MontBleu</w:t>
            </w:r>
          </w:p>
        </w:tc>
        <w:tc>
          <w:tcPr>
            <w:tcW w:w="24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October 1, 2018</w:t>
            </w:r>
          </w:p>
        </w:tc>
        <w:tc>
          <w:tcPr>
            <w:tcW w:w="1840" w:type="dxa"/>
            <w:vAlign w:val="bottom"/>
          </w:tcPr>
          <w:p>
            <w:pPr>
              <w:ind w:left="260"/>
              <w:spacing w:after="0"/>
              <w:rPr>
                <w:sz w:val="20"/>
                <w:szCs w:val="20"/>
                <w:color w:val="auto"/>
              </w:rPr>
            </w:pPr>
            <w:r>
              <w:rPr>
                <w:rFonts w:ascii="Arial" w:cs="Arial" w:eastAsia="Arial" w:hAnsi="Arial"/>
                <w:sz w:val="18"/>
                <w:szCs w:val="18"/>
                <w:color w:val="auto"/>
              </w:rPr>
              <w:t>Nevada</w:t>
            </w:r>
          </w:p>
        </w:tc>
      </w:tr>
      <w:tr>
        <w:trPr>
          <w:trHeight w:val="230"/>
        </w:trPr>
        <w:tc>
          <w:tcPr>
            <w:tcW w:w="2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Laughlin</w:t>
            </w:r>
          </w:p>
        </w:tc>
        <w:tc>
          <w:tcPr>
            <w:tcW w:w="248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89"/>
              </w:rPr>
              <w:t>October 1, 2018</w:t>
            </w:r>
          </w:p>
        </w:tc>
        <w:tc>
          <w:tcPr>
            <w:tcW w:w="1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Nevada</w:t>
            </w:r>
          </w:p>
        </w:tc>
      </w:tr>
      <w:tr>
        <w:trPr>
          <w:trHeight w:val="230"/>
        </w:trPr>
        <w:tc>
          <w:tcPr>
            <w:tcW w:w="2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Isle Black Hawk</w:t>
            </w:r>
          </w:p>
        </w:tc>
        <w:tc>
          <w:tcPr>
            <w:tcW w:w="24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May 1, 2017</w:t>
            </w:r>
          </w:p>
        </w:tc>
        <w:tc>
          <w:tcPr>
            <w:tcW w:w="1840" w:type="dxa"/>
            <w:vAlign w:val="bottom"/>
          </w:tcPr>
          <w:p>
            <w:pPr>
              <w:ind w:left="260"/>
              <w:spacing w:after="0"/>
              <w:rPr>
                <w:sz w:val="20"/>
                <w:szCs w:val="20"/>
                <w:color w:val="auto"/>
              </w:rPr>
            </w:pPr>
            <w:r>
              <w:rPr>
                <w:rFonts w:ascii="Arial" w:cs="Arial" w:eastAsia="Arial" w:hAnsi="Arial"/>
                <w:sz w:val="18"/>
                <w:szCs w:val="18"/>
                <w:color w:val="auto"/>
              </w:rPr>
              <w:t>Colorado</w:t>
            </w:r>
          </w:p>
        </w:tc>
      </w:tr>
      <w:tr>
        <w:trPr>
          <w:trHeight w:val="230"/>
        </w:trPr>
        <w:tc>
          <w:tcPr>
            <w:tcW w:w="2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Lady Luck Black Hawk</w:t>
            </w:r>
          </w:p>
        </w:tc>
        <w:tc>
          <w:tcPr>
            <w:tcW w:w="248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2"/>
              </w:rPr>
              <w:t>May 1, 2017</w:t>
            </w:r>
          </w:p>
        </w:tc>
        <w:tc>
          <w:tcPr>
            <w:tcW w:w="1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Colorado</w:t>
            </w:r>
          </w:p>
        </w:tc>
      </w:tr>
      <w:tr>
        <w:trPr>
          <w:trHeight w:val="230"/>
        </w:trPr>
        <w:tc>
          <w:tcPr>
            <w:tcW w:w="2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2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44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Waterloo</w:t>
            </w:r>
          </w:p>
        </w:tc>
        <w:tc>
          <w:tcPr>
            <w:tcW w:w="248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2"/>
              </w:rPr>
              <w:t>May 1, 2017</w:t>
            </w:r>
          </w:p>
        </w:tc>
        <w:tc>
          <w:tcPr>
            <w:tcW w:w="1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Iowa</w:t>
            </w:r>
          </w:p>
        </w:tc>
      </w:tr>
      <w:tr>
        <w:trPr>
          <w:trHeight w:val="230"/>
        </w:trPr>
        <w:tc>
          <w:tcPr>
            <w:tcW w:w="2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Bettendorf</w:t>
            </w:r>
          </w:p>
        </w:tc>
        <w:tc>
          <w:tcPr>
            <w:tcW w:w="24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May 1, 2017</w:t>
            </w:r>
          </w:p>
        </w:tc>
        <w:tc>
          <w:tcPr>
            <w:tcW w:w="1840" w:type="dxa"/>
            <w:vAlign w:val="bottom"/>
          </w:tcPr>
          <w:p>
            <w:pPr>
              <w:ind w:left="260"/>
              <w:spacing w:after="0"/>
              <w:rPr>
                <w:sz w:val="20"/>
                <w:szCs w:val="20"/>
                <w:color w:val="auto"/>
              </w:rPr>
            </w:pPr>
            <w:r>
              <w:rPr>
                <w:rFonts w:ascii="Arial" w:cs="Arial" w:eastAsia="Arial" w:hAnsi="Arial"/>
                <w:sz w:val="18"/>
                <w:szCs w:val="18"/>
                <w:color w:val="auto"/>
              </w:rPr>
              <w:t>Iowa</w:t>
            </w:r>
          </w:p>
        </w:tc>
      </w:tr>
      <w:tr>
        <w:trPr>
          <w:trHeight w:val="230"/>
        </w:trPr>
        <w:tc>
          <w:tcPr>
            <w:tcW w:w="2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Boonville</w:t>
            </w:r>
          </w:p>
        </w:tc>
        <w:tc>
          <w:tcPr>
            <w:tcW w:w="248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2"/>
              </w:rPr>
              <w:t>May 1, 2017</w:t>
            </w:r>
          </w:p>
        </w:tc>
        <w:tc>
          <w:tcPr>
            <w:tcW w:w="1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Missouri</w:t>
            </w:r>
          </w:p>
        </w:tc>
      </w:tr>
      <w:tr>
        <w:trPr>
          <w:trHeight w:val="230"/>
        </w:trPr>
        <w:tc>
          <w:tcPr>
            <w:tcW w:w="2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Cape Girardeau</w:t>
            </w:r>
          </w:p>
        </w:tc>
        <w:tc>
          <w:tcPr>
            <w:tcW w:w="24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May 1, 2017</w:t>
            </w:r>
          </w:p>
        </w:tc>
        <w:tc>
          <w:tcPr>
            <w:tcW w:w="1840" w:type="dxa"/>
            <w:vAlign w:val="bottom"/>
          </w:tcPr>
          <w:p>
            <w:pPr>
              <w:ind w:left="260"/>
              <w:spacing w:after="0"/>
              <w:rPr>
                <w:sz w:val="20"/>
                <w:szCs w:val="20"/>
                <w:color w:val="auto"/>
              </w:rPr>
            </w:pPr>
            <w:r>
              <w:rPr>
                <w:rFonts w:ascii="Arial" w:cs="Arial" w:eastAsia="Arial" w:hAnsi="Arial"/>
                <w:sz w:val="18"/>
                <w:szCs w:val="18"/>
                <w:color w:val="auto"/>
              </w:rPr>
              <w:t>Missouri</w:t>
            </w:r>
          </w:p>
        </w:tc>
      </w:tr>
      <w:tr>
        <w:trPr>
          <w:trHeight w:val="230"/>
        </w:trPr>
        <w:tc>
          <w:tcPr>
            <w:tcW w:w="2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Caruthersville</w:t>
            </w:r>
          </w:p>
        </w:tc>
        <w:tc>
          <w:tcPr>
            <w:tcW w:w="248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2"/>
              </w:rPr>
              <w:t>May 1, 2017</w:t>
            </w:r>
          </w:p>
        </w:tc>
        <w:tc>
          <w:tcPr>
            <w:tcW w:w="1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Missouri</w:t>
            </w:r>
          </w:p>
        </w:tc>
      </w:tr>
      <w:tr>
        <w:trPr>
          <w:trHeight w:val="230"/>
        </w:trPr>
        <w:tc>
          <w:tcPr>
            <w:tcW w:w="2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Kansas City</w:t>
            </w:r>
          </w:p>
        </w:tc>
        <w:tc>
          <w:tcPr>
            <w:tcW w:w="24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May 1, 2017</w:t>
            </w:r>
          </w:p>
        </w:tc>
        <w:tc>
          <w:tcPr>
            <w:tcW w:w="1840" w:type="dxa"/>
            <w:vAlign w:val="bottom"/>
          </w:tcPr>
          <w:p>
            <w:pPr>
              <w:ind w:left="260"/>
              <w:spacing w:after="0"/>
              <w:rPr>
                <w:sz w:val="20"/>
                <w:szCs w:val="20"/>
                <w:color w:val="auto"/>
              </w:rPr>
            </w:pPr>
            <w:r>
              <w:rPr>
                <w:rFonts w:ascii="Arial" w:cs="Arial" w:eastAsia="Arial" w:hAnsi="Arial"/>
                <w:sz w:val="18"/>
                <w:szCs w:val="18"/>
                <w:color w:val="auto"/>
              </w:rPr>
              <w:t>Missouri</w:t>
            </w:r>
          </w:p>
        </w:tc>
      </w:tr>
      <w:tr>
        <w:trPr>
          <w:trHeight w:val="230"/>
        </w:trPr>
        <w:tc>
          <w:tcPr>
            <w:tcW w:w="2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r>
      <w:tr>
        <w:trPr>
          <w:trHeight w:val="230"/>
        </w:trPr>
        <w:tc>
          <w:tcPr>
            <w:tcW w:w="2680" w:type="dxa"/>
            <w:vAlign w:val="bottom"/>
            <w:gridSpan w:val="2"/>
          </w:tcPr>
          <w:p>
            <w:pPr>
              <w:ind w:left="260"/>
              <w:spacing w:after="0"/>
              <w:rPr>
                <w:sz w:val="20"/>
                <w:szCs w:val="20"/>
                <w:color w:val="auto"/>
              </w:rPr>
            </w:pPr>
            <w:r>
              <w:rPr>
                <w:rFonts w:ascii="Arial" w:cs="Arial" w:eastAsia="Arial" w:hAnsi="Arial"/>
                <w:sz w:val="18"/>
                <w:szCs w:val="18"/>
                <w:color w:val="auto"/>
              </w:rPr>
              <w:t>South</w:t>
            </w: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Pompano</w:t>
            </w:r>
          </w:p>
        </w:tc>
        <w:tc>
          <w:tcPr>
            <w:tcW w:w="24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May 1, 2017</w:t>
            </w:r>
          </w:p>
        </w:tc>
        <w:tc>
          <w:tcPr>
            <w:tcW w:w="1840" w:type="dxa"/>
            <w:vAlign w:val="bottom"/>
          </w:tcPr>
          <w:p>
            <w:pPr>
              <w:ind w:left="260"/>
              <w:spacing w:after="0"/>
              <w:rPr>
                <w:sz w:val="20"/>
                <w:szCs w:val="20"/>
                <w:color w:val="auto"/>
              </w:rPr>
            </w:pPr>
            <w:r>
              <w:rPr>
                <w:rFonts w:ascii="Arial" w:cs="Arial" w:eastAsia="Arial" w:hAnsi="Arial"/>
                <w:sz w:val="18"/>
                <w:szCs w:val="18"/>
                <w:color w:val="auto"/>
              </w:rPr>
              <w:t>Florida</w:t>
            </w:r>
          </w:p>
        </w:tc>
      </w:tr>
      <w:tr>
        <w:trPr>
          <w:trHeight w:val="230"/>
        </w:trPr>
        <w:tc>
          <w:tcPr>
            <w:tcW w:w="2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Eldorado Shreveport</w:t>
            </w:r>
          </w:p>
        </w:tc>
        <w:tc>
          <w:tcPr>
            <w:tcW w:w="248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0"/>
              </w:rPr>
              <w:t>(a)</w:t>
            </w:r>
          </w:p>
        </w:tc>
        <w:tc>
          <w:tcPr>
            <w:tcW w:w="1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Louisiana</w:t>
            </w:r>
          </w:p>
        </w:tc>
      </w:tr>
      <w:tr>
        <w:trPr>
          <w:trHeight w:val="230"/>
        </w:trPr>
        <w:tc>
          <w:tcPr>
            <w:tcW w:w="2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Lake Charles</w:t>
            </w:r>
          </w:p>
        </w:tc>
        <w:tc>
          <w:tcPr>
            <w:tcW w:w="24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May 1, 2017</w:t>
            </w:r>
          </w:p>
        </w:tc>
        <w:tc>
          <w:tcPr>
            <w:tcW w:w="1840" w:type="dxa"/>
            <w:vAlign w:val="bottom"/>
          </w:tcPr>
          <w:p>
            <w:pPr>
              <w:ind w:left="260"/>
              <w:spacing w:after="0"/>
              <w:rPr>
                <w:sz w:val="20"/>
                <w:szCs w:val="20"/>
                <w:color w:val="auto"/>
              </w:rPr>
            </w:pPr>
            <w:r>
              <w:rPr>
                <w:rFonts w:ascii="Arial" w:cs="Arial" w:eastAsia="Arial" w:hAnsi="Arial"/>
                <w:sz w:val="18"/>
                <w:szCs w:val="18"/>
                <w:color w:val="auto"/>
              </w:rPr>
              <w:t>Louisiana</w:t>
            </w:r>
          </w:p>
        </w:tc>
      </w:tr>
      <w:tr>
        <w:trPr>
          <w:trHeight w:val="230"/>
        </w:trPr>
        <w:tc>
          <w:tcPr>
            <w:tcW w:w="2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Baton Rouge</w:t>
            </w:r>
          </w:p>
        </w:tc>
        <w:tc>
          <w:tcPr>
            <w:tcW w:w="248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89"/>
              </w:rPr>
              <w:t>October 1, 2018</w:t>
            </w:r>
          </w:p>
        </w:tc>
        <w:tc>
          <w:tcPr>
            <w:tcW w:w="1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Louisiana</w:t>
            </w:r>
          </w:p>
        </w:tc>
      </w:tr>
      <w:tr>
        <w:trPr>
          <w:trHeight w:val="230"/>
        </w:trPr>
        <w:tc>
          <w:tcPr>
            <w:tcW w:w="2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Lula</w:t>
            </w:r>
          </w:p>
        </w:tc>
        <w:tc>
          <w:tcPr>
            <w:tcW w:w="24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May 1, 2017</w:t>
            </w:r>
          </w:p>
        </w:tc>
        <w:tc>
          <w:tcPr>
            <w:tcW w:w="1840" w:type="dxa"/>
            <w:vAlign w:val="bottom"/>
          </w:tcPr>
          <w:p>
            <w:pPr>
              <w:ind w:left="260"/>
              <w:spacing w:after="0"/>
              <w:rPr>
                <w:sz w:val="20"/>
                <w:szCs w:val="20"/>
                <w:color w:val="auto"/>
              </w:rPr>
            </w:pPr>
            <w:r>
              <w:rPr>
                <w:rFonts w:ascii="Arial" w:cs="Arial" w:eastAsia="Arial" w:hAnsi="Arial"/>
                <w:sz w:val="18"/>
                <w:szCs w:val="18"/>
                <w:color w:val="auto"/>
              </w:rPr>
              <w:t>Mississippi</w:t>
            </w:r>
          </w:p>
        </w:tc>
      </w:tr>
      <w:tr>
        <w:trPr>
          <w:trHeight w:val="230"/>
        </w:trPr>
        <w:tc>
          <w:tcPr>
            <w:tcW w:w="2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Vicksburg</w:t>
            </w:r>
          </w:p>
        </w:tc>
        <w:tc>
          <w:tcPr>
            <w:tcW w:w="248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2"/>
              </w:rPr>
              <w:t>May 1, 2017</w:t>
            </w:r>
          </w:p>
        </w:tc>
        <w:tc>
          <w:tcPr>
            <w:tcW w:w="1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Mississippi</w:t>
            </w:r>
          </w:p>
        </w:tc>
      </w:tr>
      <w:tr>
        <w:trPr>
          <w:trHeight w:val="230"/>
        </w:trPr>
        <w:tc>
          <w:tcPr>
            <w:tcW w:w="2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Greenville</w:t>
            </w:r>
          </w:p>
        </w:tc>
        <w:tc>
          <w:tcPr>
            <w:tcW w:w="24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October 1, 2018</w:t>
            </w:r>
          </w:p>
        </w:tc>
        <w:tc>
          <w:tcPr>
            <w:tcW w:w="1840" w:type="dxa"/>
            <w:vAlign w:val="bottom"/>
          </w:tcPr>
          <w:p>
            <w:pPr>
              <w:ind w:left="260"/>
              <w:spacing w:after="0"/>
              <w:rPr>
                <w:sz w:val="20"/>
                <w:szCs w:val="20"/>
                <w:color w:val="auto"/>
              </w:rPr>
            </w:pPr>
            <w:r>
              <w:rPr>
                <w:rFonts w:ascii="Arial" w:cs="Arial" w:eastAsia="Arial" w:hAnsi="Arial"/>
                <w:sz w:val="18"/>
                <w:szCs w:val="18"/>
                <w:color w:val="auto"/>
              </w:rPr>
              <w:t>Mississippi</w:t>
            </w:r>
          </w:p>
        </w:tc>
      </w:tr>
      <w:tr>
        <w:trPr>
          <w:trHeight w:val="230"/>
        </w:trPr>
        <w:tc>
          <w:tcPr>
            <w:tcW w:w="2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r>
      <w:tr>
        <w:trPr>
          <w:trHeight w:val="230"/>
        </w:trPr>
        <w:tc>
          <w:tcPr>
            <w:tcW w:w="2680" w:type="dxa"/>
            <w:vAlign w:val="bottom"/>
            <w:gridSpan w:val="2"/>
          </w:tcPr>
          <w:p>
            <w:pPr>
              <w:ind w:left="260"/>
              <w:spacing w:after="0"/>
              <w:rPr>
                <w:sz w:val="20"/>
                <w:szCs w:val="20"/>
                <w:color w:val="auto"/>
              </w:rPr>
            </w:pPr>
            <w:r>
              <w:rPr>
                <w:rFonts w:ascii="Arial" w:cs="Arial" w:eastAsia="Arial" w:hAnsi="Arial"/>
                <w:sz w:val="18"/>
                <w:szCs w:val="18"/>
                <w:color w:val="auto"/>
              </w:rPr>
              <w:t>East</w:t>
            </w: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Presque Isle Downs</w:t>
            </w:r>
          </w:p>
        </w:tc>
        <w:tc>
          <w:tcPr>
            <w:tcW w:w="24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(a)</w:t>
            </w:r>
          </w:p>
        </w:tc>
        <w:tc>
          <w:tcPr>
            <w:tcW w:w="1840" w:type="dxa"/>
            <w:vAlign w:val="bottom"/>
          </w:tcPr>
          <w:p>
            <w:pPr>
              <w:ind w:left="260"/>
              <w:spacing w:after="0"/>
              <w:rPr>
                <w:sz w:val="20"/>
                <w:szCs w:val="20"/>
                <w:color w:val="auto"/>
              </w:rPr>
            </w:pPr>
            <w:r>
              <w:rPr>
                <w:rFonts w:ascii="Arial" w:cs="Arial" w:eastAsia="Arial" w:hAnsi="Arial"/>
                <w:sz w:val="18"/>
                <w:szCs w:val="18"/>
                <w:color w:val="auto"/>
              </w:rPr>
              <w:t>Pennsylvania</w:t>
            </w:r>
          </w:p>
        </w:tc>
      </w:tr>
      <w:tr>
        <w:trPr>
          <w:trHeight w:val="230"/>
        </w:trPr>
        <w:tc>
          <w:tcPr>
            <w:tcW w:w="2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Nemacolin</w:t>
            </w:r>
          </w:p>
        </w:tc>
        <w:tc>
          <w:tcPr>
            <w:tcW w:w="248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2"/>
              </w:rPr>
              <w:t>May 1, 2017</w:t>
            </w:r>
          </w:p>
        </w:tc>
        <w:tc>
          <w:tcPr>
            <w:tcW w:w="1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Pennsylvania</w:t>
            </w:r>
          </w:p>
        </w:tc>
      </w:tr>
      <w:tr>
        <w:trPr>
          <w:trHeight w:val="230"/>
        </w:trPr>
        <w:tc>
          <w:tcPr>
            <w:tcW w:w="2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Scioto Downs</w:t>
            </w:r>
          </w:p>
        </w:tc>
        <w:tc>
          <w:tcPr>
            <w:tcW w:w="24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(a)</w:t>
            </w:r>
          </w:p>
        </w:tc>
        <w:tc>
          <w:tcPr>
            <w:tcW w:w="1840" w:type="dxa"/>
            <w:vAlign w:val="bottom"/>
          </w:tcPr>
          <w:p>
            <w:pPr>
              <w:ind w:left="260"/>
              <w:spacing w:after="0"/>
              <w:rPr>
                <w:sz w:val="20"/>
                <w:szCs w:val="20"/>
                <w:color w:val="auto"/>
              </w:rPr>
            </w:pPr>
            <w:r>
              <w:rPr>
                <w:rFonts w:ascii="Arial" w:cs="Arial" w:eastAsia="Arial" w:hAnsi="Arial"/>
                <w:sz w:val="18"/>
                <w:szCs w:val="18"/>
                <w:color w:val="auto"/>
              </w:rPr>
              <w:t>Ohio</w:t>
            </w:r>
          </w:p>
        </w:tc>
      </w:tr>
      <w:tr>
        <w:trPr>
          <w:trHeight w:val="230"/>
        </w:trPr>
        <w:tc>
          <w:tcPr>
            <w:tcW w:w="2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Mountaineer</w:t>
            </w:r>
          </w:p>
        </w:tc>
        <w:tc>
          <w:tcPr>
            <w:tcW w:w="248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0"/>
              </w:rPr>
              <w:t>(a)</w:t>
            </w:r>
          </w:p>
        </w:tc>
        <w:tc>
          <w:tcPr>
            <w:tcW w:w="1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West Virginia</w:t>
            </w:r>
          </w:p>
        </w:tc>
      </w:tr>
      <w:tr>
        <w:trPr>
          <w:trHeight w:val="230"/>
        </w:trPr>
        <w:tc>
          <w:tcPr>
            <w:tcW w:w="2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Trop AC</w:t>
            </w:r>
          </w:p>
        </w:tc>
        <w:tc>
          <w:tcPr>
            <w:tcW w:w="24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October 1, 2018</w:t>
            </w:r>
          </w:p>
        </w:tc>
        <w:tc>
          <w:tcPr>
            <w:tcW w:w="1840" w:type="dxa"/>
            <w:vAlign w:val="bottom"/>
          </w:tcPr>
          <w:p>
            <w:pPr>
              <w:ind w:left="260"/>
              <w:spacing w:after="0"/>
              <w:rPr>
                <w:sz w:val="20"/>
                <w:szCs w:val="20"/>
                <w:color w:val="auto"/>
              </w:rPr>
            </w:pPr>
            <w:r>
              <w:rPr>
                <w:rFonts w:ascii="Arial" w:cs="Arial" w:eastAsia="Arial" w:hAnsi="Arial"/>
                <w:sz w:val="18"/>
                <w:szCs w:val="18"/>
                <w:color w:val="auto"/>
              </w:rPr>
              <w:t>New Jersey</w:t>
            </w:r>
          </w:p>
        </w:tc>
      </w:tr>
      <w:tr>
        <w:trPr>
          <w:trHeight w:val="230"/>
        </w:trPr>
        <w:tc>
          <w:tcPr>
            <w:tcW w:w="2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r>
      <w:tr>
        <w:trPr>
          <w:trHeight w:val="230"/>
        </w:trPr>
        <w:tc>
          <w:tcPr>
            <w:tcW w:w="2680" w:type="dxa"/>
            <w:vAlign w:val="bottom"/>
            <w:gridSpan w:val="2"/>
          </w:tcPr>
          <w:p>
            <w:pPr>
              <w:ind w:left="260"/>
              <w:spacing w:after="0"/>
              <w:rPr>
                <w:sz w:val="20"/>
                <w:szCs w:val="20"/>
                <w:color w:val="auto"/>
              </w:rPr>
            </w:pPr>
            <w:r>
              <w:rPr>
                <w:rFonts w:ascii="Arial" w:cs="Arial" w:eastAsia="Arial" w:hAnsi="Arial"/>
                <w:sz w:val="18"/>
                <w:szCs w:val="18"/>
                <w:color w:val="auto"/>
              </w:rPr>
              <w:t>Central</w:t>
            </w: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Elgin</w:t>
            </w:r>
          </w:p>
        </w:tc>
        <w:tc>
          <w:tcPr>
            <w:tcW w:w="24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August 7, 2018</w:t>
            </w:r>
          </w:p>
        </w:tc>
        <w:tc>
          <w:tcPr>
            <w:tcW w:w="1840" w:type="dxa"/>
            <w:vAlign w:val="bottom"/>
          </w:tcPr>
          <w:p>
            <w:pPr>
              <w:ind w:left="260"/>
              <w:spacing w:after="0"/>
              <w:rPr>
                <w:sz w:val="20"/>
                <w:szCs w:val="20"/>
                <w:color w:val="auto"/>
              </w:rPr>
            </w:pPr>
            <w:r>
              <w:rPr>
                <w:rFonts w:ascii="Arial" w:cs="Arial" w:eastAsia="Arial" w:hAnsi="Arial"/>
                <w:sz w:val="18"/>
                <w:szCs w:val="18"/>
                <w:color w:val="auto"/>
              </w:rPr>
              <w:t>Illinois</w:t>
            </w:r>
          </w:p>
        </w:tc>
      </w:tr>
      <w:tr>
        <w:trPr>
          <w:trHeight w:val="230"/>
        </w:trPr>
        <w:tc>
          <w:tcPr>
            <w:tcW w:w="2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Lumière</w:t>
            </w:r>
          </w:p>
        </w:tc>
        <w:tc>
          <w:tcPr>
            <w:tcW w:w="248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89"/>
              </w:rPr>
              <w:t>October 1, 2018</w:t>
            </w:r>
          </w:p>
        </w:tc>
        <w:tc>
          <w:tcPr>
            <w:tcW w:w="1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Missouri</w:t>
            </w:r>
          </w:p>
        </w:tc>
      </w:tr>
      <w:tr>
        <w:trPr>
          <w:trHeight w:val="230"/>
        </w:trPr>
        <w:tc>
          <w:tcPr>
            <w:tcW w:w="2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Evansville</w:t>
            </w:r>
          </w:p>
        </w:tc>
        <w:tc>
          <w:tcPr>
            <w:tcW w:w="24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October 1, 2018</w:t>
            </w:r>
          </w:p>
        </w:tc>
        <w:tc>
          <w:tcPr>
            <w:tcW w:w="1840" w:type="dxa"/>
            <w:vAlign w:val="bottom"/>
          </w:tcPr>
          <w:p>
            <w:pPr>
              <w:ind w:left="260"/>
              <w:spacing w:after="0"/>
              <w:rPr>
                <w:sz w:val="20"/>
                <w:szCs w:val="20"/>
                <w:color w:val="auto"/>
              </w:rPr>
            </w:pPr>
            <w:r>
              <w:rPr>
                <w:rFonts w:ascii="Arial" w:cs="Arial" w:eastAsia="Arial" w:hAnsi="Arial"/>
                <w:sz w:val="18"/>
                <w:szCs w:val="18"/>
                <w:color w:val="auto"/>
              </w:rPr>
              <w:t>Indiana</w:t>
            </w:r>
          </w:p>
        </w:tc>
      </w:tr>
    </w:tbl>
    <w:p>
      <w:pPr>
        <w:spacing w:after="0" w:line="93" w:lineRule="exact"/>
        <w:rPr>
          <w:sz w:val="20"/>
          <w:szCs w:val="20"/>
          <w:color w:val="auto"/>
        </w:rPr>
      </w:pPr>
    </w:p>
    <w:p>
      <w:pPr>
        <w:ind w:left="560" w:hanging="552"/>
        <w:spacing w:after="0"/>
        <w:tabs>
          <w:tab w:leader="none" w:pos="5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Property was aggregated into segment prior to January 1, 2016.</w:t>
      </w:r>
    </w:p>
    <w:p>
      <w:pPr>
        <w:spacing w:after="0" w:line="230"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For the Year</w:t>
      </w:r>
    </w:p>
    <w:p>
      <w:pPr>
        <w:jc w:val="center"/>
        <w:ind w:left="6280"/>
        <w:spacing w:after="0" w:line="236" w:lineRule="auto"/>
        <w:rPr>
          <w:sz w:val="20"/>
          <w:szCs w:val="20"/>
          <w:color w:val="auto"/>
        </w:rPr>
      </w:pPr>
      <w:r>
        <w:rPr>
          <w:rFonts w:ascii="Arial" w:cs="Arial" w:eastAsia="Arial" w:hAnsi="Arial"/>
          <w:sz w:val="14"/>
          <w:szCs w:val="14"/>
          <w:b w:val="1"/>
          <w:bCs w:val="1"/>
          <w:color w:val="auto"/>
        </w:rPr>
        <w:t>Ended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8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194"/>
              <w:spacing w:after="0" w:line="155" w:lineRule="exact"/>
              <w:rPr>
                <w:sz w:val="20"/>
                <w:szCs w:val="20"/>
                <w:color w:val="auto"/>
              </w:rPr>
            </w:pPr>
            <w:r>
              <w:rPr>
                <w:rFonts w:ascii="Arial" w:cs="Arial" w:eastAsia="Arial" w:hAnsi="Arial"/>
                <w:sz w:val="14"/>
                <w:szCs w:val="14"/>
                <w:b w:val="1"/>
                <w:bCs w:val="1"/>
                <w:color w:val="auto"/>
                <w:w w:val="99"/>
              </w:rPr>
              <w:t>(in thousands)</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Capital Expenditures, Net</w:t>
            </w:r>
          </w:p>
        </w:tc>
        <w:tc>
          <w:tcPr>
            <w:tcW w:w="2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140"/>
              <w:spacing w:after="0"/>
              <w:rPr>
                <w:sz w:val="20"/>
                <w:szCs w:val="20"/>
                <w:color w:val="auto"/>
              </w:rPr>
            </w:pPr>
            <w:r>
              <w:rPr>
                <w:rFonts w:ascii="Arial" w:cs="Arial" w:eastAsia="Arial" w:hAnsi="Arial"/>
                <w:sz w:val="18"/>
                <w:szCs w:val="18"/>
                <w:color w:val="auto"/>
              </w:rPr>
              <w:t>West</w:t>
            </w:r>
          </w:p>
        </w:tc>
        <w:tc>
          <w:tcPr>
            <w:tcW w:w="29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75,297</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44,952</w:t>
            </w:r>
          </w:p>
        </w:tc>
        <w:tc>
          <w:tcPr>
            <w:tcW w:w="6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22,812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Midwest</w:t>
            </w:r>
          </w:p>
        </w:tc>
        <w:tc>
          <w:tcPr>
            <w:tcW w:w="2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18,889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9,115</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140"/>
              <w:spacing w:after="0"/>
              <w:rPr>
                <w:sz w:val="20"/>
                <w:szCs w:val="20"/>
                <w:color w:val="auto"/>
              </w:rPr>
            </w:pPr>
            <w:r>
              <w:rPr>
                <w:rFonts w:ascii="Arial" w:cs="Arial" w:eastAsia="Arial" w:hAnsi="Arial"/>
                <w:sz w:val="18"/>
                <w:szCs w:val="18"/>
                <w:color w:val="auto"/>
              </w:rPr>
              <w:t>South</w:t>
            </w:r>
          </w:p>
        </w:tc>
        <w:tc>
          <w:tcPr>
            <w:tcW w:w="2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18,149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7,672</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5,842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East</w:t>
            </w:r>
          </w:p>
        </w:tc>
        <w:tc>
          <w:tcPr>
            <w:tcW w:w="2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19,334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9,794</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140"/>
              <w:spacing w:after="0"/>
              <w:rPr>
                <w:sz w:val="20"/>
                <w:szCs w:val="20"/>
                <w:color w:val="auto"/>
              </w:rPr>
            </w:pPr>
            <w:r>
              <w:rPr>
                <w:rFonts w:ascii="Arial" w:cs="Arial" w:eastAsia="Arial" w:hAnsi="Arial"/>
                <w:sz w:val="18"/>
                <w:szCs w:val="18"/>
                <w:color w:val="auto"/>
              </w:rPr>
              <w:t>Central</w:t>
            </w:r>
          </w:p>
        </w:tc>
        <w:tc>
          <w:tcPr>
            <w:tcW w:w="2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3,868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Corporate</w:t>
            </w:r>
          </w:p>
        </w:tc>
        <w:tc>
          <w:tcPr>
            <w:tcW w:w="26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11,878</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11,628</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Total</w:t>
            </w:r>
          </w:p>
        </w:tc>
        <w:tc>
          <w:tcPr>
            <w:tcW w:w="26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147,415</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83,161</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43,173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620" w:type="dxa"/>
            <w:vAlign w:val="bottom"/>
            <w:vMerge w:val="restart"/>
          </w:tcPr>
          <w:p>
            <w:pPr>
              <w:jc w:val="right"/>
              <w:ind w:right="490"/>
              <w:spacing w:after="0"/>
              <w:rPr>
                <w:sz w:val="20"/>
                <w:szCs w:val="20"/>
                <w:color w:val="auto"/>
              </w:rPr>
            </w:pPr>
            <w:r>
              <w:rPr>
                <w:rFonts w:ascii="Arial" w:cs="Arial" w:eastAsia="Arial" w:hAnsi="Arial"/>
                <w:sz w:val="18"/>
                <w:szCs w:val="18"/>
                <w:color w:val="auto"/>
              </w:rPr>
              <w:t>121</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80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0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4" w:right="21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Year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Ended December 31,</w:t>
            </w: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ind w:right="491"/>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left="133"/>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ind w:right="51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 and expenses</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i w:val="1"/>
                <w:iCs w:val="1"/>
                <w:color w:val="auto"/>
              </w:rPr>
              <w:t>West:</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revenues</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325"/>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483,532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410,319</w:t>
            </w:r>
          </w:p>
        </w:tc>
        <w:tc>
          <w:tcPr>
            <w:tcW w:w="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327,541</w:t>
            </w:r>
          </w:p>
        </w:tc>
        <w:tc>
          <w:tcPr>
            <w:tcW w:w="100" w:type="dxa"/>
            <w:vAlign w:val="bottom"/>
            <w:tcBorders>
              <w:righ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40,131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26,950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20,221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84,548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66,108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41,451</w:t>
            </w:r>
          </w:p>
        </w:tc>
        <w:tc>
          <w:tcPr>
            <w:tcW w:w="100" w:type="dxa"/>
            <w:vAlign w:val="bottom"/>
            <w:tcBorders>
              <w:righ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i w:val="1"/>
                <w:iCs w:val="1"/>
                <w:color w:val="auto"/>
              </w:rPr>
              <w:t>Midwest:</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revenues</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397,008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268,879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33,083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20,997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105,809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62,071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i w:val="1"/>
                <w:iCs w:val="1"/>
                <w:color w:val="auto"/>
              </w:rPr>
              <w:t>South:</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revenues</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461,181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338,259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133,557</w:t>
            </w:r>
          </w:p>
        </w:tc>
        <w:tc>
          <w:tcPr>
            <w:tcW w:w="100" w:type="dxa"/>
            <w:vAlign w:val="bottom"/>
            <w:tcBorders>
              <w:righ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37,357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25,307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64,851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3"/>
              </w:rPr>
              <w:t>3,680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23,378</w:t>
            </w:r>
          </w:p>
        </w:tc>
        <w:tc>
          <w:tcPr>
            <w:tcW w:w="100" w:type="dxa"/>
            <w:vAlign w:val="bottom"/>
            <w:tcBorders>
              <w:righ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i w:val="1"/>
                <w:iCs w:val="1"/>
                <w:color w:val="auto"/>
              </w:rPr>
              <w:t>East:</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revenues</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571,272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462,835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439,367</w:t>
            </w:r>
          </w:p>
        </w:tc>
        <w:tc>
          <w:tcPr>
            <w:tcW w:w="100" w:type="dxa"/>
            <w:vAlign w:val="bottom"/>
            <w:tcBorders>
              <w:righ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27,913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30,517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34,887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97,963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68,101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53,361</w:t>
            </w:r>
          </w:p>
        </w:tc>
        <w:tc>
          <w:tcPr>
            <w:tcW w:w="100" w:type="dxa"/>
            <w:vAlign w:val="bottom"/>
            <w:tcBorders>
              <w:righ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i w:val="1"/>
                <w:iCs w:val="1"/>
                <w:color w:val="auto"/>
              </w:rPr>
              <w:t>Central:</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revenues</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142,485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13,583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24,240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i w:val="1"/>
                <w:iCs w:val="1"/>
                <w:color w:val="auto"/>
              </w:rPr>
              <w:t>Corporate:</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revenues</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5,362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3"/>
              </w:rPr>
              <w:t>2,120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loss</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(67,308)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(105,150)</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(29,490)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Total Reportable Segments</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revenues</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325"/>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2,056,007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1,480,798</w:t>
            </w:r>
          </w:p>
        </w:tc>
        <w:tc>
          <w:tcPr>
            <w:tcW w:w="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900,465</w:t>
            </w:r>
          </w:p>
        </w:tc>
        <w:tc>
          <w:tcPr>
            <w:tcW w:w="100" w:type="dxa"/>
            <w:vAlign w:val="bottom"/>
            <w:tcBorders>
              <w:righ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60" w:type="dxa"/>
            <w:vAlign w:val="bottom"/>
            <w:tcBorders>
              <w:bottom w:val="single" w:sz="8" w:color="CFF0FC"/>
            </w:tcBorders>
            <w:vMerge w:val="continue"/>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72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76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157,429</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105,891</w:t>
            </w: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63,449</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310,103</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94,810</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88,700</w:t>
            </w:r>
          </w:p>
        </w:tc>
        <w:tc>
          <w:tcPr>
            <w:tcW w:w="100" w:type="dxa"/>
            <w:vAlign w:val="bottom"/>
            <w:tcBorders>
              <w:bottom w:val="single" w:sz="8" w:color="CFF0FC"/>
              <w:right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Reconciliations to consolidated net income:</w:t>
            </w: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325"/>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310,103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94,810</w:t>
            </w:r>
          </w:p>
        </w:tc>
        <w:tc>
          <w:tcPr>
            <w:tcW w:w="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88,700</w:t>
            </w:r>
          </w:p>
        </w:tc>
        <w:tc>
          <w:tcPr>
            <w:tcW w:w="100" w:type="dxa"/>
            <w:vAlign w:val="bottom"/>
            <w:tcBorders>
              <w:righ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Unallocated income and expenses:</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(171,732)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(99,769)</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(50,917)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ind w:left="240"/>
              <w:spacing w:after="0"/>
              <w:rPr>
                <w:sz w:val="20"/>
                <w:szCs w:val="20"/>
                <w:color w:val="auto"/>
              </w:rPr>
            </w:pPr>
            <w:r>
              <w:rPr>
                <w:rFonts w:ascii="Arial" w:cs="Arial" w:eastAsia="Arial" w:hAnsi="Arial"/>
                <w:sz w:val="18"/>
                <w:szCs w:val="18"/>
                <w:color w:val="auto"/>
              </w:rPr>
              <w:t>Loss on early retirement of debt, net</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5"/>
          </w:tcPr>
          <w:p>
            <w:pPr>
              <w:jc w:val="right"/>
              <w:ind w:right="20"/>
              <w:spacing w:after="0"/>
              <w:rPr>
                <w:sz w:val="20"/>
                <w:szCs w:val="20"/>
                <w:color w:val="auto"/>
              </w:rPr>
            </w:pPr>
            <w:r>
              <w:rPr>
                <w:rFonts w:ascii="Arial" w:cs="Arial" w:eastAsia="Arial" w:hAnsi="Arial"/>
                <w:sz w:val="18"/>
                <w:szCs w:val="18"/>
                <w:color w:val="auto"/>
              </w:rPr>
              <w:t>(38,430)</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loss on restricted investment</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(2,587)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ind w:left="240"/>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(40,387)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116,769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95,235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73,380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24,527</w:t>
            </w:r>
          </w:p>
        </w:tc>
        <w:tc>
          <w:tcPr>
            <w:tcW w:w="10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West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Midwest</w:t>
            </w:r>
          </w:p>
        </w:tc>
        <w:tc>
          <w:tcPr>
            <w:tcW w:w="2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right"/>
              <w:ind w:right="185"/>
              <w:spacing w:after="0"/>
              <w:rPr>
                <w:sz w:val="20"/>
                <w:szCs w:val="20"/>
                <w:color w:val="auto"/>
              </w:rPr>
            </w:pPr>
            <w:r>
              <w:rPr>
                <w:rFonts w:ascii="Arial" w:cs="Arial" w:eastAsia="Arial" w:hAnsi="Arial"/>
                <w:sz w:val="14"/>
                <w:szCs w:val="14"/>
                <w:b w:val="1"/>
                <w:bCs w:val="1"/>
                <w:color w:val="auto"/>
              </w:rPr>
              <w:t>South</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East</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Central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rPr>
              <w:t>Other &amp;</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Balance sheet as of December 31, 2018</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5"/>
          </w:tcPr>
          <w:p>
            <w:pPr>
              <w:ind w:left="18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1,710,375</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1,245,521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98"/>
              </w:rPr>
              <w:t>1,068,258</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2,166,730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1,457,961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5"/>
            <w:shd w:val="clear" w:color="auto" w:fill="CFF0FC"/>
          </w:tcPr>
          <w:p>
            <w:pPr>
              <w:jc w:val="right"/>
              <w:ind w:right="60"/>
              <w:spacing w:after="0"/>
              <w:rPr>
                <w:sz w:val="20"/>
                <w:szCs w:val="20"/>
                <w:color w:val="auto"/>
              </w:rPr>
            </w:pPr>
            <w:r>
              <w:rPr>
                <w:rFonts w:ascii="Arial" w:cs="Arial" w:eastAsia="Arial" w:hAnsi="Arial"/>
                <w:sz w:val="16"/>
                <w:szCs w:val="16"/>
                <w:color w:val="auto"/>
              </w:rPr>
              <w:t>(1,737,383)</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8"/>
              </w:rPr>
              <w:t>5,911,462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sheet as of December 31, 2017</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Pr>
          <w:p>
            <w:pPr>
              <w:ind w:left="240"/>
              <w:spacing w:after="0"/>
              <w:rPr>
                <w:sz w:val="20"/>
                <w:szCs w:val="20"/>
                <w:color w:val="auto"/>
              </w:rPr>
            </w:pPr>
            <w:r>
              <w:rPr>
                <w:rFonts w:ascii="Arial" w:cs="Arial" w:eastAsia="Arial" w:hAnsi="Arial"/>
                <w:sz w:val="16"/>
                <w:szCs w:val="16"/>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1,278,062</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1,188,758</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804,318</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1,185,806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6"/>
                <w:szCs w:val="16"/>
                <w:color w:val="auto"/>
                <w:w w:val="93"/>
              </w:rPr>
              <w:t>(910,472)</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w w:val="98"/>
              </w:rPr>
              <w:t>3,546,472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3"/>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95" w:right="21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Finalization</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of Isle</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2"/>
              </w:rPr>
              <w:t>Assets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Purchase</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5"/>
              </w:rPr>
              <w:t>January 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7"/>
              </w:rPr>
              <w:t>Acquisitions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rPr>
              <w:t>Impairments</w:t>
            </w:r>
          </w:p>
        </w:tc>
        <w:tc>
          <w:tcPr>
            <w:tcW w:w="2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Price</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Held for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0"/>
              </w:rPr>
              <w:t>Sale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80" w:type="dxa"/>
            <w:vAlign w:val="bottom"/>
            <w:gridSpan w:val="4"/>
          </w:tcPr>
          <w:p>
            <w:pPr>
              <w:jc w:val="right"/>
              <w:ind w:right="783"/>
              <w:spacing w:after="0" w:line="155"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Goodwill by reportable segment:</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160" w:type="dxa"/>
            <w:vAlign w:val="bottom"/>
          </w:tcPr>
          <w:p>
            <w:pPr>
              <w:ind w:left="260"/>
              <w:spacing w:after="0"/>
              <w:rPr>
                <w:sz w:val="20"/>
                <w:szCs w:val="20"/>
                <w:color w:val="auto"/>
              </w:rPr>
            </w:pPr>
            <w:r>
              <w:rPr>
                <w:rFonts w:ascii="Arial" w:cs="Arial" w:eastAsia="Arial" w:hAnsi="Arial"/>
                <w:sz w:val="16"/>
                <w:szCs w:val="16"/>
                <w:color w:val="auto"/>
              </w:rPr>
              <w:t>West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152,775</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68,100</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220,861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Midwest</w:t>
            </w: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327,088</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(4,343)</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322,745</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160" w:type="dxa"/>
            <w:vAlign w:val="bottom"/>
          </w:tcPr>
          <w:p>
            <w:pPr>
              <w:ind w:left="260"/>
              <w:spacing w:after="0"/>
              <w:rPr>
                <w:sz w:val="20"/>
                <w:szCs w:val="20"/>
                <w:color w:val="auto"/>
              </w:rPr>
            </w:pPr>
            <w:r>
              <w:rPr>
                <w:rFonts w:ascii="Arial" w:cs="Arial" w:eastAsia="Arial" w:hAnsi="Arial"/>
                <w:sz w:val="16"/>
                <w:szCs w:val="16"/>
                <w:color w:val="auto"/>
              </w:rPr>
              <w:t>South</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200,417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24,300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(9,815)</w:t>
            </w:r>
          </w:p>
        </w:tc>
        <w:tc>
          <w:tcPr>
            <w:tcW w:w="1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(1,752)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213,150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East</w:t>
            </w: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66,826</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113,782</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(3,122)</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177,486</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1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Central</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74,074</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74,074</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shd w:val="clear" w:color="auto" w:fill="CFF0FC"/>
          </w:tcPr>
          <w:p>
            <w:pPr>
              <w:ind w:left="460"/>
              <w:spacing w:after="0"/>
              <w:rPr>
                <w:sz w:val="20"/>
                <w:szCs w:val="20"/>
                <w:color w:val="auto"/>
              </w:rPr>
            </w:pPr>
            <w:r>
              <w:rPr>
                <w:rFonts w:ascii="Arial" w:cs="Arial" w:eastAsia="Arial" w:hAnsi="Arial"/>
                <w:sz w:val="16"/>
                <w:szCs w:val="16"/>
                <w:color w:val="auto"/>
              </w:rPr>
              <w:t>Total Goodwill</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747,106</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280,256</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(9,815)</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(6,109)</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(3,122)</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1,008,316</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3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Finalization of</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Isle</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2"/>
              </w:rPr>
              <w:t>Assets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Purchase</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5"/>
              </w:rPr>
              <w:t>January 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7"/>
              </w:rPr>
              <w:t>Acquisitions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rPr>
              <w:t>Impairments</w:t>
            </w:r>
          </w:p>
        </w:tc>
        <w:tc>
          <w:tcPr>
            <w:tcW w:w="2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Price</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Held for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0"/>
              </w:rPr>
              <w:t>Sale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80" w:type="dxa"/>
            <w:vAlign w:val="bottom"/>
            <w:gridSpan w:val="4"/>
          </w:tcPr>
          <w:p>
            <w:pPr>
              <w:jc w:val="right"/>
              <w:ind w:right="783"/>
              <w:spacing w:after="0" w:line="155"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Goodwill by reportable segment:</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160" w:type="dxa"/>
            <w:vAlign w:val="bottom"/>
          </w:tcPr>
          <w:p>
            <w:pPr>
              <w:ind w:left="260"/>
              <w:spacing w:after="0"/>
              <w:rPr>
                <w:sz w:val="20"/>
                <w:szCs w:val="20"/>
                <w:color w:val="auto"/>
              </w:rPr>
            </w:pPr>
            <w:r>
              <w:rPr>
                <w:rFonts w:ascii="Arial" w:cs="Arial" w:eastAsia="Arial" w:hAnsi="Arial"/>
                <w:sz w:val="16"/>
                <w:szCs w:val="16"/>
                <w:color w:val="auto"/>
              </w:rPr>
              <w:t>West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152,775</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152,775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Midwest</w:t>
            </w: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327,088</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327,088</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160" w:type="dxa"/>
            <w:vAlign w:val="bottom"/>
          </w:tcPr>
          <w:p>
            <w:pPr>
              <w:ind w:left="260"/>
              <w:spacing w:after="0"/>
              <w:rPr>
                <w:sz w:val="20"/>
                <w:szCs w:val="20"/>
                <w:color w:val="auto"/>
              </w:rPr>
            </w:pPr>
            <w:r>
              <w:rPr>
                <w:rFonts w:ascii="Arial" w:cs="Arial" w:eastAsia="Arial" w:hAnsi="Arial"/>
                <w:sz w:val="16"/>
                <w:szCs w:val="16"/>
                <w:color w:val="auto"/>
              </w:rPr>
              <w:t>South</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235,333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(34,916)</w:t>
            </w:r>
          </w:p>
        </w:tc>
        <w:tc>
          <w:tcPr>
            <w:tcW w:w="1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200,417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East</w:t>
            </w: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66,826</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66,826</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1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Central</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66,826</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715,196</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(34,916)</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747,106</w:t>
            </w:r>
          </w:p>
        </w:tc>
        <w:tc>
          <w:tcPr>
            <w:tcW w:w="10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Consolidating Condensed Financial Information</w:t>
      </w:r>
    </w:p>
    <w:p>
      <w:pPr>
        <w:spacing w:after="0" w:line="121"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Certain of our wholly-owned subsidiaries have fully and unconditionally guaranteed on a joint and several basis, the payment of all obligations under our 7% Senior Notes due 2023, 6% Senior Notes due 2025, 6% Senior Notes due 2026 and Credit Facility.</w:t>
      </w:r>
    </w:p>
    <w:p>
      <w:pPr>
        <w:spacing w:after="0" w:line="170" w:lineRule="exact"/>
        <w:rPr>
          <w:sz w:val="20"/>
          <w:szCs w:val="20"/>
          <w:color w:val="auto"/>
        </w:rPr>
      </w:pPr>
    </w:p>
    <w:p>
      <w:pPr>
        <w:ind w:right="100" w:firstLine="555"/>
        <w:spacing w:after="0" w:line="268" w:lineRule="auto"/>
        <w:rPr>
          <w:sz w:val="20"/>
          <w:szCs w:val="20"/>
          <w:color w:val="auto"/>
        </w:rPr>
      </w:pPr>
      <w:r>
        <w:rPr>
          <w:rFonts w:ascii="Arial" w:cs="Arial" w:eastAsia="Arial" w:hAnsi="Arial"/>
          <w:sz w:val="17"/>
          <w:szCs w:val="17"/>
          <w:color w:val="auto"/>
        </w:rPr>
        <w:t>The following wholly-owned subsidiaries of the Company are guarantors, on a joint and several basis, under the 7% Senior Notes due 2023, 6% Senior Notes due 2025, 6% Senior Notes due 2026 and Credit Facility: Isle of Capri Casinos LLC; Eldorado Holdco LLC; Eldorado Resorts LLC; Eldorado Shreveport 1 LLC; Eldorado Shreveport 2 LLC; Eldorado Casino Shreveport Joint Venture; MTR Gaming Group Inc.; Mountaineer Park Inc.; Presque Isle Downs Inc.; Scioto Downs Inc.; Eldorado Limited Liability Company; Circus and Eldorado Joint Venture, LLC; CC Reno LLC; CCR Newco LLC; Black Hawk Holdings, L.L.C.; IC Holdings Colorado, Inc.; CCSC/Blackhawk, Inc.; IOC-Black Hawk Distribution Company, LLC; IOC-Black Hawk County, Inc.; Isle of Capri Bettendorf, L.C.; PPI, Inc.; Pompano Park Holdings LLC; IOC-Lula, Inc.; IOC-Kansas City, Inc.; IOC-Boonville, Inc.; IOC-Caruthersville, LLC; IOC Cape Girardeau, LLC; IOC-Vicksburg, Inc.; IOC-Vicksburg, L.L.C.; Rainbow Casino-Vicksburg Partnership, L.P.; IOC Holdings L.L.C.; St. Charles Gaming Company, L.L.C Elgin Holdings I LLC; Elgin Holdings II LLC, PPI Development Holdings LLC; PPI Development LLC; Tropicana Entertainment, Inc.; New Tropicana Holdings, Inc.; New Tropicana OpCo, Inc.; TLH LLC; TropWorld Games LLC; TEI R7 Investment LLC; TEI Management Services LLC; Tropicana St. Louis LLC; TEI (St. Louis) RE, LLC; TEI (STLH), LLC; TEI (ES), LLC; Aztar Riverboat Holding Company, LLC; Aztar Indiana Gaming Company, LLC ; New Jazz Enterprises, LLC; Catfish Queen Partnership in Commendam; Centroplex Centre Convention Hotel LLC; Columbia Properties Tahoe, LLC; MB Development, LLC; Lighthouse Point, LLC and Tropicana Laughlin, LLC. Each of the subsidiaries’ guarantees is joint and several with the guarantees of the other subsidiaries.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8" w:right="239" w:bottom="1440" w:gutter="0" w:footer="0" w:header="0"/>
        </w:sectPr>
      </w:pPr>
    </w:p>
    <w:bookmarkStart w:id="125" w:name="page126"/>
    <w:bookmarkEnd w:id="125"/>
    <w:p>
      <w:pPr>
        <w:ind w:left="560"/>
        <w:spacing w:after="0"/>
        <w:rPr>
          <w:sz w:val="20"/>
          <w:szCs w:val="20"/>
          <w:color w:val="auto"/>
        </w:rPr>
      </w:pPr>
      <w:r>
        <w:rPr>
          <w:rFonts w:ascii="Arial" w:cs="Arial" w:eastAsia="Arial" w:hAnsi="Arial"/>
          <w:sz w:val="18"/>
          <w:szCs w:val="18"/>
          <w:color w:val="auto"/>
        </w:rPr>
        <w:t>The consolidating condensed balance sheet as of December 31, 2018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Eldorado</w:t>
            </w:r>
          </w:p>
        </w:tc>
        <w:tc>
          <w:tcPr>
            <w:tcW w:w="180" w:type="dxa"/>
            <w:vAlign w:val="bottom"/>
          </w:tcPr>
          <w:p>
            <w:pPr>
              <w:spacing w:after="0"/>
              <w:rPr>
                <w:sz w:val="14"/>
                <w:szCs w:val="14"/>
                <w:color w:val="auto"/>
              </w:rPr>
            </w:pPr>
          </w:p>
        </w:tc>
        <w:tc>
          <w:tcPr>
            <w:tcW w:w="14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4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Consolidating</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060" w:type="dxa"/>
            <w:vAlign w:val="bottom"/>
            <w:vMerge w:val="restart"/>
          </w:tcPr>
          <w:p>
            <w:pPr>
              <w:ind w:left="1200"/>
              <w:spacing w:after="0"/>
              <w:rPr>
                <w:sz w:val="20"/>
                <w:szCs w:val="20"/>
                <w:color w:val="auto"/>
              </w:rPr>
            </w:pPr>
            <w:r>
              <w:rPr>
                <w:rFonts w:ascii="Arial" w:cs="Arial" w:eastAsia="Arial" w:hAnsi="Arial"/>
                <w:sz w:val="16"/>
                <w:szCs w:val="16"/>
                <w:b w:val="1"/>
                <w:bCs w:val="1"/>
                <w:color w:val="auto"/>
              </w:rPr>
              <w:t>Balance Sheet</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1"/>
        </w:trPr>
        <w:tc>
          <w:tcPr>
            <w:tcW w:w="30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(Parent Obligor)</w:t>
            </w:r>
          </w:p>
        </w:tc>
        <w:tc>
          <w:tcPr>
            <w:tcW w:w="18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Entries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48,268</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497,309</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27,619</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573,196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6"/>
                <w:szCs w:val="16"/>
                <w:color w:val="auto"/>
              </w:rPr>
              <w:t>Intercompany receivables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11,885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23,988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(35,873)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Investments in subsidiaries</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3,648,961</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(3,648,961)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18,555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2,859,271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4,780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2,882,606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35,072</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2,425,699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26,674</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(31,785)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2,455,660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vMerge w:val="restart"/>
          </w:tcPr>
          <w:p>
            <w:pPr>
              <w:ind w:left="140"/>
              <w:spacing w:after="0"/>
              <w:rPr>
                <w:sz w:val="20"/>
                <w:szCs w:val="20"/>
                <w:color w:val="auto"/>
              </w:rPr>
            </w:pPr>
            <w:r>
              <w:rPr>
                <w:rFonts w:ascii="Arial" w:cs="Arial" w:eastAsia="Arial" w:hAnsi="Arial"/>
                <w:sz w:val="16"/>
                <w:szCs w:val="16"/>
                <w:color w:val="auto"/>
              </w:rPr>
              <w:t>Total assets</w:t>
            </w: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06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3,750,856</w:t>
            </w:r>
          </w:p>
        </w:tc>
        <w:tc>
          <w:tcPr>
            <w:tcW w:w="300" w:type="dxa"/>
            <w:vAlign w:val="bottom"/>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5,794,164</w:t>
            </w: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83,061</w:t>
            </w:r>
          </w:p>
        </w:tc>
        <w:tc>
          <w:tcPr>
            <w:tcW w:w="2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(3,716,619)</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5,911,462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06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6"/>
                <w:szCs w:val="16"/>
                <w:color w:val="auto"/>
              </w:rPr>
              <w:t>Current liabilities</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48,579</w:t>
            </w:r>
          </w:p>
        </w:tc>
        <w:tc>
          <w:tcPr>
            <w:tcW w:w="30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328,319</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25,279</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402,177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Intercompany payables</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10,873</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25,000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(35,873)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6"/>
                <w:szCs w:val="16"/>
                <w:color w:val="auto"/>
              </w:rPr>
              <w:t>Long-term financing obligation to GLPI</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959,835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959,835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Long-term debt, less current maturities</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2,640,046</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621,193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3,261,273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6"/>
                <w:szCs w:val="16"/>
                <w:color w:val="auto"/>
              </w:rPr>
              <w:t>Deferred income tax liabilities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231,795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(31,785)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200,010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Other accrued liabilities</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22,206</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36,808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59,014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6"/>
                <w:szCs w:val="16"/>
                <w:color w:val="auto"/>
              </w:rPr>
              <w:t>Stockholders’ equity</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1,029,152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3,616,214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32,748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(3,648,961)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1,029,153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6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Total liabilities and stockholders’</w:t>
            </w:r>
          </w:p>
        </w:tc>
        <w:tc>
          <w:tcPr>
            <w:tcW w:w="4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equity</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3,750,856</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5,794,164</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83,061</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(3,716,619)</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5,911,462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consolidating condensed balance sheet as of December 31, 2017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right="41"/>
              <w:spacing w:after="0"/>
              <w:rPr>
                <w:sz w:val="20"/>
                <w:szCs w:val="20"/>
                <w:color w:val="auto"/>
              </w:rPr>
            </w:pPr>
            <w:r>
              <w:rPr>
                <w:rFonts w:ascii="Arial" w:cs="Arial" w:eastAsia="Arial" w:hAnsi="Arial"/>
                <w:sz w:val="14"/>
                <w:szCs w:val="14"/>
                <w:b w:val="1"/>
                <w:bCs w:val="1"/>
                <w:color w:val="auto"/>
                <w:w w:val="95"/>
              </w:rPr>
              <w:t>Eldorado</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20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Non-Guarantor</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Consolidating</w:t>
            </w: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580" w:type="dxa"/>
            <w:vAlign w:val="bottom"/>
            <w:vMerge w:val="restart"/>
          </w:tcPr>
          <w:p>
            <w:pPr>
              <w:ind w:left="1240"/>
              <w:spacing w:after="0"/>
              <w:rPr>
                <w:sz w:val="20"/>
                <w:szCs w:val="20"/>
                <w:color w:val="auto"/>
              </w:rPr>
            </w:pPr>
            <w:r>
              <w:rPr>
                <w:rFonts w:ascii="Arial" w:cs="Arial" w:eastAsia="Arial" w:hAnsi="Arial"/>
                <w:sz w:val="16"/>
                <w:szCs w:val="16"/>
                <w:b w:val="1"/>
                <w:bCs w:val="1"/>
                <w:color w:val="auto"/>
              </w:rPr>
              <w:t>Balance Sheet</w:t>
            </w:r>
          </w:p>
        </w:tc>
        <w:tc>
          <w:tcPr>
            <w:tcW w:w="120" w:type="dxa"/>
            <w:vAlign w:val="bottom"/>
          </w:tcPr>
          <w:p>
            <w:pPr>
              <w:spacing w:after="0"/>
              <w:rPr>
                <w:sz w:val="12"/>
                <w:szCs w:val="12"/>
                <w:color w:val="auto"/>
              </w:rPr>
            </w:pPr>
          </w:p>
        </w:tc>
        <w:tc>
          <w:tcPr>
            <w:tcW w:w="12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2"/>
              </w:rPr>
              <w:t>Resorts, Inc.</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1"/>
        </w:trPr>
        <w:tc>
          <w:tcPr>
            <w:tcW w:w="3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right="41"/>
              <w:spacing w:after="0"/>
              <w:rPr>
                <w:sz w:val="20"/>
                <w:szCs w:val="20"/>
                <w:color w:val="auto"/>
              </w:rPr>
            </w:pPr>
            <w:r>
              <w:rPr>
                <w:rFonts w:ascii="Arial" w:cs="Arial" w:eastAsia="Arial" w:hAnsi="Arial"/>
                <w:sz w:val="14"/>
                <w:szCs w:val="14"/>
                <w:b w:val="1"/>
                <w:bCs w:val="1"/>
                <w:color w:val="auto"/>
                <w:w w:val="95"/>
              </w:rPr>
              <w:t>(Parent Obligor)</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4"/>
                <w:szCs w:val="14"/>
                <w:color w:val="auto"/>
              </w:rPr>
            </w:pPr>
          </w:p>
        </w:tc>
        <w:tc>
          <w:tcPr>
            <w:tcW w:w="1200" w:type="dxa"/>
            <w:vAlign w:val="bottom"/>
          </w:tcPr>
          <w:p>
            <w:pPr>
              <w:jc w:val="right"/>
              <w:ind w:right="221"/>
              <w:spacing w:after="0"/>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Entries</w:t>
            </w: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27,572</w:t>
            </w:r>
          </w:p>
        </w:tc>
        <w:tc>
          <w:tcPr>
            <w:tcW w:w="44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201,321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22,139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251,032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Intercompany receivables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274,148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34,492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(308,640)</w:t>
            </w: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Investments in subsidiaries</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2,437,287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(2,437,287)</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12,042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1,483,473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7,302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1,502,817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37,458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1,764,291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27,283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(36,409)</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1,792,623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ind w:left="140"/>
              <w:spacing w:after="0"/>
              <w:rPr>
                <w:sz w:val="20"/>
                <w:szCs w:val="20"/>
                <w:color w:val="auto"/>
              </w:rPr>
            </w:pPr>
            <w:r>
              <w:rPr>
                <w:rFonts w:ascii="Arial" w:cs="Arial" w:eastAsia="Arial" w:hAnsi="Arial"/>
                <w:sz w:val="16"/>
                <w:szCs w:val="16"/>
                <w:color w:val="auto"/>
              </w:rPr>
              <w:t>Total assets</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580" w:type="dxa"/>
            <w:vAlign w:val="bottom"/>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2,788,507</w:t>
            </w:r>
          </w:p>
        </w:tc>
        <w:tc>
          <w:tcPr>
            <w:tcW w:w="240" w:type="dxa"/>
            <w:vAlign w:val="bottom"/>
          </w:tcPr>
          <w:p>
            <w:pPr>
              <w:spacing w:after="0"/>
              <w:rPr>
                <w:sz w:val="21"/>
                <w:szCs w:val="21"/>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3,449,085</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91,216</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(2,782,336)</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3,546,472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5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28,677</w:t>
            </w:r>
          </w:p>
        </w:tc>
        <w:tc>
          <w:tcPr>
            <w:tcW w:w="44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169,348</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25,726</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223,751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Intercompany payables</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283,640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25,000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(308,640)</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Long-term debt, less current maturities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1,814,185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375,000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2,189,578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Deferred income tax liabilities</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199,376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(36,409)</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162,967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Other accrued liabilities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4,127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19,624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4,828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28,579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941,518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2,402,097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35,269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(2,437,287)</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941,597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580" w:type="dxa"/>
            <w:vAlign w:val="bottom"/>
          </w:tcPr>
          <w:p>
            <w:pPr>
              <w:ind w:left="140"/>
              <w:spacing w:after="0"/>
              <w:rPr>
                <w:sz w:val="20"/>
                <w:szCs w:val="20"/>
                <w:color w:val="auto"/>
              </w:rPr>
            </w:pPr>
            <w:r>
              <w:rPr>
                <w:rFonts w:ascii="Arial" w:cs="Arial" w:eastAsia="Arial" w:hAnsi="Arial"/>
                <w:sz w:val="16"/>
                <w:szCs w:val="16"/>
                <w:color w:val="auto"/>
              </w:rPr>
              <w:t>Total liabilities and stockholders’</w:t>
            </w: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260"/>
              <w:spacing w:after="0"/>
              <w:rPr>
                <w:sz w:val="20"/>
                <w:szCs w:val="20"/>
                <w:color w:val="auto"/>
              </w:rPr>
            </w:pPr>
            <w:r>
              <w:rPr>
                <w:rFonts w:ascii="Arial" w:cs="Arial" w:eastAsia="Arial" w:hAnsi="Arial"/>
                <w:sz w:val="16"/>
                <w:szCs w:val="16"/>
                <w:color w:val="auto"/>
              </w:rPr>
              <w:t>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2,788,507</w:t>
            </w:r>
          </w:p>
        </w:tc>
        <w:tc>
          <w:tcPr>
            <w:tcW w:w="44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3,449,085</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91,216</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(2,782,336)</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3,546,472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6" w:name="page127"/>
    <w:bookmarkEnd w:id="126"/>
    <w:p>
      <w:pPr>
        <w:ind w:left="560"/>
        <w:spacing w:after="0"/>
        <w:rPr>
          <w:sz w:val="20"/>
          <w:szCs w:val="20"/>
          <w:color w:val="auto"/>
        </w:rPr>
      </w:pPr>
      <w:r>
        <w:rPr>
          <w:rFonts w:ascii="Arial" w:cs="Arial" w:eastAsia="Arial" w:hAnsi="Arial"/>
          <w:sz w:val="18"/>
          <w:szCs w:val="18"/>
          <w:color w:val="auto"/>
        </w:rPr>
        <w:t>The consolidating condensed statements of income for the year ended December 31, 2018 is as follows: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Income: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3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Non-Guarantor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(Parent Obligor)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Subsidiaries</w:t>
            </w:r>
          </w:p>
        </w:tc>
        <w:tc>
          <w:tcPr>
            <w:tcW w:w="14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Gaming and pari-mutuel commissions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1,522,572</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30,819</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1,553,391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Non-gaming</w:t>
            </w: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492,679</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9,926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502,616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580" w:type="dxa"/>
            <w:vAlign w:val="bottom"/>
          </w:tcPr>
          <w:p>
            <w:pPr>
              <w:ind w:left="140"/>
              <w:spacing w:after="0"/>
              <w:rPr>
                <w:sz w:val="20"/>
                <w:szCs w:val="20"/>
                <w:color w:val="auto"/>
              </w:rPr>
            </w:pPr>
            <w:r>
              <w:rPr>
                <w:rFonts w:ascii="Arial" w:cs="Arial" w:eastAsia="Arial" w:hAnsi="Arial"/>
                <w:sz w:val="16"/>
                <w:szCs w:val="16"/>
                <w:color w:val="auto"/>
              </w:rPr>
              <w:t>Net revenues</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2,015,251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40,745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2,056,007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Gaming and pari-mutuel commissions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728,709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20,580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749,289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Non-gaming</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303,706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306,303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Marketing and promotions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104,402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106,161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342,185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7,413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349,598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Corporate</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42,466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Impairment charges</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9,815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Management fee</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(25,340)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25,340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5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3,655</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153,396</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157,429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Total operating expenses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20,781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1,669,958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38,275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1,729,014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Loss on sale of asset or disposal of</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property and equipment</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(828)</w:t>
            </w: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(835)</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Proceeds from terminated sale</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Transaction expenses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(11,369)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(9,473)</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(20,842)</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Equity in loss of unconsolidated affiliate</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(213)</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 income</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5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(27,139)</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334,779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310,103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(115,745)</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(54,226)</w:t>
            </w: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(1,761)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(171,732)</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Loss on early retirement of debt, net</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Unrealized loss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(2,587)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(2,587)</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Subsidiary income (loss)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201,353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(201,353)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Income (loss) before income taxes</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5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55,720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280,553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(201,353)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135,622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Income tax benefit (provision)</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39,515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(80,474)</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(40,387)</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95,235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200,079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(201,353)</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95,235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7" w:name="page128"/>
    <w:bookmarkEnd w:id="127"/>
    <w:p>
      <w:pPr>
        <w:ind w:left="560"/>
        <w:spacing w:after="0"/>
        <w:rPr>
          <w:sz w:val="20"/>
          <w:szCs w:val="20"/>
          <w:color w:val="auto"/>
        </w:rPr>
      </w:pPr>
      <w:r>
        <w:rPr>
          <w:rFonts w:ascii="Arial" w:cs="Arial" w:eastAsia="Arial" w:hAnsi="Arial"/>
          <w:sz w:val="18"/>
          <w:szCs w:val="18"/>
          <w:color w:val="auto"/>
        </w:rPr>
        <w:t>The consolidating condensed statements of income for the year ended December 31, 2017 is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Income: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3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Non-Guarantor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Consolidating</w:t>
            </w: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(Parent Obligor)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Subsidiaries</w:t>
            </w:r>
          </w:p>
        </w:tc>
        <w:tc>
          <w:tcPr>
            <w:tcW w:w="14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Entries</w:t>
            </w: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Gaming and pari-mutuel commissions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1,076,957</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22,070</w:t>
            </w:r>
          </w:p>
        </w:tc>
        <w:tc>
          <w:tcPr>
            <w:tcW w:w="16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1,099,027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Non-gaming</w:t>
            </w: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374,246</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7,525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381,771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580" w:type="dxa"/>
            <w:vAlign w:val="bottom"/>
          </w:tcPr>
          <w:p>
            <w:pPr>
              <w:ind w:left="140"/>
              <w:spacing w:after="0"/>
              <w:rPr>
                <w:sz w:val="20"/>
                <w:szCs w:val="20"/>
                <w:color w:val="auto"/>
              </w:rPr>
            </w:pPr>
            <w:r>
              <w:rPr>
                <w:rFonts w:ascii="Arial" w:cs="Arial" w:eastAsia="Arial" w:hAnsi="Arial"/>
                <w:sz w:val="16"/>
                <w:szCs w:val="16"/>
                <w:color w:val="auto"/>
              </w:rPr>
              <w:t>Net revenues</w:t>
            </w:r>
          </w:p>
        </w:tc>
        <w:tc>
          <w:tcPr>
            <w:tcW w:w="12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1,451,203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29,595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1,480,798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Gaming and pari-mutuel commissions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546,207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14,882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561,089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Non-gaming</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250,160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252,579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Marketing and promotions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80,893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83,174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235,905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241,037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Corporate</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31,620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(4,318)</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Impairment charges</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38,016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38,016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Management fee</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(31,620)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31,620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5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1,030</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104,454</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105,891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Total operating expenses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1,282,937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28,558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1,312,525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Loss on sale of asset or disposal of</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property and equipment</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(299)</w:t>
            </w: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Proceeds from terminated sale</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Transaction expenses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(70,865)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(21,912)</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(92,777)</w:t>
            </w:r>
          </w:p>
        </w:tc>
        <w:tc>
          <w:tcPr>
            <w:tcW w:w="0" w:type="dxa"/>
            <w:vAlign w:val="bottom"/>
          </w:tcPr>
          <w:p>
            <w:pPr>
              <w:spacing w:after="0"/>
              <w:rPr>
                <w:sz w:val="1"/>
                <w:szCs w:val="1"/>
                <w:color w:val="auto"/>
              </w:rPr>
            </w:pPr>
          </w:p>
        </w:tc>
      </w:tr>
      <w:tr>
        <w:trPr>
          <w:trHeight w:val="206"/>
        </w:trPr>
        <w:tc>
          <w:tcPr>
            <w:tcW w:w="3580" w:type="dxa"/>
            <w:vAlign w:val="bottom"/>
          </w:tcPr>
          <w:p>
            <w:pPr>
              <w:spacing w:after="0"/>
              <w:rPr>
                <w:sz w:val="20"/>
                <w:szCs w:val="20"/>
                <w:color w:val="auto"/>
              </w:rPr>
            </w:pPr>
            <w:r>
              <w:rPr>
                <w:rFonts w:ascii="Arial" w:cs="Arial" w:eastAsia="Arial" w:hAnsi="Arial"/>
                <w:sz w:val="16"/>
                <w:szCs w:val="16"/>
                <w:color w:val="auto"/>
              </w:rPr>
              <w:t>Equity in loss of unconsolidated</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affiliate</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(367)</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 income</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5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(71,915)</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165,688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94,810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(73,448)</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(25,221)</w:t>
            </w: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(1,100)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(99,769)</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Loss on early retirement of debt, net</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(38,430)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(38,430)</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Subsidiary income (loss)</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205,251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(205,251)</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6"/>
                <w:szCs w:val="16"/>
                <w:color w:val="auto"/>
              </w:rPr>
              <w:t>Income (loss) before income taxes</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21,458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140,467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(205,251)</w:t>
            </w:r>
          </w:p>
        </w:tc>
        <w:tc>
          <w:tcPr>
            <w:tcW w:w="18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(43,389)</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Income tax benefit (provision)</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51,922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69,787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(4,940)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116,769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8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73,380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210,254</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(5,003)</w:t>
            </w: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(205,251)</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73,380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8" w:name="page129"/>
    <w:bookmarkEnd w:id="128"/>
    <w:p>
      <w:pPr>
        <w:ind w:left="560"/>
        <w:spacing w:after="0"/>
        <w:rPr>
          <w:sz w:val="20"/>
          <w:szCs w:val="20"/>
          <w:color w:val="auto"/>
        </w:rPr>
      </w:pPr>
      <w:r>
        <w:rPr>
          <w:rFonts w:ascii="Arial" w:cs="Arial" w:eastAsia="Arial" w:hAnsi="Arial"/>
          <w:sz w:val="18"/>
          <w:szCs w:val="18"/>
          <w:color w:val="auto"/>
        </w:rPr>
        <w:t>The consolidating condensed statements of income for the year ended December 31, 2016 is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Income: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3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Non-Guarantor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(Parent Obligor)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Subsidiaries</w:t>
            </w:r>
          </w:p>
        </w:tc>
        <w:tc>
          <w:tcPr>
            <w:tcW w:w="14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10"/>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Revenues:</w:t>
            </w:r>
          </w:p>
        </w:tc>
        <w:tc>
          <w:tcPr>
            <w:tcW w:w="1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Gaming and pari-mutuel commissions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599,750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265</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600,015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Non-gaming</w:t>
            </w: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300,360</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300,450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580" w:type="dxa"/>
            <w:vAlign w:val="bottom"/>
          </w:tcPr>
          <w:p>
            <w:pPr>
              <w:ind w:left="140"/>
              <w:spacing w:after="0"/>
              <w:rPr>
                <w:sz w:val="20"/>
                <w:szCs w:val="20"/>
                <w:color w:val="auto"/>
              </w:rPr>
            </w:pPr>
            <w:r>
              <w:rPr>
                <w:rFonts w:ascii="Arial" w:cs="Arial" w:eastAsia="Arial" w:hAnsi="Arial"/>
                <w:sz w:val="16"/>
                <w:szCs w:val="16"/>
                <w:color w:val="auto"/>
              </w:rPr>
              <w:t>Net revenues</w:t>
            </w:r>
          </w:p>
        </w:tc>
        <w:tc>
          <w:tcPr>
            <w:tcW w:w="12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900,110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900,465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Gaming and pari-mutuel commissions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352,220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352,220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Non-gaming</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194,586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194,586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Marketing and promotions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40,886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40,890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130,720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130,720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Corporate</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19,560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Management fee</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(19,841)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19,841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62,995</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63,449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580" w:type="dxa"/>
            <w:vAlign w:val="bottom"/>
          </w:tcPr>
          <w:p>
            <w:pPr>
              <w:ind w:left="140"/>
              <w:spacing w:after="0"/>
              <w:rPr>
                <w:sz w:val="20"/>
                <w:szCs w:val="20"/>
                <w:color w:val="auto"/>
              </w:rPr>
            </w:pPr>
            <w:r>
              <w:rPr>
                <w:rFonts w:ascii="Arial" w:cs="Arial" w:eastAsia="Arial" w:hAnsi="Arial"/>
                <w:sz w:val="16"/>
                <w:szCs w:val="16"/>
                <w:color w:val="auto"/>
              </w:rPr>
              <w:t>Total operating expenses</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801,568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801,745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80" w:type="dxa"/>
            <w:vAlign w:val="bottom"/>
          </w:tcPr>
          <w:p>
            <w:pPr>
              <w:spacing w:after="0"/>
              <w:rPr>
                <w:sz w:val="20"/>
                <w:szCs w:val="20"/>
                <w:color w:val="auto"/>
              </w:rPr>
            </w:pPr>
            <w:r>
              <w:rPr>
                <w:rFonts w:ascii="Arial" w:cs="Arial" w:eastAsia="Arial" w:hAnsi="Arial"/>
                <w:sz w:val="16"/>
                <w:szCs w:val="16"/>
                <w:color w:val="auto"/>
              </w:rPr>
              <w:t>Loss on sale of asset or disposal of</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property and equipment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(836)</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(836)</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Transaction expenses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(9,184)</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(9,184)</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6"/>
                <w:szCs w:val="16"/>
                <w:color w:val="auto"/>
              </w:rPr>
              <w:t>Operating (loss) income</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(9,357)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97,706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88,700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Interest expense, net</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(24,562)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(26,355)</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(50,917)</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Loss on early retirement of debt, net</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(155)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Subsidiary income (loss)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45,372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(45,372)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Income (loss) before income taxes</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5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11,298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71,351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(45,372)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37,628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Income tax benefit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13,229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(26,207)</w:t>
            </w: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(13,101)</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24,527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45,144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(45,372)</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24,527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9" w:name="page130"/>
    <w:bookmarkEnd w:id="129"/>
    <w:p>
      <w:pPr>
        <w:ind w:left="560"/>
        <w:spacing w:after="0"/>
        <w:rPr>
          <w:sz w:val="20"/>
          <w:szCs w:val="20"/>
          <w:color w:val="auto"/>
        </w:rPr>
      </w:pPr>
      <w:r>
        <w:rPr>
          <w:rFonts w:ascii="Arial" w:cs="Arial" w:eastAsia="Arial" w:hAnsi="Arial"/>
          <w:sz w:val="18"/>
          <w:szCs w:val="18"/>
          <w:color w:val="auto"/>
        </w:rPr>
        <w:t>The consolidating condensed statement of cash flows for the year ended December 31, 2018 is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Cash Flows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Consolidating</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(Parent Obligor)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Entries</w:t>
            </w: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cash (used in) provided by</w:t>
            </w: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operating activities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(65,836)</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387,576</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1,540</w:t>
            </w:r>
          </w:p>
        </w:tc>
        <w:tc>
          <w:tcPr>
            <w:tcW w:w="16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FF0FC"/>
          </w:tcPr>
          <w:p>
            <w:pPr>
              <w:ind w:left="10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323,280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60" w:type="dxa"/>
            <w:vAlign w:val="bottom"/>
            <w:gridSpan w:val="2"/>
          </w:tcPr>
          <w:p>
            <w:pPr>
              <w:spacing w:after="0" w:line="155" w:lineRule="exact"/>
              <w:rPr>
                <w:sz w:val="20"/>
                <w:szCs w:val="20"/>
                <w:color w:val="auto"/>
              </w:rPr>
            </w:pPr>
            <w:r>
              <w:rPr>
                <w:rFonts w:ascii="Arial" w:cs="Arial" w:eastAsia="Arial" w:hAnsi="Arial"/>
                <w:sz w:val="14"/>
                <w:szCs w:val="14"/>
                <w:color w:val="auto"/>
              </w:rPr>
              <w:t>INVESTING ACTIVITIES:</w:t>
            </w: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4"/>
                <w:szCs w:val="14"/>
                <w:color w:val="auto"/>
              </w:rPr>
              <w:t>Purchase of property and equipment, net</w:t>
            </w:r>
          </w:p>
        </w:tc>
        <w:tc>
          <w:tcPr>
            <w:tcW w:w="1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(8,467)</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(136,102)</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(2,846)</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ind w:left="10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(147,415)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Purchase of restricted investments</w:t>
            </w:r>
          </w:p>
        </w:tc>
        <w:tc>
          <w:tcPr>
            <w:tcW w:w="10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(8,008)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(8,008)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4"/>
                <w:szCs w:val="14"/>
                <w:color w:val="auto"/>
              </w:rPr>
              <w:t>Proceeds from sale of property and equipment</w:t>
            </w:r>
          </w:p>
        </w:tc>
        <w:tc>
          <w:tcPr>
            <w:tcW w:w="1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1,002</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ind w:left="10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tcPr>
          <w:p>
            <w:pPr>
              <w:spacing w:after="0" w:line="143" w:lineRule="exact"/>
              <w:rPr>
                <w:sz w:val="20"/>
                <w:szCs w:val="20"/>
                <w:color w:val="auto"/>
              </w:rPr>
            </w:pPr>
            <w:r>
              <w:rPr>
                <w:rFonts w:ascii="Arial" w:cs="Arial" w:eastAsia="Arial" w:hAnsi="Arial"/>
                <w:sz w:val="14"/>
                <w:szCs w:val="14"/>
                <w:color w:val="auto"/>
              </w:rPr>
              <w:t>Cash (used in) provided by business</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Pr>
          <w:p>
            <w:pPr>
              <w:ind w:left="100"/>
              <w:spacing w:after="0"/>
              <w:rPr>
                <w:sz w:val="20"/>
                <w:szCs w:val="20"/>
                <w:color w:val="auto"/>
              </w:rPr>
            </w:pPr>
            <w:r>
              <w:rPr>
                <w:rFonts w:ascii="Arial" w:cs="Arial" w:eastAsia="Arial" w:hAnsi="Arial"/>
                <w:sz w:val="14"/>
                <w:szCs w:val="14"/>
                <w:color w:val="auto"/>
              </w:rPr>
              <w:t>combinations</w:t>
            </w:r>
          </w:p>
        </w:tc>
        <w:tc>
          <w:tcPr>
            <w:tcW w:w="10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(1,010,175)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(103,052)</w:t>
            </w:r>
          </w:p>
        </w:tc>
        <w:tc>
          <w:tcPr>
            <w:tcW w:w="12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(1,113,227)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4"/>
                <w:szCs w:val="14"/>
                <w:color w:val="auto"/>
              </w:rPr>
              <w:t>Investments in and advances to unconsolidated affiliate</w:t>
            </w:r>
          </w:p>
        </w:tc>
        <w:tc>
          <w:tcPr>
            <w:tcW w:w="1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(581)</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ind w:left="10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156"/>
        </w:trPr>
        <w:tc>
          <w:tcPr>
            <w:tcW w:w="3560" w:type="dxa"/>
            <w:vAlign w:val="bottom"/>
            <w:gridSpan w:val="2"/>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(1,018,642)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(238,733)</w:t>
            </w: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(10,854)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ind w:left="1040"/>
              <w:spacing w:after="0" w:line="155" w:lineRule="exact"/>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(1,268,229)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FINANCING ACTIVITIES:</w:t>
            </w:r>
          </w:p>
        </w:tc>
        <w:tc>
          <w:tcPr>
            <w:tcW w:w="10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Proceeds from issuance of long-term debt</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600,000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246,000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846,000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4"/>
                <w:szCs w:val="14"/>
                <w:color w:val="auto"/>
              </w:rPr>
              <w:t>Borrowings under Revolving Credit Facility</w:t>
            </w: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315,358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ind w:left="10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315,358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Payments under Revolving Credit Facility</w:t>
            </w:r>
          </w:p>
        </w:tc>
        <w:tc>
          <w:tcPr>
            <w:tcW w:w="10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(70,358)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(70,358)</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proceeds from (payments to) related</w:t>
            </w: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60"/>
              <w:spacing w:after="0"/>
              <w:rPr>
                <w:sz w:val="20"/>
                <w:szCs w:val="20"/>
                <w:color w:val="auto"/>
              </w:rPr>
            </w:pPr>
            <w:r>
              <w:rPr>
                <w:rFonts w:ascii="Arial" w:cs="Arial" w:eastAsia="Arial" w:hAnsi="Arial"/>
                <w:sz w:val="14"/>
                <w:szCs w:val="14"/>
                <w:color w:val="auto"/>
              </w:rPr>
              <w:t>parties</w:t>
            </w: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285,026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(290,312)</w:t>
            </w: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5,286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ind w:left="10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Debt issuance costs</w:t>
            </w:r>
          </w:p>
        </w:tc>
        <w:tc>
          <w:tcPr>
            <w:tcW w:w="10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(25,758)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(25,758)</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Taxes paid related to net share settlement</w:t>
            </w: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of equity awards</w:t>
            </w:r>
          </w:p>
        </w:tc>
        <w:tc>
          <w:tcPr>
            <w:tcW w:w="1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(11,708)</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ind w:left="10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(11,708)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Proceeds from exercise of stock options</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4"/>
                <w:szCs w:val="14"/>
                <w:color w:val="auto"/>
              </w:rPr>
              <w:t>Purchase of treasury stock</w:t>
            </w:r>
          </w:p>
        </w:tc>
        <w:tc>
          <w:tcPr>
            <w:tcW w:w="1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(9,131)</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ind w:left="10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(9,131)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Payments on other long-term payables</w:t>
            </w:r>
          </w:p>
        </w:tc>
        <w:tc>
          <w:tcPr>
            <w:tcW w:w="10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(296)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54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Net cash provided by (used in)</w:t>
            </w:r>
          </w:p>
        </w:tc>
        <w:tc>
          <w:tcPr>
            <w:tcW w:w="100" w:type="dxa"/>
            <w:vAlign w:val="bottom"/>
            <w:tcBorders>
              <w:top w:val="single" w:sz="8" w:color="auto"/>
            </w:tcBorders>
            <w:shd w:val="clear" w:color="auto" w:fill="CFF0FC"/>
          </w:tcPr>
          <w:p>
            <w:pPr>
              <w:spacing w:after="0"/>
              <w:rPr>
                <w:sz w:val="11"/>
                <w:szCs w:val="11"/>
                <w:color w:val="auto"/>
              </w:rPr>
            </w:pPr>
          </w:p>
        </w:tc>
        <w:tc>
          <w:tcPr>
            <w:tcW w:w="12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financing activities</w:t>
            </w: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1,083,491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(44,590)</w:t>
            </w: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4,990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ind w:left="10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1,043,891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560" w:type="dxa"/>
            <w:vAlign w:val="bottom"/>
            <w:gridSpan w:val="2"/>
          </w:tcPr>
          <w:p>
            <w:pPr>
              <w:spacing w:after="0" w:line="137" w:lineRule="exact"/>
              <w:rPr>
                <w:sz w:val="20"/>
                <w:szCs w:val="20"/>
                <w:color w:val="auto"/>
              </w:rPr>
            </w:pPr>
            <w:r>
              <w:rPr>
                <w:rFonts w:ascii="Arial" w:cs="Arial" w:eastAsia="Arial" w:hAnsi="Arial"/>
                <w:sz w:val="14"/>
                <w:szCs w:val="14"/>
                <w:color w:val="auto"/>
              </w:rPr>
              <w:t>Increase in cash, cash equivalents and</w:t>
            </w: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Pr>
          <w:p>
            <w:pPr>
              <w:ind w:left="100"/>
              <w:spacing w:after="0"/>
              <w:rPr>
                <w:sz w:val="20"/>
                <w:szCs w:val="20"/>
                <w:color w:val="auto"/>
              </w:rPr>
            </w:pPr>
            <w:r>
              <w:rPr>
                <w:rFonts w:ascii="Arial" w:cs="Arial" w:eastAsia="Arial" w:hAnsi="Arial"/>
                <w:sz w:val="14"/>
                <w:szCs w:val="14"/>
                <w:color w:val="auto"/>
              </w:rPr>
              <w:t>restricted cash</w:t>
            </w:r>
          </w:p>
        </w:tc>
        <w:tc>
          <w:tcPr>
            <w:tcW w:w="10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(987)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104,253</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(4,324)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98,942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Cash, cash equivalents and restricted</w:t>
            </w: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cash, beginning of period</w:t>
            </w: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13,831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118,419</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15,499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ind w:left="10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147,749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560" w:type="dxa"/>
            <w:vAlign w:val="bottom"/>
            <w:gridSpan w:val="2"/>
          </w:tcPr>
          <w:p>
            <w:pPr>
              <w:spacing w:after="0" w:line="137" w:lineRule="exact"/>
              <w:rPr>
                <w:sz w:val="20"/>
                <w:szCs w:val="20"/>
                <w:color w:val="auto"/>
              </w:rPr>
            </w:pPr>
            <w:r>
              <w:rPr>
                <w:rFonts w:ascii="Arial" w:cs="Arial" w:eastAsia="Arial" w:hAnsi="Arial"/>
                <w:sz w:val="14"/>
                <w:szCs w:val="14"/>
                <w:color w:val="auto"/>
              </w:rPr>
              <w:t>Cash, cash equivalents and restricted</w:t>
            </w: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Arial" w:cs="Arial" w:eastAsia="Arial" w:hAnsi="Arial"/>
                <w:sz w:val="14"/>
                <w:szCs w:val="14"/>
                <w:color w:val="auto"/>
              </w:rPr>
              <w:t>cash, end of period</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12,844</w:t>
            </w:r>
          </w:p>
        </w:tc>
        <w:tc>
          <w:tcPr>
            <w:tcW w:w="1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222,672</w:t>
            </w:r>
          </w:p>
        </w:tc>
        <w:tc>
          <w:tcPr>
            <w:tcW w:w="280" w:type="dxa"/>
            <w:vAlign w:val="bottom"/>
          </w:tcPr>
          <w:p>
            <w:pPr>
              <w:spacing w:after="0"/>
              <w:rPr>
                <w:sz w:val="18"/>
                <w:szCs w:val="18"/>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11,175</w:t>
            </w:r>
          </w:p>
        </w:tc>
        <w:tc>
          <w:tcPr>
            <w:tcW w:w="1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246,691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35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2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3540" w:type="dxa"/>
            <w:vAlign w:val="bottom"/>
          </w:tcPr>
          <w:p>
            <w:pPr>
              <w:spacing w:after="0" w:line="143" w:lineRule="exact"/>
              <w:rPr>
                <w:sz w:val="20"/>
                <w:szCs w:val="20"/>
                <w:color w:val="auto"/>
              </w:rPr>
            </w:pPr>
            <w:r>
              <w:rPr>
                <w:rFonts w:ascii="Arial" w:cs="Arial" w:eastAsia="Arial" w:hAnsi="Arial"/>
                <w:sz w:val="14"/>
                <w:szCs w:val="14"/>
                <w:color w:val="auto"/>
              </w:rPr>
              <w:t>RECONCILIATION OF CASH,</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ind w:left="100"/>
              <w:spacing w:after="0" w:line="149" w:lineRule="exact"/>
              <w:rPr>
                <w:sz w:val="20"/>
                <w:szCs w:val="20"/>
                <w:color w:val="auto"/>
              </w:rPr>
            </w:pPr>
            <w:r>
              <w:rPr>
                <w:rFonts w:ascii="Arial" w:cs="Arial" w:eastAsia="Arial" w:hAnsi="Arial"/>
                <w:sz w:val="14"/>
                <w:szCs w:val="14"/>
                <w:color w:val="auto"/>
              </w:rPr>
              <w:t>CASH EQUIVALENTS AND</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ind w:left="100"/>
              <w:spacing w:after="0" w:line="149" w:lineRule="exact"/>
              <w:rPr>
                <w:sz w:val="20"/>
                <w:szCs w:val="20"/>
                <w:color w:val="auto"/>
              </w:rPr>
            </w:pPr>
            <w:r>
              <w:rPr>
                <w:rFonts w:ascii="Arial" w:cs="Arial" w:eastAsia="Arial" w:hAnsi="Arial"/>
                <w:sz w:val="14"/>
                <w:szCs w:val="14"/>
                <w:color w:val="auto"/>
              </w:rPr>
              <w:t>RESTRICTED CASH TO</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ind w:left="100"/>
              <w:spacing w:after="0" w:line="149" w:lineRule="exact"/>
              <w:rPr>
                <w:sz w:val="20"/>
                <w:szCs w:val="20"/>
                <w:color w:val="auto"/>
              </w:rPr>
            </w:pPr>
            <w:r>
              <w:rPr>
                <w:rFonts w:ascii="Arial" w:cs="Arial" w:eastAsia="Arial" w:hAnsi="Arial"/>
                <w:sz w:val="14"/>
                <w:szCs w:val="14"/>
                <w:color w:val="auto"/>
              </w:rPr>
              <w:t>AMOUNTS REPORTED WITHIN</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ind w:left="100"/>
              <w:spacing w:after="0" w:line="149" w:lineRule="exact"/>
              <w:rPr>
                <w:sz w:val="20"/>
                <w:szCs w:val="20"/>
                <w:color w:val="auto"/>
              </w:rPr>
            </w:pPr>
            <w:r>
              <w:rPr>
                <w:rFonts w:ascii="Arial" w:cs="Arial" w:eastAsia="Arial" w:hAnsi="Arial"/>
                <w:sz w:val="14"/>
                <w:szCs w:val="14"/>
                <w:color w:val="auto"/>
              </w:rPr>
              <w:t>THE CONDENSED CONSOLIDATED</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Pr>
          <w:p>
            <w:pPr>
              <w:ind w:left="100"/>
              <w:spacing w:after="0"/>
              <w:rPr>
                <w:sz w:val="20"/>
                <w:szCs w:val="20"/>
                <w:color w:val="auto"/>
              </w:rPr>
            </w:pPr>
            <w:r>
              <w:rPr>
                <w:rFonts w:ascii="Arial" w:cs="Arial" w:eastAsia="Arial" w:hAnsi="Arial"/>
                <w:sz w:val="14"/>
                <w:szCs w:val="14"/>
                <w:color w:val="auto"/>
              </w:rPr>
              <w:t>BALANCE SHEETS:</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12,127</w:t>
            </w:r>
          </w:p>
        </w:tc>
        <w:tc>
          <w:tcPr>
            <w:tcW w:w="16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208,697</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9,928</w:t>
            </w:r>
          </w:p>
        </w:tc>
        <w:tc>
          <w:tcPr>
            <w:tcW w:w="16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FF0FC"/>
          </w:tcPr>
          <w:p>
            <w:pPr>
              <w:ind w:left="10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230,752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spacing w:after="0"/>
              <w:rPr>
                <w:sz w:val="20"/>
                <w:szCs w:val="20"/>
                <w:color w:val="auto"/>
              </w:rPr>
            </w:pPr>
            <w:r>
              <w:rPr>
                <w:rFonts w:ascii="Arial" w:cs="Arial" w:eastAsia="Arial" w:hAnsi="Arial"/>
                <w:sz w:val="14"/>
                <w:szCs w:val="14"/>
                <w:color w:val="auto"/>
              </w:rPr>
              <w:t>Restricted cash</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717</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7,920</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247</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8,884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Restricted and escrow cash included in other</w:t>
            </w: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noncurrent assets</w:t>
            </w:r>
          </w:p>
        </w:tc>
        <w:tc>
          <w:tcPr>
            <w:tcW w:w="1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6,055</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ind w:left="10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7,055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560" w:type="dxa"/>
            <w:vAlign w:val="bottom"/>
            <w:gridSpan w:val="2"/>
          </w:tcPr>
          <w:p>
            <w:pPr>
              <w:spacing w:after="0" w:line="137" w:lineRule="exact"/>
              <w:rPr>
                <w:sz w:val="20"/>
                <w:szCs w:val="20"/>
                <w:color w:val="auto"/>
              </w:rPr>
            </w:pPr>
            <w:r>
              <w:rPr>
                <w:rFonts w:ascii="Arial" w:cs="Arial" w:eastAsia="Arial" w:hAnsi="Arial"/>
                <w:sz w:val="14"/>
                <w:szCs w:val="14"/>
                <w:color w:val="auto"/>
              </w:rPr>
              <w:t>Total cash, cash equivalents and restricted</w:t>
            </w: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Pr>
          <w:p>
            <w:pPr>
              <w:ind w:left="100"/>
              <w:spacing w:after="0"/>
              <w:rPr>
                <w:sz w:val="20"/>
                <w:szCs w:val="20"/>
                <w:color w:val="auto"/>
              </w:rPr>
            </w:pPr>
            <w:r>
              <w:rPr>
                <w:rFonts w:ascii="Arial" w:cs="Arial" w:eastAsia="Arial" w:hAnsi="Arial"/>
                <w:sz w:val="14"/>
                <w:szCs w:val="14"/>
                <w:color w:val="auto"/>
              </w:rPr>
              <w:t>cash</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12,844</w:t>
            </w:r>
          </w:p>
        </w:tc>
        <w:tc>
          <w:tcPr>
            <w:tcW w:w="160" w:type="dxa"/>
            <w:vAlign w:val="bottom"/>
          </w:tcPr>
          <w:p>
            <w:pPr>
              <w:spacing w:after="0"/>
              <w:rPr>
                <w:sz w:val="14"/>
                <w:szCs w:val="14"/>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222,672</w:t>
            </w:r>
          </w:p>
        </w:tc>
        <w:tc>
          <w:tcPr>
            <w:tcW w:w="280" w:type="dxa"/>
            <w:vAlign w:val="bottom"/>
          </w:tcPr>
          <w:p>
            <w:pPr>
              <w:spacing w:after="0"/>
              <w:rPr>
                <w:sz w:val="14"/>
                <w:szCs w:val="1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11,175</w:t>
            </w:r>
          </w:p>
        </w:tc>
        <w:tc>
          <w:tcPr>
            <w:tcW w:w="160" w:type="dxa"/>
            <w:vAlign w:val="bottom"/>
          </w:tcPr>
          <w:p>
            <w:pPr>
              <w:spacing w:after="0"/>
              <w:rPr>
                <w:sz w:val="14"/>
                <w:szCs w:val="1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246,691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0" w:name="page131"/>
    <w:bookmarkEnd w:id="130"/>
    <w:p>
      <w:pPr>
        <w:ind w:left="560"/>
        <w:spacing w:after="0"/>
        <w:rPr>
          <w:sz w:val="20"/>
          <w:szCs w:val="20"/>
          <w:color w:val="auto"/>
        </w:rPr>
      </w:pPr>
      <w:r>
        <w:rPr>
          <w:rFonts w:ascii="Arial" w:cs="Arial" w:eastAsia="Arial" w:hAnsi="Arial"/>
          <w:sz w:val="18"/>
          <w:szCs w:val="18"/>
          <w:color w:val="auto"/>
        </w:rPr>
        <w:t>The consolidating condensed statement of cash flows for the year ended December 31, 2017 is as follows: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Cash Flows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Eldorado</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3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Non-Guarantor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Consolidating</w:t>
            </w: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(Parent Obligor)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Entries</w:t>
            </w: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cash (used in) provided by</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operating activities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(44,737)</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170,553</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4,070</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FF0FC"/>
          </w:tcPr>
          <w:p>
            <w:pPr>
              <w:ind w:left="10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129,886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80" w:type="dxa"/>
            <w:vAlign w:val="bottom"/>
            <w:gridSpan w:val="2"/>
          </w:tcPr>
          <w:p>
            <w:pPr>
              <w:spacing w:after="0" w:line="155" w:lineRule="exact"/>
              <w:rPr>
                <w:sz w:val="20"/>
                <w:szCs w:val="20"/>
                <w:color w:val="auto"/>
              </w:rPr>
            </w:pPr>
            <w:r>
              <w:rPr>
                <w:rFonts w:ascii="Arial" w:cs="Arial" w:eastAsia="Arial" w:hAnsi="Arial"/>
                <w:sz w:val="14"/>
                <w:szCs w:val="14"/>
                <w:color w:val="auto"/>
              </w:rPr>
              <w:t>INVESTING ACTIVITIES:</w:t>
            </w: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4"/>
                <w:szCs w:val="14"/>
                <w:color w:val="auto"/>
              </w:rPr>
              <w:t>Purchase of property and equipment, net</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(11,073)</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(70,449)</w:t>
            </w:r>
          </w:p>
        </w:tc>
        <w:tc>
          <w:tcPr>
            <w:tcW w:w="1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(1,639)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ind w:left="10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(83,161)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Arial" w:cs="Arial" w:eastAsia="Arial" w:hAnsi="Arial"/>
                <w:sz w:val="14"/>
                <w:szCs w:val="14"/>
                <w:color w:val="auto"/>
              </w:rPr>
              <w:t>Proceeds from sale of property and equipment</w:t>
            </w:r>
          </w:p>
        </w:tc>
        <w:tc>
          <w:tcPr>
            <w:tcW w:w="12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135</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cash (used in) provided by business</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combinations</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(1,355,370)</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37,103</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5,216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ind w:left="10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(1,313,051)</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60" w:type="dxa"/>
            <w:vAlign w:val="bottom"/>
          </w:tcPr>
          <w:p>
            <w:pPr>
              <w:spacing w:after="0" w:line="143" w:lineRule="exact"/>
              <w:rPr>
                <w:sz w:val="20"/>
                <w:szCs w:val="20"/>
                <w:color w:val="auto"/>
              </w:rPr>
            </w:pPr>
            <w:r>
              <w:rPr>
                <w:rFonts w:ascii="Arial" w:cs="Arial" w:eastAsia="Arial" w:hAnsi="Arial"/>
                <w:sz w:val="14"/>
                <w:szCs w:val="14"/>
                <w:color w:val="auto"/>
              </w:rPr>
              <w:t>Investments in and advances to</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ind w:left="100"/>
              <w:spacing w:after="0"/>
              <w:rPr>
                <w:sz w:val="20"/>
                <w:szCs w:val="20"/>
                <w:color w:val="auto"/>
              </w:rPr>
            </w:pPr>
            <w:r>
              <w:rPr>
                <w:rFonts w:ascii="Arial" w:cs="Arial" w:eastAsia="Arial" w:hAnsi="Arial"/>
                <w:sz w:val="14"/>
                <w:szCs w:val="14"/>
                <w:color w:val="auto"/>
              </w:rPr>
              <w:t>unconsolidated affiliate</w:t>
            </w:r>
          </w:p>
        </w:tc>
        <w:tc>
          <w:tcPr>
            <w:tcW w:w="12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(604)</w:t>
            </w:r>
          </w:p>
        </w:tc>
        <w:tc>
          <w:tcPr>
            <w:tcW w:w="14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(1,366,443)</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(33,815)</w:t>
            </w: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3,577</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240" w:type="dxa"/>
            <w:vAlign w:val="bottom"/>
            <w:tcBorders>
              <w:top w:val="single" w:sz="8" w:color="auto"/>
              <w:bottom w:val="single" w:sz="8" w:color="auto"/>
            </w:tcBorders>
            <w:shd w:val="clear" w:color="auto" w:fill="CFF0FC"/>
          </w:tcPr>
          <w:p>
            <w:pPr>
              <w:ind w:left="108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(1,396,681)</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80" w:type="dxa"/>
            <w:vAlign w:val="bottom"/>
            <w:gridSpan w:val="2"/>
          </w:tcPr>
          <w:p>
            <w:pPr>
              <w:spacing w:after="0" w:line="155" w:lineRule="exact"/>
              <w:rPr>
                <w:sz w:val="20"/>
                <w:szCs w:val="20"/>
                <w:color w:val="auto"/>
              </w:rPr>
            </w:pPr>
            <w:r>
              <w:rPr>
                <w:rFonts w:ascii="Arial" w:cs="Arial" w:eastAsia="Arial" w:hAnsi="Arial"/>
                <w:sz w:val="14"/>
                <w:szCs w:val="14"/>
                <w:color w:val="auto"/>
              </w:rPr>
              <w:t>FINANCING ACTIVITIES:</w:t>
            </w: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4"/>
                <w:szCs w:val="14"/>
                <w:color w:val="auto"/>
              </w:rPr>
              <w:t>Proceeds from issuance of long-term debt</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2,325,000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ind w:left="10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2,325,000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60" w:type="dxa"/>
            <w:vAlign w:val="bottom"/>
          </w:tcPr>
          <w:p>
            <w:pPr>
              <w:spacing w:after="0" w:line="143" w:lineRule="exact"/>
              <w:rPr>
                <w:sz w:val="20"/>
                <w:szCs w:val="20"/>
                <w:color w:val="auto"/>
              </w:rPr>
            </w:pPr>
            <w:r>
              <w:rPr>
                <w:rFonts w:ascii="Arial" w:cs="Arial" w:eastAsia="Arial" w:hAnsi="Arial"/>
                <w:sz w:val="14"/>
                <w:szCs w:val="14"/>
                <w:color w:val="auto"/>
              </w:rPr>
              <w:t>Borrowings under Revolving Credit</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ind w:left="100"/>
              <w:spacing w:after="0"/>
              <w:rPr>
                <w:sz w:val="20"/>
                <w:szCs w:val="20"/>
                <w:color w:val="auto"/>
              </w:rPr>
            </w:pPr>
            <w:r>
              <w:rPr>
                <w:rFonts w:ascii="Arial" w:cs="Arial" w:eastAsia="Arial" w:hAnsi="Arial"/>
                <w:sz w:val="14"/>
                <w:szCs w:val="14"/>
                <w:color w:val="auto"/>
              </w:rPr>
              <w:t>Facility</w:t>
            </w: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207,953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207,953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4"/>
                <w:szCs w:val="14"/>
                <w:color w:val="auto"/>
              </w:rPr>
              <w:t>Payments under long-term debt</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(911,875)</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ind w:left="10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(911,875)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Arial" w:cs="Arial" w:eastAsia="Arial" w:hAnsi="Arial"/>
                <w:sz w:val="14"/>
                <w:szCs w:val="14"/>
                <w:color w:val="auto"/>
              </w:rPr>
              <w:t>Payments under Revolving Credit Facility</w:t>
            </w:r>
          </w:p>
        </w:tc>
        <w:tc>
          <w:tcPr>
            <w:tcW w:w="12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(236,953)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(236,953)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proceeds from (payments to) related</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parties</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72,011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(79,634)</w:t>
            </w: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7,623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ind w:left="10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Arial" w:cs="Arial" w:eastAsia="Arial" w:hAnsi="Arial"/>
                <w:sz w:val="14"/>
                <w:szCs w:val="14"/>
                <w:color w:val="auto"/>
              </w:rPr>
              <w:t>Debt premium proceeds</w:t>
            </w: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27,500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27,500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4"/>
                <w:szCs w:val="14"/>
                <w:color w:val="auto"/>
              </w:rPr>
              <w:t>Payments on other long-term payables</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(318)</w:t>
            </w:r>
          </w:p>
        </w:tc>
        <w:tc>
          <w:tcPr>
            <w:tcW w:w="1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ind w:left="10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Arial" w:cs="Arial" w:eastAsia="Arial" w:hAnsi="Arial"/>
                <w:sz w:val="14"/>
                <w:szCs w:val="14"/>
                <w:color w:val="auto"/>
              </w:rPr>
              <w:t>Debt issuance costs</w:t>
            </w:r>
          </w:p>
        </w:tc>
        <w:tc>
          <w:tcPr>
            <w:tcW w:w="12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(51,526)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(51,526)</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Taxes paid related to net share settlement of</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equity awards</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(11,365)</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ind w:left="10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(11,365)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Arial" w:cs="Arial" w:eastAsia="Arial" w:hAnsi="Arial"/>
                <w:sz w:val="14"/>
                <w:szCs w:val="14"/>
                <w:color w:val="auto"/>
              </w:rPr>
              <w:t>Proceeds from exercise of stock options</w:t>
            </w: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56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Net cash provided by (used in)</w:t>
            </w:r>
          </w:p>
        </w:tc>
        <w:tc>
          <w:tcPr>
            <w:tcW w:w="120" w:type="dxa"/>
            <w:vAlign w:val="bottom"/>
            <w:tcBorders>
              <w:top w:val="single" w:sz="8" w:color="auto"/>
            </w:tcBorders>
            <w:shd w:val="clear" w:color="auto" w:fill="CFF0FC"/>
          </w:tcPr>
          <w:p>
            <w:pPr>
              <w:spacing w:after="0"/>
              <w:rPr>
                <w:sz w:val="11"/>
                <w:szCs w:val="11"/>
                <w:color w:val="auto"/>
              </w:rPr>
            </w:pPr>
          </w:p>
        </w:tc>
        <w:tc>
          <w:tcPr>
            <w:tcW w:w="12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24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financing activities</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1,423,602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(79,952)</w:t>
            </w: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7,451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ind w:left="10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1,351,101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580" w:type="dxa"/>
            <w:vAlign w:val="bottom"/>
            <w:gridSpan w:val="2"/>
          </w:tcPr>
          <w:p>
            <w:pPr>
              <w:spacing w:after="0" w:line="137" w:lineRule="exact"/>
              <w:rPr>
                <w:sz w:val="20"/>
                <w:szCs w:val="20"/>
                <w:color w:val="auto"/>
              </w:rPr>
            </w:pPr>
            <w:r>
              <w:rPr>
                <w:rFonts w:ascii="Arial" w:cs="Arial" w:eastAsia="Arial" w:hAnsi="Arial"/>
                <w:sz w:val="14"/>
                <w:szCs w:val="14"/>
                <w:color w:val="auto"/>
              </w:rPr>
              <w:t>Increase in cash, cash equivalents and</w:t>
            </w: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ind w:left="100"/>
              <w:spacing w:after="0"/>
              <w:rPr>
                <w:sz w:val="20"/>
                <w:szCs w:val="20"/>
                <w:color w:val="auto"/>
              </w:rPr>
            </w:pPr>
            <w:r>
              <w:rPr>
                <w:rFonts w:ascii="Arial" w:cs="Arial" w:eastAsia="Arial" w:hAnsi="Arial"/>
                <w:sz w:val="14"/>
                <w:szCs w:val="14"/>
                <w:color w:val="auto"/>
              </w:rPr>
              <w:t>restricted cash</w:t>
            </w: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12,422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56,786</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15,098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84,306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Cash, cash equivalents and restricted</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cash, beginning of period</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61,633</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ind w:left="10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63,443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580" w:type="dxa"/>
            <w:vAlign w:val="bottom"/>
            <w:gridSpan w:val="2"/>
          </w:tcPr>
          <w:p>
            <w:pPr>
              <w:spacing w:after="0" w:line="137" w:lineRule="exact"/>
              <w:rPr>
                <w:sz w:val="20"/>
                <w:szCs w:val="20"/>
                <w:color w:val="auto"/>
              </w:rPr>
            </w:pPr>
            <w:r>
              <w:rPr>
                <w:rFonts w:ascii="Arial" w:cs="Arial" w:eastAsia="Arial" w:hAnsi="Arial"/>
                <w:sz w:val="14"/>
                <w:szCs w:val="14"/>
                <w:color w:val="auto"/>
              </w:rPr>
              <w:t>Cash, cash equivalents and restricted</w:t>
            </w: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ind w:left="100"/>
              <w:spacing w:after="0"/>
              <w:rPr>
                <w:sz w:val="20"/>
                <w:szCs w:val="20"/>
                <w:color w:val="auto"/>
              </w:rPr>
            </w:pPr>
            <w:r>
              <w:rPr>
                <w:rFonts w:ascii="Arial" w:cs="Arial" w:eastAsia="Arial" w:hAnsi="Arial"/>
                <w:sz w:val="14"/>
                <w:szCs w:val="14"/>
                <w:color w:val="auto"/>
              </w:rPr>
              <w:t>cash, end of period</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13,831</w:t>
            </w:r>
          </w:p>
        </w:tc>
        <w:tc>
          <w:tcPr>
            <w:tcW w:w="140" w:type="dxa"/>
            <w:vAlign w:val="bottom"/>
          </w:tcPr>
          <w:p>
            <w:pPr>
              <w:spacing w:after="0"/>
              <w:rPr>
                <w:sz w:val="14"/>
                <w:szCs w:val="14"/>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118,419</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15,499</w:t>
            </w:r>
          </w:p>
        </w:tc>
        <w:tc>
          <w:tcPr>
            <w:tcW w:w="140" w:type="dxa"/>
            <w:vAlign w:val="bottom"/>
          </w:tcPr>
          <w:p>
            <w:pPr>
              <w:spacing w:after="0"/>
              <w:rPr>
                <w:sz w:val="14"/>
                <w:szCs w:val="1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147,749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3560" w:type="dxa"/>
            <w:vAlign w:val="bottom"/>
          </w:tcPr>
          <w:p>
            <w:pPr>
              <w:spacing w:after="0" w:line="143" w:lineRule="exact"/>
              <w:rPr>
                <w:sz w:val="20"/>
                <w:szCs w:val="20"/>
                <w:color w:val="auto"/>
              </w:rPr>
            </w:pPr>
            <w:r>
              <w:rPr>
                <w:rFonts w:ascii="Arial" w:cs="Arial" w:eastAsia="Arial" w:hAnsi="Arial"/>
                <w:sz w:val="14"/>
                <w:szCs w:val="14"/>
                <w:color w:val="auto"/>
              </w:rPr>
              <w:t>RECONCILIATION OF CASH,</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ind w:left="100"/>
              <w:spacing w:after="0" w:line="149" w:lineRule="exact"/>
              <w:rPr>
                <w:sz w:val="20"/>
                <w:szCs w:val="20"/>
                <w:color w:val="auto"/>
              </w:rPr>
            </w:pPr>
            <w:r>
              <w:rPr>
                <w:rFonts w:ascii="Arial" w:cs="Arial" w:eastAsia="Arial" w:hAnsi="Arial"/>
                <w:sz w:val="14"/>
                <w:szCs w:val="14"/>
                <w:color w:val="auto"/>
              </w:rPr>
              <w:t>CASH EQUIVALENTS AND RESTRICTED</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ind w:left="100"/>
              <w:spacing w:after="0" w:line="149" w:lineRule="exact"/>
              <w:rPr>
                <w:sz w:val="20"/>
                <w:szCs w:val="20"/>
                <w:color w:val="auto"/>
              </w:rPr>
            </w:pPr>
            <w:r>
              <w:rPr>
                <w:rFonts w:ascii="Arial" w:cs="Arial" w:eastAsia="Arial" w:hAnsi="Arial"/>
                <w:sz w:val="14"/>
                <w:szCs w:val="14"/>
                <w:color w:val="auto"/>
              </w:rPr>
              <w:t>CASH TO AMOUNTS REPORTED</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ind w:left="100"/>
              <w:spacing w:after="0" w:line="149" w:lineRule="exact"/>
              <w:rPr>
                <w:sz w:val="20"/>
                <w:szCs w:val="20"/>
                <w:color w:val="auto"/>
              </w:rPr>
            </w:pPr>
            <w:r>
              <w:rPr>
                <w:rFonts w:ascii="Arial" w:cs="Arial" w:eastAsia="Arial" w:hAnsi="Arial"/>
                <w:sz w:val="14"/>
                <w:szCs w:val="14"/>
                <w:color w:val="auto"/>
              </w:rPr>
              <w:t>WITHIN THE CONDENSED</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ind w:left="100"/>
              <w:spacing w:after="0"/>
              <w:rPr>
                <w:sz w:val="20"/>
                <w:szCs w:val="20"/>
                <w:color w:val="auto"/>
              </w:rPr>
            </w:pPr>
            <w:r>
              <w:rPr>
                <w:rFonts w:ascii="Arial" w:cs="Arial" w:eastAsia="Arial" w:hAnsi="Arial"/>
                <w:sz w:val="14"/>
                <w:szCs w:val="14"/>
                <w:color w:val="auto"/>
              </w:rPr>
              <w:t>CONSOLIDATED BALANCE SHEETS:</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13,202</w:t>
            </w:r>
          </w:p>
        </w:tc>
        <w:tc>
          <w:tcPr>
            <w:tcW w:w="14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114,925</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6,469</w:t>
            </w:r>
          </w:p>
        </w:tc>
        <w:tc>
          <w:tcPr>
            <w:tcW w:w="14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FF0FC"/>
          </w:tcPr>
          <w:p>
            <w:pPr>
              <w:ind w:left="10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134,596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rPr>
                <w:sz w:val="20"/>
                <w:szCs w:val="20"/>
                <w:color w:val="auto"/>
              </w:rPr>
            </w:pPr>
            <w:r>
              <w:rPr>
                <w:rFonts w:ascii="Arial" w:cs="Arial" w:eastAsia="Arial" w:hAnsi="Arial"/>
                <w:sz w:val="14"/>
                <w:szCs w:val="14"/>
                <w:color w:val="auto"/>
              </w:rPr>
              <w:t>Restricted cash</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629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2,495</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3,267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Restricted cash included in other noncurrent</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assets</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999</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8,887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ind w:left="10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9,886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580" w:type="dxa"/>
            <w:vAlign w:val="bottom"/>
            <w:gridSpan w:val="2"/>
          </w:tcPr>
          <w:p>
            <w:pPr>
              <w:spacing w:after="0" w:line="137" w:lineRule="exact"/>
              <w:rPr>
                <w:sz w:val="20"/>
                <w:szCs w:val="20"/>
                <w:color w:val="auto"/>
              </w:rPr>
            </w:pPr>
            <w:r>
              <w:rPr>
                <w:rFonts w:ascii="Arial" w:cs="Arial" w:eastAsia="Arial" w:hAnsi="Arial"/>
                <w:sz w:val="14"/>
                <w:szCs w:val="14"/>
                <w:color w:val="auto"/>
              </w:rPr>
              <w:t>Total cash, cash equivalents and restricted</w:t>
            </w: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ind w:left="100"/>
              <w:spacing w:after="0"/>
              <w:rPr>
                <w:sz w:val="20"/>
                <w:szCs w:val="20"/>
                <w:color w:val="auto"/>
              </w:rPr>
            </w:pPr>
            <w:r>
              <w:rPr>
                <w:rFonts w:ascii="Arial" w:cs="Arial" w:eastAsia="Arial" w:hAnsi="Arial"/>
                <w:sz w:val="14"/>
                <w:szCs w:val="14"/>
                <w:color w:val="auto"/>
              </w:rPr>
              <w:t>cash</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13,831</w:t>
            </w:r>
          </w:p>
        </w:tc>
        <w:tc>
          <w:tcPr>
            <w:tcW w:w="140" w:type="dxa"/>
            <w:vAlign w:val="bottom"/>
          </w:tcPr>
          <w:p>
            <w:pPr>
              <w:spacing w:after="0"/>
              <w:rPr>
                <w:sz w:val="14"/>
                <w:szCs w:val="14"/>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118,419</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15,499</w:t>
            </w:r>
          </w:p>
        </w:tc>
        <w:tc>
          <w:tcPr>
            <w:tcW w:w="140" w:type="dxa"/>
            <w:vAlign w:val="bottom"/>
          </w:tcPr>
          <w:p>
            <w:pPr>
              <w:spacing w:after="0"/>
              <w:rPr>
                <w:sz w:val="14"/>
                <w:szCs w:val="1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147,749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1" w:name="page132"/>
    <w:bookmarkEnd w:id="131"/>
    <w:p>
      <w:pPr>
        <w:ind w:left="560"/>
        <w:spacing w:after="0"/>
        <w:rPr>
          <w:sz w:val="20"/>
          <w:szCs w:val="20"/>
          <w:color w:val="auto"/>
        </w:rPr>
      </w:pPr>
      <w:r>
        <w:rPr>
          <w:rFonts w:ascii="Arial" w:cs="Arial" w:eastAsia="Arial" w:hAnsi="Arial"/>
          <w:sz w:val="18"/>
          <w:szCs w:val="18"/>
          <w:color w:val="auto"/>
        </w:rPr>
        <w:t>The consolidating condensed statement of cash flows for the year ended December 31, 2016 is as follows: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Cash Flows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Eldorado</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3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Non-Guarantor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(Parent Obligor)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Entries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37"/>
        </w:trPr>
        <w:tc>
          <w:tcPr>
            <w:tcW w:w="358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Net cash (used in) provided by</w:t>
            </w:r>
          </w:p>
        </w:tc>
        <w:tc>
          <w:tcPr>
            <w:tcW w:w="120" w:type="dxa"/>
            <w:vAlign w:val="bottom"/>
            <w:tcBorders>
              <w:top w:val="single" w:sz="8" w:color="auto"/>
            </w:tcBorders>
            <w:shd w:val="clear" w:color="auto" w:fill="CFF0FC"/>
          </w:tcPr>
          <w:p>
            <w:pPr>
              <w:spacing w:after="0"/>
              <w:rPr>
                <w:sz w:val="11"/>
                <w:szCs w:val="11"/>
                <w:color w:val="auto"/>
              </w:rPr>
            </w:pPr>
          </w:p>
        </w:tc>
        <w:tc>
          <w:tcPr>
            <w:tcW w:w="12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24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operating activities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(16,337)</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111,608</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ind w:left="1080"/>
              <w:spacing w:after="0"/>
              <w:rPr>
                <w:sz w:val="20"/>
                <w:szCs w:val="20"/>
                <w:color w:val="auto"/>
              </w:rPr>
            </w:pPr>
            <w:r>
              <w:rPr>
                <w:rFonts w:ascii="Arial" w:cs="Arial" w:eastAsia="Arial" w:hAnsi="Arial"/>
                <w:sz w:val="14"/>
                <w:szCs w:val="14"/>
                <w:color w:val="auto"/>
                <w:w w:val="99"/>
              </w:rPr>
              <w:t>—</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95,372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80" w:type="dxa"/>
            <w:vAlign w:val="bottom"/>
          </w:tcPr>
          <w:p>
            <w:pPr>
              <w:spacing w:after="0" w:line="155" w:lineRule="exact"/>
              <w:rPr>
                <w:sz w:val="20"/>
                <w:szCs w:val="20"/>
                <w:color w:val="auto"/>
              </w:rPr>
            </w:pPr>
            <w:r>
              <w:rPr>
                <w:rFonts w:ascii="Arial" w:cs="Arial" w:eastAsia="Arial" w:hAnsi="Arial"/>
                <w:sz w:val="14"/>
                <w:szCs w:val="14"/>
                <w:color w:val="auto"/>
              </w:rPr>
              <w:t>INVESTING ACTIVITIES:</w:t>
            </w: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spacing w:after="0"/>
              <w:rPr>
                <w:sz w:val="20"/>
                <w:szCs w:val="20"/>
                <w:color w:val="auto"/>
              </w:rPr>
            </w:pPr>
            <w:r>
              <w:rPr>
                <w:rFonts w:ascii="Arial" w:cs="Arial" w:eastAsia="Arial" w:hAnsi="Arial"/>
                <w:sz w:val="14"/>
                <w:szCs w:val="14"/>
                <w:color w:val="auto"/>
              </w:rPr>
              <w:t>Purchase of property and equipment, net</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(43,305)</w:t>
            </w:r>
          </w:p>
        </w:tc>
        <w:tc>
          <w:tcPr>
            <w:tcW w:w="1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ind w:left="108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(43,173)</w:t>
            </w:r>
          </w:p>
        </w:tc>
        <w:tc>
          <w:tcPr>
            <w:tcW w:w="0" w:type="dxa"/>
            <w:vAlign w:val="bottom"/>
          </w:tcPr>
          <w:p>
            <w:pPr>
              <w:spacing w:after="0"/>
              <w:rPr>
                <w:sz w:val="1"/>
                <w:szCs w:val="1"/>
                <w:color w:val="auto"/>
              </w:rPr>
            </w:pPr>
          </w:p>
        </w:tc>
      </w:tr>
      <w:tr>
        <w:trPr>
          <w:trHeight w:val="143"/>
        </w:trPr>
        <w:tc>
          <w:tcPr>
            <w:tcW w:w="3580" w:type="dxa"/>
            <w:vAlign w:val="bottom"/>
          </w:tcPr>
          <w:p>
            <w:pPr>
              <w:spacing w:after="0" w:line="143" w:lineRule="exact"/>
              <w:rPr>
                <w:sz w:val="20"/>
                <w:szCs w:val="20"/>
                <w:color w:val="auto"/>
              </w:rPr>
            </w:pPr>
            <w:r>
              <w:rPr>
                <w:rFonts w:ascii="Arial" w:cs="Arial" w:eastAsia="Arial" w:hAnsi="Arial"/>
                <w:sz w:val="14"/>
                <w:szCs w:val="14"/>
                <w:color w:val="auto"/>
              </w:rPr>
              <w:t>Proceeds from sale of property and</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80" w:type="dxa"/>
            <w:vAlign w:val="bottom"/>
          </w:tcPr>
          <w:p>
            <w:pPr>
              <w:ind w:left="120"/>
              <w:spacing w:after="0"/>
              <w:rPr>
                <w:sz w:val="20"/>
                <w:szCs w:val="20"/>
                <w:color w:val="auto"/>
              </w:rPr>
            </w:pPr>
            <w:r>
              <w:rPr>
                <w:rFonts w:ascii="Arial" w:cs="Arial" w:eastAsia="Arial" w:hAnsi="Arial"/>
                <w:sz w:val="14"/>
                <w:szCs w:val="14"/>
                <w:color w:val="auto"/>
              </w:rPr>
              <w:t>equipment</w:t>
            </w:r>
          </w:p>
        </w:tc>
        <w:tc>
          <w:tcPr>
            <w:tcW w:w="12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1,560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ind w:left="108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1,560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spacing w:after="0"/>
              <w:rPr>
                <w:sz w:val="20"/>
                <w:szCs w:val="20"/>
                <w:color w:val="auto"/>
              </w:rPr>
            </w:pPr>
            <w:r>
              <w:rPr>
                <w:rFonts w:ascii="Arial" w:cs="Arial" w:eastAsia="Arial" w:hAnsi="Arial"/>
                <w:sz w:val="14"/>
                <w:szCs w:val="14"/>
                <w:color w:val="auto"/>
              </w:rPr>
              <w:t>Net cash used in business combinations</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(194)</w:t>
            </w:r>
          </w:p>
        </w:tc>
        <w:tc>
          <w:tcPr>
            <w:tcW w:w="1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ind w:left="108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4"/>
                <w:szCs w:val="14"/>
                <w:color w:val="auto"/>
              </w:rPr>
              <w:t>Net cash used in by investing activities</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133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spacing w:after="0" w:line="155" w:lineRule="exact"/>
              <w:rPr>
                <w:sz w:val="20"/>
                <w:szCs w:val="20"/>
                <w:color w:val="auto"/>
              </w:rPr>
            </w:pPr>
            <w:r>
              <w:rPr>
                <w:rFonts w:ascii="Arial" w:cs="Arial" w:eastAsia="Arial" w:hAnsi="Arial"/>
                <w:sz w:val="14"/>
                <w:szCs w:val="14"/>
                <w:color w:val="auto"/>
              </w:rPr>
              <w:t>(41,939)</w:t>
            </w:r>
          </w:p>
        </w:tc>
        <w:tc>
          <w:tcPr>
            <w:tcW w:w="2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ind w:left="108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(41,807)</w:t>
            </w: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FINANCING ACTIVITIES:</w:t>
            </w:r>
          </w:p>
        </w:tc>
        <w:tc>
          <w:tcPr>
            <w:tcW w:w="12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24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20"/>
                <w:szCs w:val="20"/>
                <w:color w:val="auto"/>
              </w:rPr>
            </w:pPr>
            <w:r>
              <w:rPr>
                <w:rFonts w:ascii="Arial" w:cs="Arial" w:eastAsia="Arial" w:hAnsi="Arial"/>
                <w:sz w:val="14"/>
                <w:szCs w:val="14"/>
                <w:color w:val="auto"/>
              </w:rPr>
              <w:t>Payments under long-term debt</w:t>
            </w:r>
          </w:p>
        </w:tc>
        <w:tc>
          <w:tcPr>
            <w:tcW w:w="12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(4,250)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ind w:left="108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(4,250)</w:t>
            </w:r>
          </w:p>
        </w:tc>
        <w:tc>
          <w:tcPr>
            <w:tcW w:w="0" w:type="dxa"/>
            <w:vAlign w:val="bottom"/>
          </w:tcPr>
          <w:p>
            <w:pPr>
              <w:spacing w:after="0"/>
              <w:rPr>
                <w:sz w:val="1"/>
                <w:szCs w:val="1"/>
                <w:color w:val="auto"/>
              </w:rPr>
            </w:pPr>
          </w:p>
        </w:tc>
      </w:tr>
      <w:tr>
        <w:trPr>
          <w:trHeight w:val="143"/>
        </w:trPr>
        <w:tc>
          <w:tcPr>
            <w:tcW w:w="35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Borrowings under Revolving Credit</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Facility</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73,000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ind w:left="108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20"/>
                <w:szCs w:val="20"/>
                <w:color w:val="auto"/>
              </w:rPr>
            </w:pPr>
            <w:r>
              <w:rPr>
                <w:rFonts w:ascii="Arial" w:cs="Arial" w:eastAsia="Arial" w:hAnsi="Arial"/>
                <w:sz w:val="14"/>
                <w:szCs w:val="14"/>
                <w:color w:val="auto"/>
              </w:rPr>
              <w:t>Payments under Revolving Credit Facility</w:t>
            </w:r>
          </w:p>
        </w:tc>
        <w:tc>
          <w:tcPr>
            <w:tcW w:w="12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(137,500)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ind w:left="108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(137,500)</w:t>
            </w: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spacing w:after="0"/>
              <w:rPr>
                <w:sz w:val="20"/>
                <w:szCs w:val="20"/>
                <w:color w:val="auto"/>
              </w:rPr>
            </w:pPr>
            <w:r>
              <w:rPr>
                <w:rFonts w:ascii="Arial" w:cs="Arial" w:eastAsia="Arial" w:hAnsi="Arial"/>
                <w:sz w:val="14"/>
                <w:szCs w:val="14"/>
                <w:color w:val="auto"/>
              </w:rPr>
              <w:t>Principal payments on capital leases</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(4,288)</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ind w:left="108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(4,288)</w:t>
            </w:r>
          </w:p>
        </w:tc>
        <w:tc>
          <w:tcPr>
            <w:tcW w:w="0" w:type="dxa"/>
            <w:vAlign w:val="bottom"/>
          </w:tcPr>
          <w:p>
            <w:pPr>
              <w:spacing w:after="0"/>
              <w:rPr>
                <w:sz w:val="1"/>
                <w:szCs w:val="1"/>
                <w:color w:val="auto"/>
              </w:rPr>
            </w:pPr>
          </w:p>
        </w:tc>
      </w:tr>
      <w:tr>
        <w:trPr>
          <w:trHeight w:val="143"/>
        </w:trPr>
        <w:tc>
          <w:tcPr>
            <w:tcW w:w="3580" w:type="dxa"/>
            <w:vAlign w:val="bottom"/>
          </w:tcPr>
          <w:p>
            <w:pPr>
              <w:spacing w:after="0" w:line="143" w:lineRule="exact"/>
              <w:rPr>
                <w:sz w:val="20"/>
                <w:szCs w:val="20"/>
                <w:color w:val="auto"/>
              </w:rPr>
            </w:pPr>
            <w:r>
              <w:rPr>
                <w:rFonts w:ascii="Arial" w:cs="Arial" w:eastAsia="Arial" w:hAnsi="Arial"/>
                <w:sz w:val="14"/>
                <w:szCs w:val="14"/>
                <w:color w:val="auto"/>
              </w:rPr>
              <w:t>Net proceeds from (payments to)</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80" w:type="dxa"/>
            <w:vAlign w:val="bottom"/>
          </w:tcPr>
          <w:p>
            <w:pPr>
              <w:ind w:left="120"/>
              <w:spacing w:after="0"/>
              <w:rPr>
                <w:sz w:val="20"/>
                <w:szCs w:val="20"/>
                <w:color w:val="auto"/>
              </w:rPr>
            </w:pPr>
            <w:r>
              <w:rPr>
                <w:rFonts w:ascii="Arial" w:cs="Arial" w:eastAsia="Arial" w:hAnsi="Arial"/>
                <w:sz w:val="14"/>
                <w:szCs w:val="14"/>
                <w:color w:val="auto"/>
              </w:rPr>
              <w:t>related parties</w:t>
            </w: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90,353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(90,486)</w:t>
            </w: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ind w:left="108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5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Taxes paid related to net share settlement</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of equity awards</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(744)</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ind w:left="108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(744)</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20"/>
                <w:szCs w:val="20"/>
                <w:color w:val="auto"/>
              </w:rPr>
            </w:pPr>
            <w:r>
              <w:rPr>
                <w:rFonts w:ascii="Arial" w:cs="Arial" w:eastAsia="Arial" w:hAnsi="Arial"/>
                <w:sz w:val="14"/>
                <w:szCs w:val="14"/>
                <w:color w:val="auto"/>
              </w:rPr>
              <w:t>Proceeds from exercise of stock options</w:t>
            </w: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ind w:left="108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spacing w:after="0"/>
              <w:rPr>
                <w:sz w:val="20"/>
                <w:szCs w:val="20"/>
                <w:color w:val="auto"/>
              </w:rPr>
            </w:pPr>
            <w:r>
              <w:rPr>
                <w:rFonts w:ascii="Arial" w:cs="Arial" w:eastAsia="Arial" w:hAnsi="Arial"/>
                <w:sz w:val="14"/>
                <w:szCs w:val="14"/>
                <w:color w:val="auto"/>
              </w:rPr>
              <w:t>Payments on other long-term payables</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(274)</w:t>
            </w:r>
          </w:p>
        </w:tc>
        <w:tc>
          <w:tcPr>
            <w:tcW w:w="1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ind w:left="108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37"/>
        </w:trPr>
        <w:tc>
          <w:tcPr>
            <w:tcW w:w="3580" w:type="dxa"/>
            <w:vAlign w:val="bottom"/>
          </w:tcPr>
          <w:p>
            <w:pPr>
              <w:spacing w:after="0" w:line="137" w:lineRule="exact"/>
              <w:rPr>
                <w:sz w:val="20"/>
                <w:szCs w:val="20"/>
                <w:color w:val="auto"/>
              </w:rPr>
            </w:pPr>
            <w:r>
              <w:rPr>
                <w:rFonts w:ascii="Arial" w:cs="Arial" w:eastAsia="Arial" w:hAnsi="Arial"/>
                <w:sz w:val="14"/>
                <w:szCs w:val="14"/>
                <w:color w:val="auto"/>
              </w:rPr>
              <w:t>Net cash provided by (used in)</w:t>
            </w: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80" w:type="dxa"/>
            <w:vAlign w:val="bottom"/>
          </w:tcPr>
          <w:p>
            <w:pPr>
              <w:ind w:left="120"/>
              <w:spacing w:after="0"/>
              <w:rPr>
                <w:sz w:val="20"/>
                <w:szCs w:val="20"/>
                <w:color w:val="auto"/>
              </w:rPr>
            </w:pPr>
            <w:r>
              <w:rPr>
                <w:rFonts w:ascii="Arial" w:cs="Arial" w:eastAsia="Arial" w:hAnsi="Arial"/>
                <w:sz w:val="14"/>
                <w:szCs w:val="14"/>
                <w:color w:val="auto"/>
              </w:rPr>
              <w:t>financing activities</w:t>
            </w: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16,956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(90,760)</w:t>
            </w: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ind w:left="108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(73,671)</w:t>
            </w:r>
          </w:p>
        </w:tc>
        <w:tc>
          <w:tcPr>
            <w:tcW w:w="0" w:type="dxa"/>
            <w:vAlign w:val="bottom"/>
          </w:tcPr>
          <w:p>
            <w:pPr>
              <w:spacing w:after="0"/>
              <w:rPr>
                <w:sz w:val="1"/>
                <w:szCs w:val="1"/>
                <w:color w:val="auto"/>
              </w:rPr>
            </w:pPr>
          </w:p>
        </w:tc>
      </w:tr>
      <w:tr>
        <w:trPr>
          <w:trHeight w:val="137"/>
        </w:trPr>
        <w:tc>
          <w:tcPr>
            <w:tcW w:w="358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Increase in cash, cash equivalents and</w:t>
            </w:r>
          </w:p>
        </w:tc>
        <w:tc>
          <w:tcPr>
            <w:tcW w:w="120" w:type="dxa"/>
            <w:vAlign w:val="bottom"/>
            <w:tcBorders>
              <w:top w:val="single" w:sz="8" w:color="auto"/>
            </w:tcBorders>
            <w:shd w:val="clear" w:color="auto" w:fill="CFF0FC"/>
          </w:tcPr>
          <w:p>
            <w:pPr>
              <w:spacing w:after="0"/>
              <w:rPr>
                <w:sz w:val="11"/>
                <w:szCs w:val="11"/>
                <w:color w:val="auto"/>
              </w:rPr>
            </w:pPr>
          </w:p>
        </w:tc>
        <w:tc>
          <w:tcPr>
            <w:tcW w:w="12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24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restricted cash</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(21,091)</w:t>
            </w: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ind w:left="108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(20,106)</w:t>
            </w:r>
          </w:p>
        </w:tc>
        <w:tc>
          <w:tcPr>
            <w:tcW w:w="0" w:type="dxa"/>
            <w:vAlign w:val="bottom"/>
          </w:tcPr>
          <w:p>
            <w:pPr>
              <w:spacing w:after="0"/>
              <w:rPr>
                <w:sz w:val="1"/>
                <w:szCs w:val="1"/>
                <w:color w:val="auto"/>
              </w:rPr>
            </w:pPr>
          </w:p>
        </w:tc>
      </w:tr>
      <w:tr>
        <w:trPr>
          <w:trHeight w:val="143"/>
        </w:trPr>
        <w:tc>
          <w:tcPr>
            <w:tcW w:w="3580" w:type="dxa"/>
            <w:vAlign w:val="bottom"/>
          </w:tcPr>
          <w:p>
            <w:pPr>
              <w:spacing w:after="0" w:line="143" w:lineRule="exact"/>
              <w:rPr>
                <w:sz w:val="20"/>
                <w:szCs w:val="20"/>
                <w:color w:val="auto"/>
              </w:rPr>
            </w:pPr>
            <w:r>
              <w:rPr>
                <w:rFonts w:ascii="Arial" w:cs="Arial" w:eastAsia="Arial" w:hAnsi="Arial"/>
                <w:sz w:val="14"/>
                <w:szCs w:val="14"/>
                <w:color w:val="auto"/>
              </w:rPr>
              <w:t>Cash, cash equivalents and restricted</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80" w:type="dxa"/>
            <w:vAlign w:val="bottom"/>
            <w:tcBorders>
              <w:bottom w:val="single" w:sz="8" w:color="CFF0FC"/>
            </w:tcBorders>
          </w:tcPr>
          <w:p>
            <w:pPr>
              <w:ind w:left="120"/>
              <w:spacing w:after="0"/>
              <w:rPr>
                <w:sz w:val="20"/>
                <w:szCs w:val="20"/>
                <w:color w:val="auto"/>
              </w:rPr>
            </w:pPr>
            <w:r>
              <w:rPr>
                <w:rFonts w:ascii="Arial" w:cs="Arial" w:eastAsia="Arial" w:hAnsi="Arial"/>
                <w:sz w:val="14"/>
                <w:szCs w:val="14"/>
                <w:color w:val="auto"/>
              </w:rPr>
              <w:t>cash, beginning of period</w:t>
            </w: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657</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82,724</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ind w:left="1080"/>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83,549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580" w:type="dxa"/>
            <w:vAlign w:val="bottom"/>
            <w:shd w:val="clear" w:color="auto" w:fill="CFF0FC"/>
          </w:tcPr>
          <w:p>
            <w:pPr>
              <w:spacing w:after="0" w:line="137" w:lineRule="exact"/>
              <w:rPr>
                <w:sz w:val="20"/>
                <w:szCs w:val="20"/>
                <w:color w:val="auto"/>
              </w:rPr>
            </w:pPr>
            <w:r>
              <w:rPr>
                <w:rFonts w:ascii="Arial" w:cs="Arial" w:eastAsia="Arial" w:hAnsi="Arial"/>
                <w:sz w:val="14"/>
                <w:szCs w:val="14"/>
                <w:color w:val="auto"/>
              </w:rPr>
              <w:t>Cash, cash equivalents and restricted</w:t>
            </w: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cash, end of period</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1,409</w:t>
            </w:r>
          </w:p>
        </w:tc>
        <w:tc>
          <w:tcPr>
            <w:tcW w:w="14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61,633</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401</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ind w:left="1080"/>
              <w:spacing w:after="0"/>
              <w:rPr>
                <w:sz w:val="20"/>
                <w:szCs w:val="20"/>
                <w:color w:val="auto"/>
              </w:rPr>
            </w:pPr>
            <w:r>
              <w:rPr>
                <w:rFonts w:ascii="Arial" w:cs="Arial" w:eastAsia="Arial" w:hAnsi="Arial"/>
                <w:sz w:val="14"/>
                <w:szCs w:val="14"/>
                <w:color w:val="auto"/>
                <w:w w:val="99"/>
              </w:rPr>
              <w:t>—</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63,443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Quarterly Data (Unaudited)</w:t>
      </w:r>
    </w:p>
    <w:p>
      <w:pPr>
        <w:spacing w:after="0" w:line="121" w:lineRule="exact"/>
        <w:rPr>
          <w:sz w:val="20"/>
          <w:szCs w:val="20"/>
          <w:color w:val="auto"/>
        </w:rPr>
      </w:pPr>
    </w:p>
    <w:p>
      <w:pPr>
        <w:ind w:right="320" w:firstLine="555"/>
        <w:spacing w:after="0" w:line="286" w:lineRule="auto"/>
        <w:rPr>
          <w:sz w:val="20"/>
          <w:szCs w:val="20"/>
          <w:color w:val="auto"/>
        </w:rPr>
      </w:pPr>
      <w:r>
        <w:rPr>
          <w:rFonts w:ascii="Arial" w:cs="Arial" w:eastAsia="Arial" w:hAnsi="Arial"/>
          <w:sz w:val="17"/>
          <w:szCs w:val="17"/>
          <w:color w:val="auto"/>
        </w:rPr>
        <w:t>The following table sets forth certain consolidated quarterly financial information for the years ended December 31, 2018, 2017 and 2016. The quarterly information only includes the operations of Elgin from the Elgin Acquisition date through December 31, 2018, operations of Tropicana from the Tropicana Acquisition date through December 31, 2018 and operations of Isle from the Isle Acquisition Date through December 31, 2018.</w:t>
      </w:r>
    </w:p>
    <w:p>
      <w:pPr>
        <w:spacing w:after="0" w:line="238"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tcPr>
          <w:p>
            <w:pPr>
              <w:jc w:val="right"/>
              <w:ind w:right="952"/>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March 31,</w:t>
            </w:r>
          </w:p>
        </w:tc>
        <w:tc>
          <w:tcPr>
            <w:tcW w:w="4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June 30,</w:t>
            </w: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3"/>
                <w:szCs w:val="13"/>
                <w:color w:val="auto"/>
              </w:rPr>
            </w:pPr>
          </w:p>
        </w:tc>
      </w:tr>
      <w:tr>
        <w:trPr>
          <w:trHeight w:val="156"/>
        </w:trPr>
        <w:tc>
          <w:tcPr>
            <w:tcW w:w="4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2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w w:val="90"/>
              </w:rPr>
              <w:t>(Dollars in thousands, except per share amounts)</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44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2018:</w:t>
            </w:r>
          </w:p>
        </w:tc>
        <w:tc>
          <w:tcPr>
            <w:tcW w:w="8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Net revenues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440,192</w:t>
            </w:r>
          </w:p>
        </w:tc>
        <w:tc>
          <w:tcPr>
            <w:tcW w:w="42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456,802</w:t>
            </w:r>
          </w:p>
        </w:tc>
        <w:tc>
          <w:tcPr>
            <w:tcW w:w="240" w:type="dxa"/>
            <w:vAlign w:val="bottom"/>
          </w:tcPr>
          <w:p>
            <w:pPr>
              <w:spacing w:after="0"/>
              <w:rPr>
                <w:sz w:val="19"/>
                <w:szCs w:val="19"/>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487,253</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671,760</w:t>
            </w:r>
          </w:p>
        </w:tc>
        <w:tc>
          <w:tcPr>
            <w:tcW w:w="12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382,659</w:t>
            </w:r>
          </w:p>
        </w:tc>
        <w:tc>
          <w:tcPr>
            <w:tcW w:w="4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376,439</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396,220</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573,696</w:t>
            </w:r>
          </w:p>
        </w:tc>
        <w:tc>
          <w:tcPr>
            <w:tcW w:w="120" w:type="dxa"/>
            <w:vAlign w:val="bottom"/>
            <w:shd w:val="clear" w:color="auto" w:fill="CFF0FC"/>
          </w:tcPr>
          <w:p>
            <w:pPr>
              <w:spacing w:after="0"/>
              <w:rPr>
                <w:sz w:val="19"/>
                <w:szCs w:val="19"/>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54,194</w:t>
            </w:r>
          </w:p>
        </w:tc>
        <w:tc>
          <w:tcPr>
            <w:tcW w:w="42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77,414</w:t>
            </w:r>
          </w:p>
        </w:tc>
        <w:tc>
          <w:tcPr>
            <w:tcW w:w="240" w:type="dxa"/>
            <w:vAlign w:val="bottom"/>
          </w:tcPr>
          <w:p>
            <w:pPr>
              <w:spacing w:after="0"/>
              <w:rPr>
                <w:sz w:val="19"/>
                <w:szCs w:val="19"/>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91,769</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86,726</w:t>
            </w:r>
          </w:p>
        </w:tc>
        <w:tc>
          <w:tcPr>
            <w:tcW w:w="12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20,855</w:t>
            </w:r>
          </w:p>
        </w:tc>
        <w:tc>
          <w:tcPr>
            <w:tcW w:w="4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36,796</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37,704</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(120)</w:t>
            </w: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Basic net income (loss) per common share</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0.27</w:t>
            </w:r>
          </w:p>
        </w:tc>
        <w:tc>
          <w:tcPr>
            <w:tcW w:w="4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0.48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0.49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Diluted net income (loss) per common share</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4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0.47</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0.48</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FF0FC"/>
          </w:tcPr>
          <w:p>
            <w:pPr>
              <w:spacing w:after="0"/>
              <w:rPr>
                <w:sz w:val="19"/>
                <w:szCs w:val="19"/>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Weighted average shares outstanding—basic</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77,353,730</w:t>
            </w:r>
          </w:p>
        </w:tc>
        <w:tc>
          <w:tcPr>
            <w:tcW w:w="42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77,458,584</w:t>
            </w:r>
          </w:p>
        </w:tc>
        <w:tc>
          <w:tcPr>
            <w:tcW w:w="240" w:type="dxa"/>
            <w:vAlign w:val="bottom"/>
          </w:tcPr>
          <w:p>
            <w:pPr>
              <w:spacing w:after="0"/>
              <w:rPr>
                <w:sz w:val="19"/>
                <w:szCs w:val="19"/>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77,522,664</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77,503,732</w:t>
            </w:r>
          </w:p>
        </w:tc>
        <w:tc>
          <w:tcPr>
            <w:tcW w:w="12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outstanding—diluted (1)</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78,080,049</w:t>
            </w:r>
          </w:p>
        </w:tc>
        <w:tc>
          <w:tcPr>
            <w:tcW w:w="4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78,258,629</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78,283,588</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77,503,732</w:t>
            </w:r>
          </w:p>
        </w:tc>
        <w:tc>
          <w:tcPr>
            <w:tcW w:w="120" w:type="dxa"/>
            <w:vAlign w:val="bottom"/>
            <w:shd w:val="clear" w:color="auto" w:fill="CFF0FC"/>
          </w:tcPr>
          <w:p>
            <w:pPr>
              <w:spacing w:after="0"/>
              <w:rPr>
                <w:sz w:val="19"/>
                <w:szCs w:val="19"/>
                <w:color w:val="auto"/>
              </w:rPr>
            </w:pPr>
          </w:p>
        </w:tc>
      </w:tr>
    </w:tbl>
    <w:p>
      <w:pPr>
        <w:spacing w:after="0" w:line="161" w:lineRule="exact"/>
        <w:rPr>
          <w:sz w:val="20"/>
          <w:szCs w:val="20"/>
          <w:color w:val="auto"/>
        </w:rPr>
      </w:pPr>
    </w:p>
    <w:p>
      <w:pPr>
        <w:ind w:left="560" w:right="20" w:hanging="552"/>
        <w:spacing w:after="0" w:line="277" w:lineRule="auto"/>
        <w:tabs>
          <w:tab w:leader="none" w:pos="5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Excluded from “Weighted average shares outstanding-diluted” are 100,091 stock options and 905,420 RSUs for the three months ended December 31, 2018 as the inclusion of these shares would have an anti-dilutive effect.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2" w:name="page133"/>
    <w:bookmarkEnd w:id="132"/>
    <w:tbl>
      <w:tblPr>
        <w:tblLayout w:type="fixed"/>
        <w:tblInd w:w="30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tcPr>
          <w:p>
            <w:pPr>
              <w:jc w:val="right"/>
              <w:ind w:right="952"/>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March 31,</w:t>
            </w:r>
          </w:p>
        </w:tc>
        <w:tc>
          <w:tcPr>
            <w:tcW w:w="4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June 30,</w:t>
            </w: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3"/>
                <w:szCs w:val="13"/>
                <w:color w:val="auto"/>
              </w:rPr>
            </w:pPr>
          </w:p>
        </w:tc>
      </w:tr>
      <w:tr>
        <w:trPr>
          <w:trHeight w:val="156"/>
        </w:trPr>
        <w:tc>
          <w:tcPr>
            <w:tcW w:w="4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2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w w:val="90"/>
              </w:rPr>
              <w:t>(Dollars in thousands, except per share amounts)</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43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2017:</w:t>
            </w:r>
          </w:p>
        </w:tc>
        <w:tc>
          <w:tcPr>
            <w:tcW w:w="10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Net revenues</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202,393</w:t>
            </w:r>
          </w:p>
        </w:tc>
        <w:tc>
          <w:tcPr>
            <w:tcW w:w="4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375,626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472,878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429,901</w:t>
            </w:r>
          </w:p>
        </w:tc>
        <w:tc>
          <w:tcPr>
            <w:tcW w:w="12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186,561</w:t>
            </w: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320,480</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389,273</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416,211</w:t>
            </w:r>
          </w:p>
        </w:tc>
        <w:tc>
          <w:tcPr>
            <w:tcW w:w="120" w:type="dxa"/>
            <w:vAlign w:val="bottom"/>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14,028</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(30,467)</w:t>
            </w:r>
          </w:p>
        </w:tc>
        <w:tc>
          <w:tcPr>
            <w:tcW w:w="200" w:type="dxa"/>
            <w:vAlign w:val="bottom"/>
          </w:tcPr>
          <w:p>
            <w:pPr>
              <w:spacing w:after="0"/>
              <w:rPr>
                <w:sz w:val="19"/>
                <w:szCs w:val="19"/>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81,493</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29,756</w:t>
            </w:r>
          </w:p>
        </w:tc>
        <w:tc>
          <w:tcPr>
            <w:tcW w:w="12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w:t>
            </w:r>
          </w:p>
        </w:tc>
        <w:tc>
          <w:tcPr>
            <w:tcW w:w="4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(46,190)</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29,687</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88,938</w:t>
            </w:r>
          </w:p>
        </w:tc>
        <w:tc>
          <w:tcPr>
            <w:tcW w:w="120" w:type="dxa"/>
            <w:vAlign w:val="bottom"/>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Basic net income (loss) per common share</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0.02</w:t>
            </w:r>
          </w:p>
        </w:tc>
        <w:tc>
          <w:tcPr>
            <w:tcW w:w="4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(0.68)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0.39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Diluted net income (loss) per common share</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4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(0.68)</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Weighted average shares outstanding—basic</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47,120,751</w:t>
            </w:r>
          </w:p>
        </w:tc>
        <w:tc>
          <w:tcPr>
            <w:tcW w:w="42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67,453,095</w:t>
            </w:r>
          </w:p>
        </w:tc>
        <w:tc>
          <w:tcPr>
            <w:tcW w:w="200" w:type="dxa"/>
            <w:vAlign w:val="bottom"/>
          </w:tcPr>
          <w:p>
            <w:pPr>
              <w:spacing w:after="0"/>
              <w:rPr>
                <w:sz w:val="19"/>
                <w:szCs w:val="19"/>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76,902,070</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76,961,015</w:t>
            </w:r>
          </w:p>
        </w:tc>
        <w:tc>
          <w:tcPr>
            <w:tcW w:w="12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outstanding—diluted</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48,081,281</w:t>
            </w: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67,453,095</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77,959,689</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77,998,742</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left="560" w:right="60" w:hanging="552"/>
        <w:spacing w:after="0" w:line="277" w:lineRule="auto"/>
        <w:tabs>
          <w:tab w:leader="none" w:pos="5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Excluded from ““Weighted average shares outstanding-diluted” are 78,435 stock options and 937,661 RSUs for the three months ended June 30, 2017 as the inclusion of these shares would have an anti-dilutive effect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tcPr>
          <w:p>
            <w:pPr>
              <w:jc w:val="right"/>
              <w:ind w:right="952"/>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56"/>
        </w:trPr>
        <w:tc>
          <w:tcPr>
            <w:tcW w:w="3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w w:val="99"/>
              </w:rPr>
              <w:t>March 31,</w:t>
            </w:r>
          </w:p>
        </w:tc>
        <w:tc>
          <w:tcPr>
            <w:tcW w:w="4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June 30,</w:t>
            </w: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56"/>
        </w:trPr>
        <w:tc>
          <w:tcPr>
            <w:tcW w:w="3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2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w w:val="90"/>
              </w:rPr>
              <w:t>(Dollars in thousands, except per share amounts)</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62"/>
        </w:trPr>
        <w:tc>
          <w:tcPr>
            <w:tcW w:w="300" w:type="dxa"/>
            <w:vAlign w:val="bottom"/>
          </w:tcPr>
          <w:p>
            <w:pPr>
              <w:spacing w:after="0"/>
              <w:rPr>
                <w:sz w:val="14"/>
                <w:szCs w:val="14"/>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2016:</w:t>
            </w: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tcPr>
          <w:p>
            <w:pPr>
              <w:spacing w:after="0"/>
              <w:rPr>
                <w:sz w:val="14"/>
                <w:szCs w:val="14"/>
                <w:color w:val="auto"/>
              </w:rPr>
            </w:pPr>
          </w:p>
        </w:tc>
      </w:tr>
      <w:tr>
        <w:trPr>
          <w:trHeight w:val="230"/>
        </w:trPr>
        <w:tc>
          <w:tcPr>
            <w:tcW w:w="30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Net revenues</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215,583</w:t>
            </w:r>
          </w:p>
        </w:tc>
        <w:tc>
          <w:tcPr>
            <w:tcW w:w="4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233,493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243,049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208,340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30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196,855</w:t>
            </w:r>
          </w:p>
        </w:tc>
        <w:tc>
          <w:tcPr>
            <w:tcW w:w="4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203,016</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210,584</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191,290</w:t>
            </w:r>
          </w:p>
        </w:tc>
        <w:tc>
          <w:tcPr>
            <w:tcW w:w="120" w:type="dxa"/>
            <w:vAlign w:val="bottom"/>
            <w:shd w:val="clear" w:color="auto" w:fill="CFF0FC"/>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30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Operating income</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18,281</w:t>
            </w:r>
          </w:p>
        </w:tc>
        <w:tc>
          <w:tcPr>
            <w:tcW w:w="42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29,585</w:t>
            </w:r>
          </w:p>
        </w:tc>
        <w:tc>
          <w:tcPr>
            <w:tcW w:w="240" w:type="dxa"/>
            <w:vAlign w:val="bottom"/>
          </w:tcPr>
          <w:p>
            <w:pPr>
              <w:spacing w:after="0"/>
              <w:rPr>
                <w:sz w:val="19"/>
                <w:szCs w:val="19"/>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27,739</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30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3,379</w:t>
            </w:r>
          </w:p>
        </w:tc>
        <w:tc>
          <w:tcPr>
            <w:tcW w:w="4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10,737</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9,450</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w:t>
            </w:r>
          </w:p>
        </w:tc>
        <w:tc>
          <w:tcPr>
            <w:tcW w:w="120" w:type="dxa"/>
            <w:vAlign w:val="bottom"/>
            <w:shd w:val="clear" w:color="auto" w:fill="CFF0FC"/>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30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Basic net income per common share</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0.07</w:t>
            </w:r>
          </w:p>
        </w:tc>
        <w:tc>
          <w:tcPr>
            <w:tcW w:w="4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0.23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0.20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30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Diluted net income per common share</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4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0.22</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FF0FC"/>
          </w:tcPr>
          <w:p>
            <w:pPr>
              <w:spacing w:after="0"/>
              <w:rPr>
                <w:sz w:val="19"/>
                <w:szCs w:val="19"/>
                <w:color w:val="auto"/>
              </w:rPr>
            </w:pPr>
          </w:p>
        </w:tc>
        <w:tc>
          <w:tcPr>
            <w:tcW w:w="300" w:type="dxa"/>
            <w:vAlign w:val="bottom"/>
          </w:tcPr>
          <w:p>
            <w:pPr>
              <w:spacing w:after="0"/>
              <w:rPr>
                <w:sz w:val="19"/>
                <w:szCs w:val="19"/>
                <w:color w:val="auto"/>
              </w:rPr>
            </w:pPr>
          </w:p>
        </w:tc>
      </w:tr>
      <w:tr>
        <w:trPr>
          <w:trHeight w:val="243"/>
        </w:trPr>
        <w:tc>
          <w:tcPr>
            <w:tcW w:w="4620" w:type="dxa"/>
            <w:vAlign w:val="bottom"/>
            <w:gridSpan w:val="2"/>
          </w:tcPr>
          <w:p>
            <w:pPr>
              <w:ind w:left="300"/>
              <w:spacing w:after="0"/>
              <w:rPr>
                <w:sz w:val="20"/>
                <w:szCs w:val="20"/>
                <w:color w:val="auto"/>
              </w:rPr>
            </w:pPr>
            <w:r>
              <w:rPr>
                <w:rFonts w:ascii="Arial" w:cs="Arial" w:eastAsia="Arial" w:hAnsi="Arial"/>
                <w:sz w:val="18"/>
                <w:szCs w:val="18"/>
                <w:color w:val="auto"/>
              </w:rPr>
              <w:t>Weighted average shares outstanding—basic</w:t>
            </w: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46,933,094</w:t>
            </w:r>
          </w:p>
        </w:tc>
        <w:tc>
          <w:tcPr>
            <w:tcW w:w="4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47,071,608</w:t>
            </w:r>
          </w:p>
        </w:tc>
        <w:tc>
          <w:tcPr>
            <w:tcW w:w="240" w:type="dxa"/>
            <w:vAlign w:val="bottom"/>
          </w:tcPr>
          <w:p>
            <w:pPr>
              <w:spacing w:after="0"/>
              <w:rPr>
                <w:sz w:val="21"/>
                <w:szCs w:val="21"/>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47,193,120</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47,105,744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30"/>
        </w:trPr>
        <w:tc>
          <w:tcPr>
            <w:tcW w:w="30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outstanding—diluted</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47,534,761</w:t>
            </w:r>
          </w:p>
        </w:tc>
        <w:tc>
          <w:tcPr>
            <w:tcW w:w="4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47,721,075</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47,834,644</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47,849,554</w:t>
            </w:r>
          </w:p>
        </w:tc>
        <w:tc>
          <w:tcPr>
            <w:tcW w:w="120" w:type="dxa"/>
            <w:vAlign w:val="bottom"/>
            <w:shd w:val="clear" w:color="auto" w:fill="CFF0FC"/>
          </w:tcPr>
          <w:p>
            <w:pPr>
              <w:spacing w:after="0"/>
              <w:rPr>
                <w:sz w:val="19"/>
                <w:szCs w:val="19"/>
                <w:color w:val="auto"/>
              </w:rPr>
            </w:pPr>
          </w:p>
        </w:tc>
        <w:tc>
          <w:tcPr>
            <w:tcW w:w="300" w:type="dxa"/>
            <w:vAlign w:val="bottom"/>
          </w:tcPr>
          <w:p>
            <w:pPr>
              <w:spacing w:after="0"/>
              <w:rPr>
                <w:sz w:val="19"/>
                <w:szCs w:val="19"/>
                <w:color w:val="auto"/>
              </w:rPr>
            </w:pPr>
          </w:p>
        </w:tc>
      </w:tr>
      <w:tr>
        <w:trPr>
          <w:trHeight w:val="635"/>
        </w:trPr>
        <w:tc>
          <w:tcPr>
            <w:tcW w:w="3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15"/>
        </w:trPr>
        <w:tc>
          <w:tcPr>
            <w:tcW w:w="30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30" w:right="219" w:bottom="1440" w:gutter="0" w:footer="0" w:header="0"/>
        </w:sectPr>
      </w:pPr>
    </w:p>
    <w:bookmarkStart w:id="133" w:name="page134"/>
    <w:bookmarkEnd w:id="133"/>
    <w:p>
      <w:pPr>
        <w:jc w:val="center"/>
        <w:ind w:right="-411"/>
        <w:spacing w:after="0"/>
        <w:rPr>
          <w:sz w:val="20"/>
          <w:szCs w:val="20"/>
          <w:color w:val="auto"/>
        </w:rPr>
      </w:pPr>
      <w:r>
        <w:rPr>
          <w:rFonts w:ascii="Arial" w:cs="Arial" w:eastAsia="Arial" w:hAnsi="Arial"/>
          <w:sz w:val="18"/>
          <w:szCs w:val="18"/>
          <w:b w:val="1"/>
          <w:bCs w:val="1"/>
          <w:color w:val="auto"/>
        </w:rPr>
        <w:t>ELDORADO RESORTS, INC.</w:t>
      </w:r>
    </w:p>
    <w:p>
      <w:pPr>
        <w:spacing w:after="0" w:line="117" w:lineRule="exact"/>
        <w:rPr>
          <w:sz w:val="20"/>
          <w:szCs w:val="20"/>
          <w:color w:val="auto"/>
        </w:rPr>
      </w:pPr>
    </w:p>
    <w:p>
      <w:pPr>
        <w:jc w:val="center"/>
        <w:ind w:right="-411"/>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22" w:lineRule="exact"/>
        <w:rPr>
          <w:sz w:val="20"/>
          <w:szCs w:val="20"/>
          <w:color w:val="auto"/>
        </w:rPr>
      </w:pPr>
    </w:p>
    <w:tbl>
      <w:tblPr>
        <w:tblLayout w:type="fixed"/>
        <w:tblInd w:w="572"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80"/>
              <w:spacing w:after="0"/>
              <w:rPr>
                <w:sz w:val="20"/>
                <w:szCs w:val="20"/>
                <w:color w:val="auto"/>
              </w:rPr>
            </w:pPr>
            <w:r>
              <w:rPr>
                <w:rFonts w:ascii="Arial" w:cs="Arial" w:eastAsia="Arial" w:hAnsi="Arial"/>
                <w:sz w:val="14"/>
                <w:szCs w:val="14"/>
                <w:b w:val="1"/>
                <w:bCs w:val="1"/>
                <w:color w:val="auto"/>
                <w:w w:val="93"/>
              </w:rPr>
              <w:t>Column B</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Column F</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Balance at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Column C</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Column 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7"/>
              </w:rPr>
              <w:t>Column 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4340" w:type="dxa"/>
            <w:vAlign w:val="bottom"/>
            <w:vMerge w:val="restart"/>
          </w:tcPr>
          <w:p>
            <w:pPr>
              <w:spacing w:after="0"/>
              <w:rPr>
                <w:sz w:val="20"/>
                <w:szCs w:val="20"/>
                <w:color w:val="auto"/>
              </w:rPr>
            </w:pPr>
            <w:r>
              <w:rPr>
                <w:rFonts w:ascii="Arial" w:cs="Arial" w:eastAsia="Arial" w:hAnsi="Arial"/>
                <w:sz w:val="14"/>
                <w:szCs w:val="14"/>
                <w:b w:val="1"/>
                <w:bCs w:val="1"/>
                <w:color w:val="auto"/>
              </w:rPr>
              <w:t>Column A</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Beginning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End</w:t>
            </w:r>
          </w:p>
        </w:tc>
        <w:tc>
          <w:tcPr>
            <w:tcW w:w="0" w:type="dxa"/>
            <w:vAlign w:val="bottom"/>
          </w:tcPr>
          <w:p>
            <w:pPr>
              <w:spacing w:after="0"/>
              <w:rPr>
                <w:sz w:val="1"/>
                <w:szCs w:val="1"/>
                <w:color w:val="auto"/>
              </w:rPr>
            </w:pPr>
          </w:p>
        </w:tc>
      </w:tr>
      <w:tr>
        <w:trPr>
          <w:trHeight w:val="171"/>
        </w:trPr>
        <w:tc>
          <w:tcPr>
            <w:tcW w:w="4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80"/>
              <w:spacing w:after="0"/>
              <w:rPr>
                <w:sz w:val="20"/>
                <w:szCs w:val="20"/>
                <w:color w:val="auto"/>
              </w:rPr>
            </w:pPr>
            <w:r>
              <w:rPr>
                <w:rFonts w:ascii="Arial" w:cs="Arial" w:eastAsia="Arial" w:hAnsi="Arial"/>
                <w:sz w:val="14"/>
                <w:szCs w:val="14"/>
                <w:b w:val="1"/>
                <w:bCs w:val="1"/>
                <w:color w:val="auto"/>
                <w:w w:val="95"/>
              </w:rPr>
              <w:t>of Period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5"/>
              </w:rPr>
              <w:t>Acquisitions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Additions(1)</w:t>
            </w:r>
          </w:p>
        </w:tc>
        <w:tc>
          <w:tcPr>
            <w:tcW w:w="1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Deductions(2)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223"/>
        </w:trPr>
        <w:tc>
          <w:tcPr>
            <w:tcW w:w="4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Year ended December 31, 2018:</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40"/>
              <w:spacing w:after="0"/>
              <w:rPr>
                <w:sz w:val="20"/>
                <w:szCs w:val="20"/>
                <w:color w:val="auto"/>
              </w:rPr>
            </w:pPr>
            <w:r>
              <w:rPr>
                <w:rFonts w:ascii="Arial" w:cs="Arial" w:eastAsia="Arial" w:hAnsi="Arial"/>
                <w:sz w:val="18"/>
                <w:szCs w:val="18"/>
                <w:color w:val="auto"/>
              </w:rPr>
              <w:t>Allowance for doubtful accounts</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1,220</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2,394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1,407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1,347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40"/>
              <w:spacing w:after="0"/>
              <w:rPr>
                <w:sz w:val="20"/>
                <w:szCs w:val="20"/>
                <w:color w:val="auto"/>
              </w:rPr>
            </w:pPr>
            <w:r>
              <w:rPr>
                <w:rFonts w:ascii="Arial" w:cs="Arial" w:eastAsia="Arial" w:hAnsi="Arial"/>
                <w:sz w:val="18"/>
                <w:szCs w:val="18"/>
                <w:color w:val="auto"/>
              </w:rPr>
              <w:t>Allowance for doubtful accounts</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1,221</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993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40"/>
              <w:spacing w:after="0"/>
              <w:rPr>
                <w:sz w:val="20"/>
                <w:szCs w:val="20"/>
                <w:color w:val="auto"/>
              </w:rPr>
            </w:pPr>
            <w:r>
              <w:rPr>
                <w:rFonts w:ascii="Arial" w:cs="Arial" w:eastAsia="Arial" w:hAnsi="Arial"/>
                <w:sz w:val="18"/>
                <w:szCs w:val="18"/>
                <w:color w:val="auto"/>
              </w:rPr>
              <w:t>Allowance for doubtful accounts</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2,074</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1,014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552" w:hanging="552"/>
        <w:spacing w:after="0"/>
        <w:tabs>
          <w:tab w:leader="none" w:pos="5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Amounts charged to costs and expenses, net of recoveries.</w:t>
      </w:r>
    </w:p>
    <w:p>
      <w:pPr>
        <w:spacing w:after="0" w:line="117" w:lineRule="exact"/>
        <w:rPr>
          <w:rFonts w:ascii="Arial" w:cs="Arial" w:eastAsia="Arial" w:hAnsi="Arial"/>
          <w:sz w:val="18"/>
          <w:szCs w:val="18"/>
          <w:color w:val="auto"/>
        </w:rPr>
      </w:pPr>
    </w:p>
    <w:p>
      <w:pPr>
        <w:ind w:left="552" w:hanging="552"/>
        <w:spacing w:after="0" w:line="277" w:lineRule="auto"/>
        <w:tabs>
          <w:tab w:leader="none" w:pos="5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Uncollectible accounts written off, net of recoveries of $0.1 million and $0.7 million in 2018 and 2017, respectively. There were no recoveries in 2016.</w:t>
      </w:r>
    </w:p>
    <w:p>
      <w:pPr>
        <w:spacing w:after="0" w:line="387" w:lineRule="exact"/>
        <w:rPr>
          <w:sz w:val="20"/>
          <w:szCs w:val="20"/>
          <w:color w:val="auto"/>
        </w:rPr>
      </w:pPr>
    </w:p>
    <w:p>
      <w:pPr>
        <w:jc w:val="center"/>
        <w:ind w:right="-411"/>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0992"/>
          </w:cols>
          <w:pgMar w:left="248" w:top="337" w:right="659" w:bottom="1440" w:gutter="0" w:footer="0" w:header="0"/>
        </w:sectPr>
      </w:pPr>
    </w:p>
    <w:bookmarkStart w:id="134" w:name="page135"/>
    <w:bookmarkEnd w:id="134"/>
    <w:p>
      <w:pPr>
        <w:jc w:val="right"/>
        <w:spacing w:after="0"/>
        <w:rPr>
          <w:sz w:val="20"/>
          <w:szCs w:val="20"/>
          <w:color w:val="auto"/>
        </w:rPr>
      </w:pPr>
      <w:r>
        <w:rPr>
          <w:rFonts w:ascii="Arial" w:cs="Arial" w:eastAsia="Arial" w:hAnsi="Arial"/>
          <w:sz w:val="22"/>
          <w:szCs w:val="22"/>
          <w:b w:val="1"/>
          <w:bCs w:val="1"/>
          <w:color w:val="auto"/>
        </w:rPr>
        <w:t>Exhibit 10.19</w:t>
      </w:r>
    </w:p>
    <w:p>
      <w:pPr>
        <w:spacing w:after="0" w:line="206" w:lineRule="exact"/>
        <w:rPr>
          <w:sz w:val="20"/>
          <w:szCs w:val="20"/>
          <w:color w:val="auto"/>
        </w:rPr>
      </w:pPr>
    </w:p>
    <w:p>
      <w:pPr>
        <w:ind w:left="3060"/>
        <w:spacing w:after="0"/>
        <w:rPr>
          <w:sz w:val="20"/>
          <w:szCs w:val="20"/>
          <w:color w:val="auto"/>
        </w:rPr>
      </w:pPr>
      <w:r>
        <w:rPr>
          <w:rFonts w:ascii="Arial" w:cs="Arial" w:eastAsia="Arial" w:hAnsi="Arial"/>
          <w:sz w:val="22"/>
          <w:szCs w:val="22"/>
          <w:b w:val="1"/>
          <w:bCs w:val="1"/>
          <w:color w:val="auto"/>
        </w:rPr>
        <w:t>PERFORMANCE STOCK UNIT AWARD AGREEMENT</w:t>
      </w:r>
    </w:p>
    <w:p>
      <w:pPr>
        <w:spacing w:after="0" w:line="206"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ELDORADO RESORTS,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2015 Equity Incentive Plan</w:t>
      </w:r>
    </w:p>
    <w:p>
      <w:pPr>
        <w:spacing w:after="0" w:line="188" w:lineRule="exact"/>
        <w:rPr>
          <w:sz w:val="20"/>
          <w:szCs w:val="20"/>
          <w:color w:val="auto"/>
        </w:rPr>
      </w:pPr>
    </w:p>
    <w:p>
      <w:pPr>
        <w:ind w:firstLine="1755"/>
        <w:spacing w:after="0" w:line="250" w:lineRule="auto"/>
        <w:rPr>
          <w:sz w:val="20"/>
          <w:szCs w:val="20"/>
          <w:color w:val="auto"/>
        </w:rPr>
      </w:pPr>
      <w:r>
        <w:rPr>
          <w:rFonts w:ascii="Arial" w:cs="Arial" w:eastAsia="Arial" w:hAnsi="Arial"/>
          <w:sz w:val="21"/>
          <w:szCs w:val="21"/>
          <w:color w:val="auto"/>
        </w:rPr>
        <w:t>This PERFORMANCE STOCK UNIT AWARD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is made as of the ___ day of _______________ (the “</w:t>
      </w:r>
      <w:r>
        <w:rPr>
          <w:rFonts w:ascii="Arial" w:cs="Arial" w:eastAsia="Arial" w:hAnsi="Arial"/>
          <w:sz w:val="21"/>
          <w:szCs w:val="21"/>
          <w:u w:val="single" w:color="auto"/>
          <w:color w:val="auto"/>
        </w:rPr>
        <w:t>Grant Date</w:t>
      </w:r>
      <w:r>
        <w:rPr>
          <w:rFonts w:ascii="Arial" w:cs="Arial" w:eastAsia="Arial" w:hAnsi="Arial"/>
          <w:sz w:val="21"/>
          <w:szCs w:val="21"/>
          <w:color w:val="auto"/>
        </w:rPr>
        <w:t>”) between Eldorado Resorts, Inc., a Nevada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and</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___________ (the “</w:t>
      </w:r>
      <w:r>
        <w:rPr>
          <w:rFonts w:ascii="Arial" w:cs="Arial" w:eastAsia="Arial" w:hAnsi="Arial"/>
          <w:sz w:val="21"/>
          <w:szCs w:val="21"/>
          <w:u w:val="single" w:color="auto"/>
          <w:color w:val="auto"/>
        </w:rPr>
        <w:t>Participant</w:t>
      </w:r>
      <w:r>
        <w:rPr>
          <w:rFonts w:ascii="Arial" w:cs="Arial" w:eastAsia="Arial" w:hAnsi="Arial"/>
          <w:sz w:val="21"/>
          <w:szCs w:val="21"/>
          <w:color w:val="auto"/>
        </w:rPr>
        <w:t>”), and is made pursuant to the terms of the Company’s 2015 Equity Incentive Plan (the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Capitalized terms used herein but not defined shall have the meanings set forth in the Plan.</w:t>
      </w:r>
    </w:p>
    <w:p>
      <w:pPr>
        <w:spacing w:after="0" w:line="188" w:lineRule="exact"/>
        <w:rPr>
          <w:sz w:val="20"/>
          <w:szCs w:val="20"/>
          <w:color w:val="auto"/>
        </w:rPr>
      </w:pPr>
    </w:p>
    <w:p>
      <w:pPr>
        <w:ind w:left="1760"/>
        <w:spacing w:after="0"/>
        <w:tabs>
          <w:tab w:leader="none" w:pos="3260" w:val="left"/>
        </w:tabs>
        <w:rPr>
          <w:sz w:val="20"/>
          <w:szCs w:val="20"/>
          <w:color w:val="auto"/>
        </w:rPr>
      </w:pPr>
      <w:r>
        <w:rPr>
          <w:rFonts w:ascii="Arial" w:cs="Arial" w:eastAsia="Arial" w:hAnsi="Arial"/>
          <w:sz w:val="22"/>
          <w:szCs w:val="22"/>
          <w:u w:val="single" w:color="auto"/>
          <w:color w:val="auto"/>
        </w:rPr>
        <w:t>Section 1.</w:t>
      </w:r>
      <w:r>
        <w:rPr>
          <w:sz w:val="20"/>
          <w:szCs w:val="20"/>
          <w:color w:val="auto"/>
        </w:rPr>
        <w:tab/>
      </w:r>
      <w:r>
        <w:rPr>
          <w:rFonts w:ascii="Arial" w:cs="Arial" w:eastAsia="Arial" w:hAnsi="Arial"/>
          <w:sz w:val="19"/>
          <w:szCs w:val="19"/>
          <w:u w:val="single" w:color="auto"/>
          <w:color w:val="auto"/>
        </w:rPr>
        <w:t>Restricted Stock Units</w:t>
      </w:r>
      <w:r>
        <w:rPr>
          <w:rFonts w:ascii="Arial" w:cs="Arial" w:eastAsia="Arial" w:hAnsi="Arial"/>
          <w:sz w:val="19"/>
          <w:szCs w:val="19"/>
          <w:color w:val="auto"/>
        </w:rPr>
        <w:t>.</w:t>
      </w:r>
    </w:p>
    <w:p>
      <w:pPr>
        <w:spacing w:after="0" w:line="206" w:lineRule="exact"/>
        <w:rPr>
          <w:sz w:val="20"/>
          <w:szCs w:val="20"/>
          <w:color w:val="auto"/>
        </w:rPr>
      </w:pPr>
    </w:p>
    <w:p>
      <w:pPr>
        <w:jc w:val="both"/>
        <w:ind w:firstLine="1763"/>
        <w:spacing w:after="0" w:line="273" w:lineRule="auto"/>
        <w:tabs>
          <w:tab w:leader="none" w:pos="2643"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Company hereby issues to the Participant, as of the Date of Grant, ______ restricted stock units (the “</w:t>
      </w:r>
      <w:r>
        <w:rPr>
          <w:rFonts w:ascii="Arial" w:cs="Arial" w:eastAsia="Arial" w:hAnsi="Arial"/>
          <w:sz w:val="19"/>
          <w:szCs w:val="19"/>
          <w:u w:val="single" w:color="auto"/>
          <w:color w:val="auto"/>
        </w:rPr>
        <w:t>RSUs</w:t>
      </w:r>
      <w:r>
        <w:rPr>
          <w:rFonts w:ascii="Arial" w:cs="Arial" w:eastAsia="Arial" w:hAnsi="Arial"/>
          <w:sz w:val="19"/>
          <w:szCs w:val="19"/>
          <w:color w:val="auto"/>
        </w:rPr>
        <w:t>”), subject to such vesting, transfer and other restrictions and conditions as set forth in this Agreement (the “</w:t>
      </w:r>
      <w:r>
        <w:rPr>
          <w:rFonts w:ascii="Arial" w:cs="Arial" w:eastAsia="Arial" w:hAnsi="Arial"/>
          <w:sz w:val="19"/>
          <w:szCs w:val="19"/>
          <w:u w:val="single" w:color="auto"/>
          <w:color w:val="auto"/>
        </w:rPr>
        <w:t>Award</w:t>
      </w:r>
      <w:r>
        <w:rPr>
          <w:rFonts w:ascii="Arial" w:cs="Arial" w:eastAsia="Arial" w:hAnsi="Arial"/>
          <w:sz w:val="19"/>
          <w:szCs w:val="19"/>
          <w:color w:val="auto"/>
        </w:rPr>
        <w:t>”), which represents the target number of RSUs that may potentially be earned under the Award (the “</w:t>
      </w:r>
      <w:r>
        <w:rPr>
          <w:rFonts w:ascii="Arial" w:cs="Arial" w:eastAsia="Arial" w:hAnsi="Arial"/>
          <w:sz w:val="19"/>
          <w:szCs w:val="19"/>
          <w:u w:val="single" w:color="auto"/>
          <w:color w:val="auto"/>
        </w:rPr>
        <w:t>Target RSUs</w:t>
      </w:r>
      <w:r>
        <w:rPr>
          <w:rFonts w:ascii="Arial" w:cs="Arial" w:eastAsia="Arial" w:hAnsi="Arial"/>
          <w:sz w:val="19"/>
          <w:szCs w:val="19"/>
          <w:color w:val="auto"/>
        </w:rPr>
        <w:t xml:space="preserve">”). The Participant’s right to receive all or any portion of the RSUs granted hereunder will be contingent upon the Company’s achievement of one or more Performance Goals specified in the performance matrix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 (the “</w:t>
      </w:r>
      <w:r>
        <w:rPr>
          <w:rFonts w:ascii="Arial" w:cs="Arial" w:eastAsia="Arial" w:hAnsi="Arial"/>
          <w:sz w:val="19"/>
          <w:szCs w:val="19"/>
          <w:u w:val="single" w:color="auto"/>
          <w:color w:val="auto"/>
        </w:rPr>
        <w:t>Performance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Matrix</w:t>
      </w:r>
      <w:r>
        <w:rPr>
          <w:rFonts w:ascii="Arial" w:cs="Arial" w:eastAsia="Arial" w:hAnsi="Arial"/>
          <w:sz w:val="19"/>
          <w:szCs w:val="19"/>
          <w:color w:val="auto"/>
        </w:rPr>
        <w:t>”), measured over the Performance Period(s) indicated in the Performance Matrix. The number of RSUs that will be issued pursuant to the Award shall be determined based on the achievement of the applicable Performance Goals set forth in the Performance Matrix, and the Participant’s overall maximum-level Award hereunder is equal to 200% of Target RSUs. The Committee shall specify the Performance Goals applicable to each Performance Period not later than 90 days following the commencement of the applicable Performance Period (or such longer period as may be permitted by Section 162(m) of the Code) and, if applicable, the Performance Matrix shall be deemed updated accordingly.</w:t>
      </w:r>
    </w:p>
    <w:p>
      <w:pPr>
        <w:spacing w:after="0" w:line="156" w:lineRule="exact"/>
        <w:rPr>
          <w:rFonts w:ascii="Arial" w:cs="Arial" w:eastAsia="Arial" w:hAnsi="Arial"/>
          <w:sz w:val="19"/>
          <w:szCs w:val="19"/>
          <w:color w:val="auto"/>
        </w:rPr>
      </w:pPr>
    </w:p>
    <w:p>
      <w:pPr>
        <w:ind w:firstLine="1763"/>
        <w:spacing w:after="0" w:line="251" w:lineRule="auto"/>
        <w:tabs>
          <w:tab w:leader="none" w:pos="2655" w:val="left"/>
        </w:tabs>
        <w:numPr>
          <w:ilvl w:val="0"/>
          <w:numId w:val="61"/>
        </w:numPr>
        <w:rPr>
          <w:rFonts w:ascii="Arial" w:cs="Arial" w:eastAsia="Arial" w:hAnsi="Arial"/>
          <w:sz w:val="22"/>
          <w:szCs w:val="22"/>
          <w:color w:val="auto"/>
        </w:rPr>
      </w:pPr>
      <w:r>
        <w:rPr>
          <w:rFonts w:ascii="Arial" w:cs="Arial" w:eastAsia="Arial" w:hAnsi="Arial"/>
          <w:sz w:val="22"/>
          <w:szCs w:val="22"/>
          <w:color w:val="auto"/>
        </w:rPr>
        <w:t>Each RSU represents the value equal to the Fair Market Value of one Share, subject to the terms and conditions set forth in this Agreement and the Plan.</w:t>
      </w:r>
    </w:p>
    <w:p>
      <w:pPr>
        <w:spacing w:after="0" w:line="173" w:lineRule="exact"/>
        <w:rPr>
          <w:sz w:val="20"/>
          <w:szCs w:val="20"/>
          <w:color w:val="auto"/>
        </w:rPr>
      </w:pPr>
    </w:p>
    <w:p>
      <w:pPr>
        <w:ind w:left="1760"/>
        <w:spacing w:after="0"/>
        <w:tabs>
          <w:tab w:leader="none" w:pos="3260" w:val="left"/>
        </w:tabs>
        <w:rPr>
          <w:sz w:val="20"/>
          <w:szCs w:val="20"/>
          <w:color w:val="auto"/>
        </w:rPr>
      </w:pPr>
      <w:r>
        <w:rPr>
          <w:rFonts w:ascii="Arial" w:cs="Arial" w:eastAsia="Arial" w:hAnsi="Arial"/>
          <w:sz w:val="22"/>
          <w:szCs w:val="22"/>
          <w:u w:val="single" w:color="auto"/>
          <w:color w:val="auto"/>
        </w:rPr>
        <w:t>Section 2.</w:t>
      </w:r>
      <w:r>
        <w:rPr>
          <w:sz w:val="20"/>
          <w:szCs w:val="20"/>
          <w:color w:val="auto"/>
        </w:rPr>
        <w:tab/>
      </w:r>
      <w:r>
        <w:rPr>
          <w:rFonts w:ascii="Arial" w:cs="Arial" w:eastAsia="Arial" w:hAnsi="Arial"/>
          <w:sz w:val="19"/>
          <w:szCs w:val="19"/>
          <w:u w:val="single" w:color="auto"/>
          <w:color w:val="auto"/>
        </w:rPr>
        <w:t>Vesting Requirements</w:t>
      </w:r>
      <w:r>
        <w:rPr>
          <w:rFonts w:ascii="Arial" w:cs="Arial" w:eastAsia="Arial" w:hAnsi="Arial"/>
          <w:sz w:val="19"/>
          <w:szCs w:val="19"/>
          <w:color w:val="auto"/>
        </w:rPr>
        <w:t>.</w:t>
      </w:r>
    </w:p>
    <w:p>
      <w:pPr>
        <w:spacing w:after="0" w:line="206" w:lineRule="exact"/>
        <w:rPr>
          <w:sz w:val="20"/>
          <w:szCs w:val="20"/>
          <w:color w:val="auto"/>
        </w:rPr>
      </w:pPr>
    </w:p>
    <w:p>
      <w:pPr>
        <w:jc w:val="both"/>
        <w:ind w:firstLine="1763"/>
        <w:spacing w:after="0" w:line="275" w:lineRule="auto"/>
        <w:tabs>
          <w:tab w:leader="none" w:pos="2643"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Subject to Section 2(b) hereof, if, as of the end of the applicable Performance Period, an applicable Performance Goal has been achieved, the payout percentage specified for such level of achievement in the Performance Matrix shall be earned with respect to the RSUs attributable to such Performance Goal (the “</w:t>
      </w:r>
      <w:r>
        <w:rPr>
          <w:rFonts w:ascii="Arial" w:cs="Arial" w:eastAsia="Arial" w:hAnsi="Arial"/>
          <w:sz w:val="19"/>
          <w:szCs w:val="19"/>
          <w:u w:val="single" w:color="auto"/>
          <w:color w:val="auto"/>
        </w:rPr>
        <w:t>Payout Percentage</w:t>
      </w:r>
      <w:r>
        <w:rPr>
          <w:rFonts w:ascii="Arial" w:cs="Arial" w:eastAsia="Arial" w:hAnsi="Arial"/>
          <w:sz w:val="19"/>
          <w:szCs w:val="19"/>
          <w:color w:val="auto"/>
        </w:rPr>
        <w:t>”). To the extent the Participant’s achievement level falls between Performance Goal achievement levels, the Payout Percentage shall be determined using a straight-line interpolation between the two nearest Performance Goal achievement levels. Except as otherwise provided herein, the applicable portion of the RSUs determined by the Payout Percentage(s) shall vest and become non-forfeitable on January 1, 2021 (the “</w:t>
      </w:r>
      <w:r>
        <w:rPr>
          <w:rFonts w:ascii="Arial" w:cs="Arial" w:eastAsia="Arial" w:hAnsi="Arial"/>
          <w:sz w:val="19"/>
          <w:szCs w:val="19"/>
          <w:u w:val="single" w:color="auto"/>
          <w:color w:val="auto"/>
        </w:rPr>
        <w:t>Vesting Date</w:t>
      </w:r>
      <w:r>
        <w:rPr>
          <w:rFonts w:ascii="Arial" w:cs="Arial" w:eastAsia="Arial" w:hAnsi="Arial"/>
          <w:sz w:val="19"/>
          <w:szCs w:val="19"/>
          <w:color w:val="auto"/>
        </w:rPr>
        <w:t>”), subject to the Participant’s continuous service or employment with the Company and its Affiliates (“</w:t>
      </w:r>
      <w:r>
        <w:rPr>
          <w:rFonts w:ascii="Arial" w:cs="Arial" w:eastAsia="Arial" w:hAnsi="Arial"/>
          <w:sz w:val="19"/>
          <w:szCs w:val="19"/>
          <w:u w:val="single" w:color="auto"/>
          <w:color w:val="auto"/>
        </w:rPr>
        <w:t>Service</w:t>
      </w:r>
      <w:r>
        <w:rPr>
          <w:rFonts w:ascii="Arial" w:cs="Arial" w:eastAsia="Arial" w:hAnsi="Arial"/>
          <w:sz w:val="19"/>
          <w:szCs w:val="19"/>
          <w:color w:val="auto"/>
        </w:rPr>
        <w:t>”) from the Grant Date through the Vesting Date.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#4830-7916-8832v5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35" w:name="page136"/>
    <w:bookmarkEnd w:id="135"/>
    <w:p>
      <w:pPr>
        <w:jc w:val="both"/>
        <w:ind w:firstLine="1763"/>
        <w:spacing w:after="0" w:line="271" w:lineRule="auto"/>
        <w:tabs>
          <w:tab w:leader="none" w:pos="2655"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Determination of Earned Award</w:t>
      </w:r>
      <w:r>
        <w:rPr>
          <w:rFonts w:ascii="Arial" w:cs="Arial" w:eastAsia="Arial" w:hAnsi="Arial"/>
          <w:sz w:val="19"/>
          <w:szCs w:val="19"/>
          <w:color w:val="auto"/>
        </w:rPr>
        <w:t>. Not later than three days following the filing of the Company’s Form 10-K covering the period during which the applicable Performance Period ended, the Company’s Chief Financial Officer (the “</w:t>
      </w:r>
      <w:r>
        <w:rPr>
          <w:rFonts w:ascii="Arial" w:cs="Arial" w:eastAsia="Arial" w:hAnsi="Arial"/>
          <w:sz w:val="19"/>
          <w:szCs w:val="19"/>
          <w:u w:val="single" w:color="auto"/>
          <w:color w:val="auto"/>
        </w:rPr>
        <w:t>CFO</w:t>
      </w:r>
      <w:r>
        <w:rPr>
          <w:rFonts w:ascii="Arial" w:cs="Arial" w:eastAsia="Arial" w:hAnsi="Arial"/>
          <w:sz w:val="19"/>
          <w:szCs w:val="19"/>
          <w:color w:val="auto"/>
        </w:rPr>
        <w:t>”) will notify the Committee if one or more of the applicable Performance Goal(s) set forth in the Performance Matrix have been satisfied for the applicable Performance Period. Not later than ten days following any such notification from the CFO, the Committee will determine (i) whether and to what extent the applicable Performance Goal(s) have been satisfied for the applicable Performance Period, (ii) the applicable Payout Percentage(s) in respect of the RSUs applicable to such Performance Goal(s) for the applicable Performance Period, and (iii) the aggregate number of RSUs that shall remain eligible to vest hereunder pursuant to the terms hereof. The Committee’s determination of the foregoing shall be final and binding on the Participant absent a showing of manifest error. Upon such determinations by the Committee, any RSUs applicable to the Performance Goal(s) and Performance Period(s) relating to the Committee’s determination that are no longer eligible to vest (due to the failure to achieve the maximum applicable Performance Goal achievement level(s)) shall immediately be forfeited and cancelled, and the Participant shall not be entitled to any compensation or other amount with respect thereto. Notwithstanding any other provision of this Agreement, but subject to clause (i) of Section 2(c) hereof, no portion of the RSUs shall vest until the Committee has made the foregoing determinations.</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jc w:val="both"/>
        <w:ind w:firstLine="1763"/>
        <w:spacing w:after="0" w:line="279" w:lineRule="auto"/>
        <w:tabs>
          <w:tab w:leader="none" w:pos="2643"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Notwithstanding Sections 2(a) and 2(b) hereof and Section 13 of the Plan, upon the occurrence of a Change in Control, (i) prior to the Committee’s determination pursuant to Section 2(b) hereof with respect to an applicable Performance Period, the portion of the Target RSUs attributable to such Performance Period, and (ii) following the Committee’s determination pursuant to Section 2(b) hereof with respect to an applicable Performance Period, 100% of any then unvested RSUs remaining eligible to vest following the Committee’s determination with respect thereto for the applicable Performance Period pursuant to Section 2(b) hereof, in each case, shall immediately become fully vested and non-forfeitable.</w:t>
      </w:r>
    </w:p>
    <w:p>
      <w:pPr>
        <w:spacing w:after="0" w:line="150" w:lineRule="exact"/>
        <w:rPr>
          <w:rFonts w:ascii="Arial" w:cs="Arial" w:eastAsia="Arial" w:hAnsi="Arial"/>
          <w:sz w:val="19"/>
          <w:szCs w:val="19"/>
          <w:color w:val="auto"/>
        </w:rPr>
      </w:pPr>
    </w:p>
    <w:p>
      <w:pPr>
        <w:jc w:val="both"/>
        <w:ind w:firstLine="1763"/>
        <w:spacing w:after="0" w:line="282" w:lineRule="auto"/>
        <w:tabs>
          <w:tab w:leader="none" w:pos="2655"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Termination of Service without Cause, for Good Reason, or due to Death or Disability</w:t>
      </w:r>
      <w:r>
        <w:rPr>
          <w:rFonts w:ascii="Arial" w:cs="Arial" w:eastAsia="Arial" w:hAnsi="Arial"/>
          <w:sz w:val="19"/>
          <w:szCs w:val="19"/>
          <w:color w:val="auto"/>
        </w:rPr>
        <w:t>. Notwithstanding Sections 2(a) and 2(b) hereof, except in the event of the occurrence of a Change in Control prior to the settlement of any portion of the RSUs pursuant to Section 3 hereof (in which case Section 2(c) hereof shall apply), in the event of the Participant’s termination of Service prior to the Vesting Date by the Company and its Affiliates without Cause, by the Participant for Good Reason, or due to the Participant’s death or Disability (the date of such termination, the “</w:t>
      </w:r>
      <w:r>
        <w:rPr>
          <w:rFonts w:ascii="Arial" w:cs="Arial" w:eastAsia="Arial" w:hAnsi="Arial"/>
          <w:sz w:val="19"/>
          <w:szCs w:val="19"/>
          <w:u w:val="single" w:color="auto"/>
          <w:color w:val="auto"/>
        </w:rPr>
        <w:t>Termination Date</w:t>
      </w:r>
      <w:r>
        <w:rPr>
          <w:rFonts w:ascii="Arial" w:cs="Arial" w:eastAsia="Arial" w:hAnsi="Arial"/>
          <w:sz w:val="19"/>
          <w:szCs w:val="19"/>
          <w:color w:val="auto"/>
        </w:rPr>
        <w:t>”), then:</w:t>
      </w:r>
    </w:p>
    <w:p>
      <w:pPr>
        <w:spacing w:after="0" w:line="147" w:lineRule="exact"/>
        <w:rPr>
          <w:rFonts w:ascii="Arial" w:cs="Arial" w:eastAsia="Arial" w:hAnsi="Arial"/>
          <w:sz w:val="19"/>
          <w:szCs w:val="19"/>
          <w:color w:val="auto"/>
        </w:rPr>
      </w:pPr>
    </w:p>
    <w:p>
      <w:pPr>
        <w:jc w:val="both"/>
        <w:ind w:left="880" w:firstLine="1626"/>
        <w:spacing w:after="0" w:line="273" w:lineRule="auto"/>
        <w:tabs>
          <w:tab w:leader="none" w:pos="3352" w:val="left"/>
        </w:tabs>
        <w:numPr>
          <w:ilvl w:val="1"/>
          <w:numId w:val="63"/>
        </w:numPr>
        <w:rPr>
          <w:rFonts w:ascii="Arial" w:cs="Arial" w:eastAsia="Arial" w:hAnsi="Arial"/>
          <w:sz w:val="19"/>
          <w:szCs w:val="19"/>
          <w:color w:val="auto"/>
        </w:rPr>
      </w:pPr>
      <w:r>
        <w:rPr>
          <w:rFonts w:ascii="Arial" w:cs="Arial" w:eastAsia="Arial" w:hAnsi="Arial"/>
          <w:sz w:val="19"/>
          <w:szCs w:val="19"/>
          <w:color w:val="auto"/>
        </w:rPr>
        <w:t xml:space="preserve">100% of any then unvested RSUs attributable to any Performance Period(s) that ended prior to the Termination Date shall immediately become fully vested and non-forfeitable upon the later to occur of (A) the Termination Date, or (B) the Committee’s determination with respect to the applicable Performance Period pursuant to Section 2(b) hereof (in either case, after taking into account the forfeiture and cancellation of any RSUs pursuant to Section 2(b) hereof due to the failure to achieve the maximum applicable Performance Goal achievement level(s) for any applicable Performance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Committee’s determination with respect to such Performance Period for purposes of Section 2(b) hereof does not occur by March 15</w:t>
      </w:r>
      <w:r>
        <w:rPr>
          <w:rFonts w:ascii="Arial" w:cs="Arial" w:eastAsia="Arial" w:hAnsi="Arial"/>
          <w:sz w:val="16"/>
          <w:szCs w:val="16"/>
          <w:color w:val="auto"/>
        </w:rPr>
        <w:t>th</w:t>
      </w:r>
      <w:r>
        <w:rPr>
          <w:rFonts w:ascii="Arial" w:cs="Arial" w:eastAsia="Arial" w:hAnsi="Arial"/>
          <w:sz w:val="19"/>
          <w:szCs w:val="19"/>
          <w:color w:val="auto"/>
        </w:rPr>
        <w:t xml:space="preserve"> of the calendar year following the calendar year in which the Termination Date occurs, then zero RSUs shall vest with respect to such Performance Period (with all RSUs attributable to such Performance Period being immediately forfeited and cancelled, without any compensation or other amount payable with respect thereto); and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#4830-7916-8832v5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36" w:name="page137"/>
    <w:bookmarkEnd w:id="136"/>
    <w:p>
      <w:pPr>
        <w:jc w:val="both"/>
        <w:ind w:left="880" w:firstLine="1626"/>
        <w:spacing w:after="0" w:line="273" w:lineRule="auto"/>
        <w:tabs>
          <w:tab w:leader="none" w:pos="3413" w:val="left"/>
        </w:tabs>
        <w:numPr>
          <w:ilvl w:val="1"/>
          <w:numId w:val="64"/>
        </w:numPr>
        <w:rPr>
          <w:rFonts w:ascii="Arial" w:cs="Arial" w:eastAsia="Arial" w:hAnsi="Arial"/>
          <w:sz w:val="19"/>
          <w:szCs w:val="19"/>
          <w:color w:val="auto"/>
        </w:rPr>
      </w:pPr>
      <w:r>
        <w:rPr>
          <w:rFonts w:ascii="Arial" w:cs="Arial" w:eastAsia="Arial" w:hAnsi="Arial"/>
          <w:sz w:val="19"/>
          <w:szCs w:val="19"/>
          <w:color w:val="auto"/>
        </w:rPr>
        <w:t xml:space="preserve">100% of any then unvested RSUs attributable to any Performance Period that has not ended (including, without limitation, any Performance Period that has not commenced) prior to the Termination Date shall become fully vested and non-forfeitable upon the Committee’s determination with respect to such Performance Period pursuant to Section 2(b) hereof (after taking into account the forfeiture and cancellation of any RSUs pursuant to Section 2(b) hereof due to the failure to achieve the maximum applicable Performance Goal achievement level(s) for any applicable Performance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Committee’s determination with respect to the applicable Performance Period for purposes of Section 2(b) hereof does not occur by March 15</w:t>
      </w:r>
      <w:r>
        <w:rPr>
          <w:rFonts w:ascii="Arial" w:cs="Arial" w:eastAsia="Arial" w:hAnsi="Arial"/>
          <w:sz w:val="16"/>
          <w:szCs w:val="16"/>
          <w:color w:val="auto"/>
        </w:rPr>
        <w:t>th</w:t>
      </w:r>
      <w:r>
        <w:rPr>
          <w:rFonts w:ascii="Arial" w:cs="Arial" w:eastAsia="Arial" w:hAnsi="Arial"/>
          <w:sz w:val="19"/>
          <w:szCs w:val="19"/>
          <w:color w:val="auto"/>
        </w:rPr>
        <w:t xml:space="preserve"> of the calendar year following the calendar year to which the applicable Performance Period relates (or, if later, March 15</w:t>
      </w:r>
      <w:r>
        <w:rPr>
          <w:rFonts w:ascii="Arial" w:cs="Arial" w:eastAsia="Arial" w:hAnsi="Arial"/>
          <w:sz w:val="16"/>
          <w:szCs w:val="16"/>
          <w:color w:val="auto"/>
        </w:rPr>
        <w:t>th</w:t>
      </w:r>
      <w:r>
        <w:rPr>
          <w:rFonts w:ascii="Arial" w:cs="Arial" w:eastAsia="Arial" w:hAnsi="Arial"/>
          <w:sz w:val="19"/>
          <w:szCs w:val="19"/>
          <w:color w:val="auto"/>
        </w:rPr>
        <w:t xml:space="preserve"> of the calendar year following the calendar year in which the Termination Date occurs), then zero RSUs shall vest with respect to such Performance Period (with all RSUs attributable to such Performance Period being immediately forfeited and cancelled, without any compensation or other amount payable with respect thereto).</w:t>
      </w:r>
    </w:p>
    <w:p>
      <w:pPr>
        <w:spacing w:after="0" w:line="156" w:lineRule="exact"/>
        <w:rPr>
          <w:rFonts w:ascii="Arial" w:cs="Arial" w:eastAsia="Arial" w:hAnsi="Arial"/>
          <w:sz w:val="19"/>
          <w:szCs w:val="19"/>
          <w:color w:val="auto"/>
        </w:rPr>
      </w:pPr>
    </w:p>
    <w:p>
      <w:pPr>
        <w:jc w:val="both"/>
        <w:ind w:firstLine="1763"/>
        <w:spacing w:after="0" w:line="235" w:lineRule="auto"/>
        <w:tabs>
          <w:tab w:leader="none" w:pos="2643"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Other Terminations of Service</w:t>
      </w:r>
      <w:r>
        <w:rPr>
          <w:rFonts w:ascii="Arial" w:cs="Arial" w:eastAsia="Arial" w:hAnsi="Arial"/>
          <w:sz w:val="22"/>
          <w:szCs w:val="22"/>
          <w:color w:val="auto"/>
        </w:rPr>
        <w:t>. Upon the occurrence of a termination of the Participant’s Service for any reason other than as contemplated by Section 2(d) hereof, all outstanding and unvested RSUs shall immediately be forfeited and cancelled, and the Participant shall not be entitled to any compensation or other amount with respect thereto. Notwithstanding anything to the contrary herein, upon a termination of the Participant’s Service for Cause, all RSUs, whether vested or unvested, shall immediately be forfeited and cancelled, and the Participant shall not be entitled to any compensation or other amount with respect thereto.</w:t>
      </w:r>
    </w:p>
    <w:p>
      <w:pPr>
        <w:spacing w:after="0" w:line="188" w:lineRule="exact"/>
        <w:rPr>
          <w:sz w:val="20"/>
          <w:szCs w:val="20"/>
          <w:color w:val="auto"/>
        </w:rPr>
      </w:pPr>
    </w:p>
    <w:p>
      <w:pPr>
        <w:jc w:val="both"/>
        <w:ind w:firstLine="1755"/>
        <w:spacing w:after="0" w:line="271" w:lineRule="auto"/>
        <w:rPr>
          <w:sz w:val="20"/>
          <w:szCs w:val="20"/>
          <w:color w:val="auto"/>
        </w:rPr>
      </w:pPr>
      <w:r>
        <w:rPr>
          <w:rFonts w:ascii="Arial" w:cs="Arial" w:eastAsia="Arial" w:hAnsi="Arial"/>
          <w:sz w:val="19"/>
          <w:szCs w:val="19"/>
          <w:u w:val="single" w:color="auto"/>
          <w:color w:val="auto"/>
        </w:rPr>
        <w:t>Section 3. Settlement</w:t>
      </w:r>
      <w:r>
        <w:rPr>
          <w:rFonts w:ascii="Arial" w:cs="Arial" w:eastAsia="Arial" w:hAnsi="Arial"/>
          <w:sz w:val="19"/>
          <w:szCs w:val="19"/>
          <w:color w:val="auto"/>
        </w:rPr>
        <w:t xml:space="preserve">. As soon as reasonably practicable (and in any event within 10 days) following the Vesting Date, Termination Date, the date of the Committee’s determination with respect to the applicable Performance Period for purposes of Section 2(b) hereof, or the occurrence of the Change in Control, as applicable, any RSUs that become vested and non-forfeitable shall be paid, unless otherwise determined by the Committee, by the Company delivering to the Participant a number of Shares equal to the number of RSUs that vested and became non-forfeitable pursuant to Section 2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that the Termination Date occurs during any Performance Period, then the settlement of the applicable portion of the RSUs attributable to such Performance Period shall occur no later than March 15</w:t>
      </w:r>
      <w:r>
        <w:rPr>
          <w:rFonts w:ascii="Arial" w:cs="Arial" w:eastAsia="Arial" w:hAnsi="Arial"/>
          <w:sz w:val="16"/>
          <w:szCs w:val="16"/>
          <w:color w:val="auto"/>
        </w:rPr>
        <w:t>th</w:t>
      </w:r>
      <w:r>
        <w:rPr>
          <w:rFonts w:ascii="Arial" w:cs="Arial" w:eastAsia="Arial" w:hAnsi="Arial"/>
          <w:sz w:val="19"/>
          <w:szCs w:val="19"/>
          <w:color w:val="auto"/>
        </w:rPr>
        <w:t xml:space="preserve"> of the calendar year following the calendar year in which the Termination Date occurs. Notwithstanding the foregoing, if the Participant is subject to a trading blackout on the Vesting Date, Termination Date, the date of the Committee’s determination with respect to the applicable Performance Period for purposes of Section 2(b) hereof, or the occurrence of the Change in Control, as applicable, then the applicable RSUs shall instead be settled and paid as soon as reasonably practicable (and in any event within 10 days) following the date on which the trading blackout is no longer applicable (but in no event later than March 15</w:t>
      </w:r>
      <w:r>
        <w:rPr>
          <w:rFonts w:ascii="Arial" w:cs="Arial" w:eastAsia="Arial" w:hAnsi="Arial"/>
          <w:sz w:val="16"/>
          <w:szCs w:val="16"/>
          <w:color w:val="auto"/>
        </w:rPr>
        <w:t>th</w:t>
      </w:r>
      <w:r>
        <w:rPr>
          <w:rFonts w:ascii="Arial" w:cs="Arial" w:eastAsia="Arial" w:hAnsi="Arial"/>
          <w:sz w:val="19"/>
          <w:szCs w:val="19"/>
          <w:color w:val="auto"/>
        </w:rPr>
        <w:t xml:space="preserve"> of the calendar year following the calendar year in which the Vesting Date, the date on which the applicable Performance Period ended (or, if later, the Termination Date), or the occurrence of the Change in Control, as applicable, occurs).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#4830-7916-8832v5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37" w:name="page138"/>
    <w:bookmarkEnd w:id="137"/>
    <w:p>
      <w:pPr>
        <w:jc w:val="both"/>
        <w:ind w:firstLine="1755"/>
        <w:spacing w:after="0" w:line="275" w:lineRule="auto"/>
        <w:rPr>
          <w:sz w:val="20"/>
          <w:szCs w:val="20"/>
          <w:color w:val="auto"/>
        </w:rPr>
      </w:pPr>
      <w:r>
        <w:rPr>
          <w:rFonts w:ascii="Arial" w:cs="Arial" w:eastAsia="Arial" w:hAnsi="Arial"/>
          <w:sz w:val="19"/>
          <w:szCs w:val="19"/>
          <w:u w:val="single" w:color="auto"/>
          <w:color w:val="auto"/>
        </w:rPr>
        <w:t>Section 4. Restrictions on Transfer</w:t>
      </w:r>
      <w:r>
        <w:rPr>
          <w:rFonts w:ascii="Arial" w:cs="Arial" w:eastAsia="Arial" w:hAnsi="Arial"/>
          <w:sz w:val="19"/>
          <w:szCs w:val="19"/>
          <w:color w:val="auto"/>
        </w:rPr>
        <w:t xml:space="preserve">. No RSUs (nor any interest therein) may be sold, assigned, alienated, pledged, attached or otherwise transferred or encumbered by the Participant otherwise than by will or by the laws of descent and distribution, and any such purported sale, assignment, alienation, pledge, attachment, transfer or encumbrance shall be void and unenforceable against the Company or any Affiliate;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designation of a beneficiary shall not constitute a sale, assignment, alienation, pledge, attachment, transfer or encumbrance. Notwithstanding the foregoing, at the discretion of the Committee, RSUs may be transferred by the Participant solely to the Participant’s spouse, siblings, parents, children and grandchildren or trusts for the benefit of such persons or partnerships, corporations, limited liability companies or other entities owned solely by such persons, including, but not limited to, trusts for such persons.</w:t>
      </w:r>
    </w:p>
    <w:p>
      <w:pPr>
        <w:spacing w:after="0" w:line="158" w:lineRule="exact"/>
        <w:rPr>
          <w:sz w:val="20"/>
          <w:szCs w:val="20"/>
          <w:color w:val="auto"/>
        </w:rPr>
      </w:pPr>
    </w:p>
    <w:p>
      <w:pPr>
        <w:jc w:val="both"/>
        <w:ind w:firstLine="1755"/>
        <w:spacing w:after="0" w:line="272" w:lineRule="auto"/>
        <w:rPr>
          <w:sz w:val="20"/>
          <w:szCs w:val="20"/>
          <w:color w:val="auto"/>
        </w:rPr>
      </w:pPr>
      <w:r>
        <w:rPr>
          <w:rFonts w:ascii="Arial" w:cs="Arial" w:eastAsia="Arial" w:hAnsi="Arial"/>
          <w:sz w:val="19"/>
          <w:szCs w:val="19"/>
          <w:u w:val="single" w:color="auto"/>
          <w:color w:val="auto"/>
        </w:rPr>
        <w:t>Section 5. Investment Representation</w:t>
      </w:r>
      <w:r>
        <w:rPr>
          <w:rFonts w:ascii="Arial" w:cs="Arial" w:eastAsia="Arial" w:hAnsi="Arial"/>
          <w:sz w:val="19"/>
          <w:szCs w:val="19"/>
          <w:color w:val="auto"/>
        </w:rPr>
        <w:t>. The Participant is acquiring the RSUs for investment purposes only and not with a view to, or in connection with, the public distribution thereof in violation of the Securities Act of 1933, as amended (the “</w:t>
      </w:r>
      <w:r>
        <w:rPr>
          <w:rFonts w:ascii="Arial" w:cs="Arial" w:eastAsia="Arial" w:hAnsi="Arial"/>
          <w:sz w:val="19"/>
          <w:szCs w:val="19"/>
          <w:u w:val="single" w:color="auto"/>
          <w:color w:val="auto"/>
        </w:rPr>
        <w:t>Securities Ac</w:t>
      </w:r>
      <w:r>
        <w:rPr>
          <w:rFonts w:ascii="Arial" w:cs="Arial" w:eastAsia="Arial" w:hAnsi="Arial"/>
          <w:sz w:val="19"/>
          <w:szCs w:val="19"/>
          <w:color w:val="auto"/>
        </w:rPr>
        <w:t>t”). No Shares shall be acquired unless and until the Company and/or the Participant shall have complied with all applicable federal or state registration, listing and/or qualification requirements and all other requirements of law or of any regulatory agencies having jurisdiction, unless the Committee has received evidence satisfactory to it that the Participant may acquire such shares pursuant to an exemption from registration under the applicable securities laws. The Participant understands and agrees that none of the RSUs may be offered, sold, assigned, transferred, pledged, hypothecated or otherwise disposed of except in compliance with this Agreement and the Securities Act pursuant to an effective registration statement or applicable exemption from the registration requirements of the Securities Act and applicable state securities or “blue sky” laws. Notwithstanding anything herein to the contrary, the Company shall have no obligation to deliver any Shares hereunder or make any other distribution of benefits under hereunder unless such delivery or distribution would comply with all applicable laws (including, without limitation, the Securities Act), and the applicable requirements of any securities exchange or similar entity.</w:t>
      </w:r>
    </w:p>
    <w:p>
      <w:pPr>
        <w:spacing w:after="0" w:line="162"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u w:val="single" w:color="auto"/>
          <w:color w:val="auto"/>
        </w:rPr>
        <w:t>Section 6. Adjustments</w:t>
      </w:r>
      <w:r>
        <w:rPr>
          <w:rFonts w:ascii="Arial" w:cs="Arial" w:eastAsia="Arial" w:hAnsi="Arial"/>
          <w:sz w:val="22"/>
          <w:szCs w:val="22"/>
          <w:color w:val="auto"/>
        </w:rPr>
        <w:t>. The Award granted hereunder shall be subject to the adjustment as provided in Section 4(b) of the Plan.</w:t>
      </w:r>
    </w:p>
    <w:p>
      <w:pPr>
        <w:spacing w:after="0" w:line="173" w:lineRule="exact"/>
        <w:rPr>
          <w:sz w:val="20"/>
          <w:szCs w:val="20"/>
          <w:color w:val="auto"/>
        </w:rPr>
      </w:pPr>
    </w:p>
    <w:p>
      <w:pPr>
        <w:jc w:val="both"/>
        <w:ind w:right="20" w:firstLine="1755"/>
        <w:spacing w:after="0" w:line="251" w:lineRule="auto"/>
        <w:rPr>
          <w:sz w:val="20"/>
          <w:szCs w:val="20"/>
          <w:color w:val="auto"/>
        </w:rPr>
      </w:pPr>
      <w:r>
        <w:rPr>
          <w:rFonts w:ascii="Arial" w:cs="Arial" w:eastAsia="Arial" w:hAnsi="Arial"/>
          <w:sz w:val="22"/>
          <w:szCs w:val="22"/>
          <w:u w:val="single" w:color="auto"/>
          <w:color w:val="auto"/>
        </w:rPr>
        <w:t>Section 7. No Right of Continued Service</w:t>
      </w:r>
      <w:r>
        <w:rPr>
          <w:rFonts w:ascii="Arial" w:cs="Arial" w:eastAsia="Arial" w:hAnsi="Arial"/>
          <w:sz w:val="22"/>
          <w:szCs w:val="22"/>
          <w:color w:val="auto"/>
        </w:rPr>
        <w:t>. Nothing in the Plan or this Agreement shall confer upon the Participant any right to continued Service.</w:t>
      </w:r>
    </w:p>
    <w:p>
      <w:pPr>
        <w:spacing w:after="0" w:line="173" w:lineRule="exact"/>
        <w:rPr>
          <w:sz w:val="20"/>
          <w:szCs w:val="20"/>
          <w:color w:val="auto"/>
        </w:rPr>
      </w:pPr>
    </w:p>
    <w:p>
      <w:pPr>
        <w:jc w:val="both"/>
        <w:ind w:firstLine="1755"/>
        <w:spacing w:after="0" w:line="282" w:lineRule="auto"/>
        <w:rPr>
          <w:sz w:val="20"/>
          <w:szCs w:val="20"/>
          <w:color w:val="auto"/>
        </w:rPr>
      </w:pPr>
      <w:r>
        <w:rPr>
          <w:rFonts w:ascii="Arial" w:cs="Arial" w:eastAsia="Arial" w:hAnsi="Arial"/>
          <w:sz w:val="19"/>
          <w:szCs w:val="19"/>
          <w:u w:val="single" w:color="auto"/>
          <w:color w:val="auto"/>
        </w:rPr>
        <w:t>Section 8. Confidentiality</w:t>
      </w:r>
      <w:r>
        <w:rPr>
          <w:rFonts w:ascii="Arial" w:cs="Arial" w:eastAsia="Arial" w:hAnsi="Arial"/>
          <w:sz w:val="19"/>
          <w:szCs w:val="19"/>
          <w:color w:val="auto"/>
        </w:rPr>
        <w:t>. The Performance Goals specified in the Performance Matrix are highly confidential. If the Participant discloses, or if the Company reasonably believes that the Participant has disclosed, the contents of the Performance Matrix to anyone else, the Participant may be subject to the Company’s formal disciplinary procedure, the terms of this Agreement will be rendered null and void, and all RSUs granted hereunder shall immediately be forfeited and cancelled, and the Participant shall not be entitled to any compensation or other amount with respect thereto.</w:t>
      </w:r>
    </w:p>
    <w:p>
      <w:pPr>
        <w:spacing w:after="0" w:line="148"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u w:val="single" w:color="auto"/>
          <w:color w:val="auto"/>
        </w:rPr>
        <w:t>Section 9. Tax Withholding</w:t>
      </w:r>
      <w:r>
        <w:rPr>
          <w:rFonts w:ascii="Arial" w:cs="Arial" w:eastAsia="Arial" w:hAnsi="Arial"/>
          <w:sz w:val="22"/>
          <w:szCs w:val="22"/>
          <w:color w:val="auto"/>
        </w:rPr>
        <w:t>. This Agreement and the Award shall be subject to tax and/or other withholding in accordance with Section 16(e) of the Plan.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#4830-7916-8832v5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38" w:name="page139"/>
    <w:bookmarkEnd w:id="138"/>
    <w:p>
      <w:pPr>
        <w:jc w:val="both"/>
        <w:ind w:firstLine="1755"/>
        <w:spacing w:after="0" w:line="245" w:lineRule="auto"/>
        <w:rPr>
          <w:sz w:val="20"/>
          <w:szCs w:val="20"/>
          <w:color w:val="auto"/>
        </w:rPr>
      </w:pPr>
      <w:r>
        <w:rPr>
          <w:rFonts w:ascii="Arial" w:cs="Arial" w:eastAsia="Arial" w:hAnsi="Arial"/>
          <w:sz w:val="21"/>
          <w:szCs w:val="21"/>
          <w:u w:val="single" w:color="auto"/>
          <w:color w:val="auto"/>
        </w:rPr>
        <w:t>Section 10. No Rights as a Stockholder; Dividends</w:t>
      </w:r>
      <w:r>
        <w:rPr>
          <w:rFonts w:ascii="Arial" w:cs="Arial" w:eastAsia="Arial" w:hAnsi="Arial"/>
          <w:sz w:val="21"/>
          <w:szCs w:val="21"/>
          <w:color w:val="auto"/>
        </w:rPr>
        <w:t>. The Participant shall not have any privileges of a stockholder of the Company with respect to any RSUs, including without limitation any right to vote any Shares underlying such RSUs or to receive dividends or other distributions in respect thereof, unless and until Shares underlying the RSUs are delivered to the Participant in accordance with Section 3 hereof. Notwithstanding the foregoing, any dividends payable with respect to the RSUs underlying the Award during the Period from the Grant Date through the date the applicable RSUs are settled in accordance with Section 3 hereof will accumulate in cash and be payable to the Participant on a deferred basis, but only to the extent that the Award vests in accordance with Section 2 hereof. In no event shall the Participant be entitled to any payments relating to dividends paid after the earlier to occur of the settlement or forfeiture of the applicable RSUs underlying the Award and, for the avoidance of doubt, all accumulated dividends shall be forfeited immediately upon the forfeiture or cancellation of the Award or applicable portion thereof.</w:t>
      </w:r>
    </w:p>
    <w:p>
      <w:pPr>
        <w:spacing w:after="0" w:line="182" w:lineRule="exact"/>
        <w:rPr>
          <w:sz w:val="20"/>
          <w:szCs w:val="20"/>
          <w:color w:val="auto"/>
        </w:rPr>
      </w:pPr>
    </w:p>
    <w:p>
      <w:pPr>
        <w:jc w:val="both"/>
        <w:ind w:firstLine="1755"/>
        <w:spacing w:after="0" w:line="234" w:lineRule="auto"/>
        <w:rPr>
          <w:sz w:val="20"/>
          <w:szCs w:val="20"/>
          <w:color w:val="auto"/>
        </w:rPr>
      </w:pPr>
      <w:r>
        <w:rPr>
          <w:rFonts w:ascii="Arial" w:cs="Arial" w:eastAsia="Arial" w:hAnsi="Arial"/>
          <w:sz w:val="22"/>
          <w:szCs w:val="22"/>
          <w:u w:val="single" w:color="auto"/>
          <w:color w:val="auto"/>
        </w:rPr>
        <w:t>Section 11. Clawback</w:t>
      </w:r>
      <w:r>
        <w:rPr>
          <w:rFonts w:ascii="Arial" w:cs="Arial" w:eastAsia="Arial" w:hAnsi="Arial"/>
          <w:sz w:val="22"/>
          <w:szCs w:val="22"/>
          <w:color w:val="auto"/>
        </w:rPr>
        <w:t>. The Award will be subject to recoupment in accordance with any existing clawback policy or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as the Board determines necessary or appropriate, including but not limited to a reacquisition right in respect of previously acquired Shares or other cash or property upon the occurrence of Cause. The implementation of any clawback policy will not be deemed a triggering event for purposes of any definition of “good reason” for resignation or “constructive termination.”</w:t>
      </w:r>
    </w:p>
    <w:p>
      <w:pPr>
        <w:spacing w:after="0" w:line="188" w:lineRule="exact"/>
        <w:rPr>
          <w:sz w:val="20"/>
          <w:szCs w:val="20"/>
          <w:color w:val="auto"/>
        </w:rPr>
      </w:pPr>
    </w:p>
    <w:p>
      <w:pPr>
        <w:jc w:val="both"/>
        <w:ind w:firstLine="1755"/>
        <w:spacing w:after="0" w:line="279" w:lineRule="auto"/>
        <w:rPr>
          <w:sz w:val="20"/>
          <w:szCs w:val="20"/>
          <w:color w:val="auto"/>
        </w:rPr>
      </w:pPr>
      <w:r>
        <w:rPr>
          <w:rFonts w:ascii="Arial" w:cs="Arial" w:eastAsia="Arial" w:hAnsi="Arial"/>
          <w:sz w:val="19"/>
          <w:szCs w:val="19"/>
          <w:u w:val="single" w:color="auto"/>
          <w:color w:val="auto"/>
        </w:rPr>
        <w:t>Section 12. Amendment and Termination</w:t>
      </w:r>
      <w:r>
        <w:rPr>
          <w:rFonts w:ascii="Arial" w:cs="Arial" w:eastAsia="Arial" w:hAnsi="Arial"/>
          <w:sz w:val="19"/>
          <w:szCs w:val="19"/>
          <w:color w:val="auto"/>
        </w:rPr>
        <w:t xml:space="preserve">. Subject to the terms of the Plan, any amendment to this Agreement shall be in writing and signed by the parties hereto. Notwithstanding the immediately-preceding sentence, subject to the terms of the Plan, the Committee may waive any conditions or rights under, amend any terms of, or alter, suspend, discontinue, cancel or terminate, this Agreement and/or the Award;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subject to the terms of the Plan, any such waiver, amendment, alteration, suspension, discontinuance, cancellation or termination that would materially impair the rights of the Participant or any holder or beneficiary of the Award shall not be effective without the written consent of the Participant, holder or beneficiary.</w:t>
      </w:r>
    </w:p>
    <w:p>
      <w:pPr>
        <w:spacing w:after="0" w:line="151" w:lineRule="exact"/>
        <w:rPr>
          <w:sz w:val="20"/>
          <w:szCs w:val="20"/>
          <w:color w:val="auto"/>
        </w:rPr>
      </w:pPr>
    </w:p>
    <w:p>
      <w:pPr>
        <w:jc w:val="both"/>
        <w:ind w:firstLine="1755"/>
        <w:spacing w:after="0" w:line="279" w:lineRule="auto"/>
        <w:rPr>
          <w:sz w:val="20"/>
          <w:szCs w:val="20"/>
          <w:color w:val="auto"/>
        </w:rPr>
      </w:pPr>
      <w:r>
        <w:rPr>
          <w:rFonts w:ascii="Arial" w:cs="Arial" w:eastAsia="Arial" w:hAnsi="Arial"/>
          <w:sz w:val="19"/>
          <w:szCs w:val="19"/>
          <w:u w:val="single" w:color="auto"/>
          <w:color w:val="auto"/>
        </w:rPr>
        <w:t>Section 13. Construction</w:t>
      </w:r>
      <w:r>
        <w:rPr>
          <w:rFonts w:ascii="Arial" w:cs="Arial" w:eastAsia="Arial" w:hAnsi="Arial"/>
          <w:sz w:val="19"/>
          <w:szCs w:val="19"/>
          <w:color w:val="auto"/>
        </w:rPr>
        <w:t>. The Award granted hereunder is granted by the Company pursuant to the Plan and is in all respects subject to the terms and conditions of the Plan. The Participant hereby acknowledges that a copy of the Plan has been delivered to the Participant and accepts the Award hereunder subject to all terms and provisions of the Plan, which are incorporated herein by reference. In the event of a conflict or ambiguity between any term or provision contained herein and a term or provision of the Plan, the Plan will govern and prevail. The construction of and decisions under the Plan and this Agreement are vested in the Committee, whose determinations shall be final, conclusive and binding upon the Participant.</w:t>
      </w:r>
    </w:p>
    <w:p>
      <w:pPr>
        <w:spacing w:after="0" w:line="151"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u w:val="single" w:color="auto"/>
          <w:color w:val="auto"/>
        </w:rPr>
        <w:t>Section 14. Governing Law</w:t>
      </w:r>
      <w:r>
        <w:rPr>
          <w:rFonts w:ascii="Arial" w:cs="Arial" w:eastAsia="Arial" w:hAnsi="Arial"/>
          <w:sz w:val="22"/>
          <w:szCs w:val="22"/>
          <w:color w:val="auto"/>
        </w:rPr>
        <w:t>. This Agreement shall be construed and enforced in accordance with the laws of the State of Nevada, without giving effect to the choice of law principles thereof.</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#4830-7916-8832v5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39" w:name="page140"/>
    <w:bookmarkEnd w:id="139"/>
    <w:p>
      <w:pPr>
        <w:ind w:right="20" w:firstLine="1755"/>
        <w:spacing w:after="0" w:line="251" w:lineRule="auto"/>
        <w:rPr>
          <w:sz w:val="20"/>
          <w:szCs w:val="20"/>
          <w:color w:val="auto"/>
        </w:rPr>
      </w:pPr>
      <w:r>
        <w:rPr>
          <w:rFonts w:ascii="Arial" w:cs="Arial" w:eastAsia="Arial" w:hAnsi="Arial"/>
          <w:sz w:val="22"/>
          <w:szCs w:val="22"/>
          <w:u w:val="single" w:color="auto"/>
          <w:color w:val="auto"/>
        </w:rPr>
        <w:t>Section 15. Counterparts</w:t>
      </w:r>
      <w:r>
        <w:rPr>
          <w:rFonts w:ascii="Arial" w:cs="Arial" w:eastAsia="Arial" w:hAnsi="Arial"/>
          <w:sz w:val="22"/>
          <w:szCs w:val="22"/>
          <w:color w:val="auto"/>
        </w:rPr>
        <w:t>. This Agreement may be executed in counterparts, each of which shall be deemed to be an original but all of which together shall constitute one and the same instrument.</w:t>
      </w:r>
    </w:p>
    <w:p>
      <w:pPr>
        <w:spacing w:after="0" w:line="173" w:lineRule="exact"/>
        <w:rPr>
          <w:sz w:val="20"/>
          <w:szCs w:val="20"/>
          <w:color w:val="auto"/>
        </w:rPr>
      </w:pPr>
    </w:p>
    <w:p>
      <w:pPr>
        <w:ind w:firstLine="1755"/>
        <w:spacing w:after="0" w:line="251" w:lineRule="auto"/>
        <w:rPr>
          <w:sz w:val="20"/>
          <w:szCs w:val="20"/>
          <w:color w:val="auto"/>
        </w:rPr>
      </w:pPr>
      <w:r>
        <w:rPr>
          <w:rFonts w:ascii="Arial" w:cs="Arial" w:eastAsia="Arial" w:hAnsi="Arial"/>
          <w:sz w:val="22"/>
          <w:szCs w:val="22"/>
          <w:u w:val="single" w:color="auto"/>
          <w:color w:val="auto"/>
        </w:rPr>
        <w:t>Section 16. Binding Effect</w:t>
      </w:r>
      <w:r>
        <w:rPr>
          <w:rFonts w:ascii="Arial" w:cs="Arial" w:eastAsia="Arial" w:hAnsi="Arial"/>
          <w:sz w:val="22"/>
          <w:szCs w:val="22"/>
          <w:color w:val="auto"/>
        </w:rPr>
        <w:t>. This Agreement shall inure to the benefit of and be binding upon the parties hereto and their respective heirs, executors, administrators, successors and assigns.</w:t>
      </w:r>
    </w:p>
    <w:p>
      <w:pPr>
        <w:spacing w:after="0" w:line="173" w:lineRule="exact"/>
        <w:rPr>
          <w:sz w:val="20"/>
          <w:szCs w:val="20"/>
          <w:color w:val="auto"/>
        </w:rPr>
      </w:pPr>
    </w:p>
    <w:p>
      <w:pPr>
        <w:ind w:right="20" w:firstLine="1755"/>
        <w:spacing w:after="0" w:line="251" w:lineRule="auto"/>
        <w:rPr>
          <w:sz w:val="20"/>
          <w:szCs w:val="20"/>
          <w:color w:val="auto"/>
        </w:rPr>
      </w:pPr>
      <w:r>
        <w:rPr>
          <w:rFonts w:ascii="Arial" w:cs="Arial" w:eastAsia="Arial" w:hAnsi="Arial"/>
          <w:sz w:val="22"/>
          <w:szCs w:val="22"/>
          <w:u w:val="single" w:color="auto"/>
          <w:color w:val="auto"/>
        </w:rPr>
        <w:t>Section 17. Entire Agreement</w:t>
      </w:r>
      <w:r>
        <w:rPr>
          <w:rFonts w:ascii="Arial" w:cs="Arial" w:eastAsia="Arial" w:hAnsi="Arial"/>
          <w:sz w:val="22"/>
          <w:szCs w:val="22"/>
          <w:color w:val="auto"/>
        </w:rPr>
        <w:t>. This Agreement and the Plan constitute the entire agreement between the parties with respect to the subject matter hereof and thereof.</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#4830-7916-8832v5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40" w:name="page141"/>
    <w:bookmarkEnd w:id="140"/>
    <w:p>
      <w:pPr>
        <w:ind w:left="1760"/>
        <w:spacing w:after="0"/>
        <w:rPr>
          <w:sz w:val="20"/>
          <w:szCs w:val="20"/>
          <w:color w:val="auto"/>
        </w:rPr>
      </w:pPr>
      <w:r>
        <w:rPr>
          <w:rFonts w:ascii="Arial" w:cs="Arial" w:eastAsia="Arial" w:hAnsi="Arial"/>
          <w:sz w:val="19"/>
          <w:szCs w:val="19"/>
          <w:color w:val="auto"/>
        </w:rPr>
        <w:t>IN WITNESS WHEREOF, the parties hereto have executed this Agreement effective as of the date first written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205" w:lineRule="exact"/>
        <w:rPr>
          <w:sz w:val="20"/>
          <w:szCs w:val="20"/>
          <w:color w:val="auto"/>
        </w:rPr>
      </w:pPr>
    </w:p>
    <w:tbl>
      <w:tblPr>
        <w:tblLayout w:type="fixed"/>
        <w:tblInd w:w="5620" w:type="dxa"/>
        <w:tblCellMar>
          <w:top w:w="0" w:type="dxa"/>
          <w:left w:w="0" w:type="dxa"/>
          <w:bottom w:w="0" w:type="dxa"/>
          <w:right w:w="0" w:type="dxa"/>
        </w:tblCellMar>
      </w:tblPr>
      <w:tr>
        <w:trPr>
          <w:trHeight w:val="253"/>
        </w:trPr>
        <w:tc>
          <w:tcPr>
            <w:tcW w:w="1520" w:type="dxa"/>
            <w:vAlign w:val="bottom"/>
            <w:gridSpan w:val="3"/>
          </w:tcPr>
          <w:p>
            <w:pPr>
              <w:spacing w:after="0"/>
              <w:rPr>
                <w:sz w:val="20"/>
                <w:szCs w:val="20"/>
                <w:color w:val="auto"/>
              </w:rPr>
            </w:pPr>
            <w:r>
              <w:rPr>
                <w:rFonts w:ascii="Arial" w:cs="Arial" w:eastAsia="Arial" w:hAnsi="Arial"/>
                <w:sz w:val="22"/>
                <w:szCs w:val="22"/>
                <w:color w:val="auto"/>
              </w:rPr>
              <w:t>ELDORADO</w:t>
            </w:r>
          </w:p>
        </w:tc>
        <w:tc>
          <w:tcPr>
            <w:tcW w:w="1720" w:type="dxa"/>
            <w:vAlign w:val="bottom"/>
          </w:tcPr>
          <w:p>
            <w:pPr>
              <w:ind w:left="180"/>
              <w:spacing w:after="0"/>
              <w:rPr>
                <w:sz w:val="20"/>
                <w:szCs w:val="20"/>
                <w:color w:val="auto"/>
              </w:rPr>
            </w:pPr>
            <w:r>
              <w:rPr>
                <w:rFonts w:ascii="Arial" w:cs="Arial" w:eastAsia="Arial" w:hAnsi="Arial"/>
                <w:sz w:val="22"/>
                <w:szCs w:val="22"/>
                <w:color w:val="auto"/>
              </w:rPr>
              <w:t>RESORTS,</w:t>
            </w:r>
          </w:p>
        </w:tc>
        <w:tc>
          <w:tcPr>
            <w:tcW w:w="10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5"/>
        </w:trPr>
        <w:tc>
          <w:tcPr>
            <w:tcW w:w="1520" w:type="dxa"/>
            <w:vAlign w:val="bottom"/>
            <w:gridSpan w:val="3"/>
          </w:tcPr>
          <w:p>
            <w:pPr>
              <w:spacing w:after="0"/>
              <w:rPr>
                <w:sz w:val="20"/>
                <w:szCs w:val="20"/>
                <w:color w:val="auto"/>
              </w:rPr>
            </w:pPr>
            <w:r>
              <w:rPr>
                <w:rFonts w:ascii="Arial" w:cs="Arial" w:eastAsia="Arial" w:hAnsi="Arial"/>
                <w:sz w:val="22"/>
                <w:szCs w:val="22"/>
                <w:color w:val="auto"/>
              </w:rPr>
              <w:t>INC.</w:t>
            </w:r>
          </w:p>
        </w:tc>
        <w:tc>
          <w:tcPr>
            <w:tcW w:w="1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557"/>
        </w:trPr>
        <w:tc>
          <w:tcPr>
            <w:tcW w:w="1520" w:type="dxa"/>
            <w:vAlign w:val="bottom"/>
            <w:gridSpan w:val="3"/>
          </w:tcPr>
          <w:p>
            <w:pPr>
              <w:spacing w:after="0"/>
              <w:rPr>
                <w:sz w:val="20"/>
                <w:szCs w:val="20"/>
                <w:color w:val="auto"/>
              </w:rPr>
            </w:pPr>
            <w:r>
              <w:rPr>
                <w:rFonts w:ascii="Arial" w:cs="Arial" w:eastAsia="Arial" w:hAnsi="Arial"/>
                <w:sz w:val="22"/>
                <w:szCs w:val="22"/>
                <w:color w:val="auto"/>
              </w:rPr>
              <w:t>By:</w:t>
            </w:r>
          </w:p>
        </w:tc>
        <w:tc>
          <w:tcPr>
            <w:tcW w:w="1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5"/>
        </w:trPr>
        <w:tc>
          <w:tcPr>
            <w:tcW w:w="600" w:type="dxa"/>
            <w:vAlign w:val="bottom"/>
          </w:tcPr>
          <w:p>
            <w:pPr>
              <w:spacing w:after="0" w:line="216" w:lineRule="exact"/>
              <w:rPr>
                <w:sz w:val="20"/>
                <w:szCs w:val="20"/>
                <w:color w:val="auto"/>
              </w:rPr>
            </w:pPr>
            <w:r>
              <w:rPr>
                <w:rFonts w:ascii="Arial" w:cs="Arial" w:eastAsia="Arial" w:hAnsi="Arial"/>
                <w:sz w:val="22"/>
                <w:szCs w:val="22"/>
                <w:color w:val="auto"/>
                <w:w w:val="89"/>
              </w:rPr>
              <w:t>Name:</w:t>
            </w:r>
          </w:p>
        </w:tc>
        <w:tc>
          <w:tcPr>
            <w:tcW w:w="4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540" w:type="dxa"/>
            <w:vAlign w:val="bottom"/>
          </w:tcPr>
          <w:p>
            <w:pPr>
              <w:spacing w:after="0"/>
              <w:rPr>
                <w:sz w:val="18"/>
                <w:szCs w:val="18"/>
                <w:color w:val="auto"/>
              </w:rPr>
            </w:pPr>
          </w:p>
        </w:tc>
      </w:tr>
      <w:tr>
        <w:trPr>
          <w:trHeight w:val="275"/>
        </w:trPr>
        <w:tc>
          <w:tcPr>
            <w:tcW w:w="1520" w:type="dxa"/>
            <w:vAlign w:val="bottom"/>
            <w:gridSpan w:val="3"/>
          </w:tcPr>
          <w:p>
            <w:pPr>
              <w:spacing w:after="0"/>
              <w:rPr>
                <w:sz w:val="20"/>
                <w:szCs w:val="20"/>
                <w:color w:val="auto"/>
              </w:rPr>
            </w:pPr>
            <w:r>
              <w:rPr>
                <w:rFonts w:ascii="Arial" w:cs="Arial" w:eastAsia="Arial" w:hAnsi="Arial"/>
                <w:sz w:val="22"/>
                <w:szCs w:val="22"/>
                <w:color w:val="auto"/>
              </w:rPr>
              <w:t>Title:</w:t>
            </w:r>
          </w:p>
        </w:tc>
        <w:tc>
          <w:tcPr>
            <w:tcW w:w="1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729"/>
        </w:trPr>
        <w:tc>
          <w:tcPr>
            <w:tcW w:w="1520" w:type="dxa"/>
            <w:vAlign w:val="bottom"/>
            <w:gridSpan w:val="3"/>
          </w:tcPr>
          <w:p>
            <w:pPr>
              <w:spacing w:after="0"/>
              <w:rPr>
                <w:sz w:val="20"/>
                <w:szCs w:val="20"/>
                <w:color w:val="auto"/>
              </w:rPr>
            </w:pPr>
            <w:r>
              <w:rPr>
                <w:rFonts w:ascii="Arial" w:cs="Arial" w:eastAsia="Arial" w:hAnsi="Arial"/>
                <w:sz w:val="22"/>
                <w:szCs w:val="22"/>
                <w:color w:val="auto"/>
              </w:rPr>
              <w:t>PARTICIPANT</w:t>
            </w:r>
          </w:p>
        </w:tc>
        <w:tc>
          <w:tcPr>
            <w:tcW w:w="1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557"/>
        </w:trPr>
        <w:tc>
          <w:tcPr>
            <w:tcW w:w="3240" w:type="dxa"/>
            <w:vAlign w:val="bottom"/>
            <w:tcBorders>
              <w:bottom w:val="single" w:sz="8" w:color="auto"/>
            </w:tcBorders>
            <w:gridSpan w:val="4"/>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215"/>
        </w:trPr>
        <w:tc>
          <w:tcPr>
            <w:tcW w:w="3240" w:type="dxa"/>
            <w:vAlign w:val="bottom"/>
            <w:gridSpan w:val="4"/>
          </w:tcPr>
          <w:p>
            <w:pPr>
              <w:spacing w:after="0" w:line="216" w:lineRule="exact"/>
              <w:rPr>
                <w:sz w:val="20"/>
                <w:szCs w:val="20"/>
                <w:color w:val="auto"/>
              </w:rPr>
            </w:pPr>
            <w:r>
              <w:rPr>
                <w:rFonts w:ascii="Arial" w:cs="Arial" w:eastAsia="Arial" w:hAnsi="Arial"/>
                <w:sz w:val="22"/>
                <w:szCs w:val="22"/>
                <w:color w:val="auto"/>
              </w:rPr>
              <w:t>Participant’s Signature</w:t>
            </w:r>
          </w:p>
        </w:tc>
        <w:tc>
          <w:tcPr>
            <w:tcW w:w="1020" w:type="dxa"/>
            <w:vAlign w:val="bottom"/>
          </w:tcPr>
          <w:p>
            <w:pPr>
              <w:ind w:left="540"/>
              <w:spacing w:after="0" w:line="216" w:lineRule="exact"/>
              <w:rPr>
                <w:sz w:val="20"/>
                <w:szCs w:val="20"/>
                <w:color w:val="auto"/>
              </w:rPr>
            </w:pPr>
            <w:r>
              <w:rPr>
                <w:rFonts w:ascii="Arial" w:cs="Arial" w:eastAsia="Arial" w:hAnsi="Arial"/>
                <w:sz w:val="22"/>
                <w:szCs w:val="22"/>
                <w:color w:val="auto"/>
                <w:w w:val="98"/>
              </w:rPr>
              <w:t>Date</w:t>
            </w:r>
          </w:p>
        </w:tc>
        <w:tc>
          <w:tcPr>
            <w:tcW w:w="1540" w:type="dxa"/>
            <w:vAlign w:val="bottom"/>
          </w:tcPr>
          <w:p>
            <w:pPr>
              <w:spacing w:after="0"/>
              <w:rPr>
                <w:sz w:val="18"/>
                <w:szCs w:val="18"/>
                <w:color w:val="auto"/>
              </w:rPr>
            </w:pPr>
          </w:p>
        </w:tc>
      </w:tr>
      <w:tr>
        <w:trPr>
          <w:trHeight w:val="265"/>
        </w:trPr>
        <w:tc>
          <w:tcPr>
            <w:tcW w:w="1520" w:type="dxa"/>
            <w:vAlign w:val="bottom"/>
            <w:gridSpan w:val="3"/>
          </w:tcPr>
          <w:p>
            <w:pPr>
              <w:spacing w:after="0"/>
              <w:rPr>
                <w:sz w:val="20"/>
                <w:szCs w:val="20"/>
                <w:color w:val="auto"/>
              </w:rPr>
            </w:pPr>
            <w:r>
              <w:rPr>
                <w:rFonts w:ascii="Arial" w:cs="Arial" w:eastAsia="Arial" w:hAnsi="Arial"/>
                <w:sz w:val="22"/>
                <w:szCs w:val="22"/>
                <w:color w:val="auto"/>
              </w:rPr>
              <w:t>Name:</w:t>
            </w:r>
          </w:p>
        </w:tc>
        <w:tc>
          <w:tcPr>
            <w:tcW w:w="1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37"/>
        </w:trPr>
        <w:tc>
          <w:tcPr>
            <w:tcW w:w="1040" w:type="dxa"/>
            <w:vAlign w:val="bottom"/>
            <w:gridSpan w:val="2"/>
          </w:tcPr>
          <w:p>
            <w:pPr>
              <w:spacing w:after="0" w:line="237" w:lineRule="exact"/>
              <w:rPr>
                <w:sz w:val="20"/>
                <w:szCs w:val="20"/>
                <w:color w:val="auto"/>
              </w:rPr>
            </w:pPr>
            <w:r>
              <w:rPr>
                <w:rFonts w:ascii="Arial" w:cs="Arial" w:eastAsia="Arial" w:hAnsi="Arial"/>
                <w:sz w:val="22"/>
                <w:szCs w:val="22"/>
                <w:color w:val="auto"/>
              </w:rPr>
              <w:t>Address:</w:t>
            </w:r>
          </w:p>
        </w:tc>
        <w:tc>
          <w:tcPr>
            <w:tcW w:w="480" w:type="dxa"/>
            <w:vAlign w:val="bottom"/>
            <w:tcBorders>
              <w:top w:val="single" w:sz="8" w:color="auto"/>
              <w:bottom w:val="single" w:sz="8" w:color="auto"/>
            </w:tcBorders>
          </w:tcPr>
          <w:p>
            <w:pPr>
              <w:spacing w:after="0"/>
              <w:rPr>
                <w:sz w:val="20"/>
                <w:szCs w:val="20"/>
                <w:color w:val="auto"/>
              </w:rPr>
            </w:pPr>
          </w:p>
        </w:tc>
        <w:tc>
          <w:tcPr>
            <w:tcW w:w="17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spacing w:after="0"/>
              <w:rPr>
                <w:sz w:val="20"/>
                <w:szCs w:val="20"/>
                <w:color w:val="auto"/>
              </w:rPr>
            </w:pPr>
          </w:p>
        </w:tc>
      </w:tr>
      <w:tr>
        <w:trPr>
          <w:trHeight w:val="689"/>
        </w:trPr>
        <w:tc>
          <w:tcPr>
            <w:tcW w:w="600" w:type="dxa"/>
            <w:vAlign w:val="bottom"/>
          </w:tcPr>
          <w:p>
            <w:pPr>
              <w:ind w:left="40"/>
              <w:spacing w:after="0"/>
              <w:rPr>
                <w:sz w:val="20"/>
                <w:szCs w:val="20"/>
                <w:color w:val="auto"/>
              </w:rPr>
            </w:pPr>
            <w:r>
              <w:rPr>
                <w:rFonts w:ascii="Arial" w:cs="Arial" w:eastAsia="Arial" w:hAnsi="Arial"/>
                <w:sz w:val="22"/>
                <w:szCs w:val="22"/>
                <w:color w:val="auto"/>
              </w:rPr>
              <w:t>7</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rPr>
          <w:sz w:val="20"/>
          <w:szCs w:val="20"/>
          <w:color w:val="auto"/>
        </w:rPr>
      </w:pPr>
      <w:r>
        <w:rPr>
          <w:rFonts w:ascii="Arial" w:cs="Arial" w:eastAsia="Arial" w:hAnsi="Arial"/>
          <w:sz w:val="14"/>
          <w:szCs w:val="14"/>
          <w:color w:val="auto"/>
        </w:rPr>
        <w:t>#4830-7916-8832v5</w:t>
      </w:r>
    </w:p>
    <w:p>
      <w:pPr>
        <w:sectPr>
          <w:pgSz w:w="11900" w:h="16838" w:orient="portrait"/>
          <w:cols w:equalWidth="0" w:num="1">
            <w:col w:w="11420"/>
          </w:cols>
          <w:pgMar w:left="240" w:top="361" w:right="239" w:bottom="1440" w:gutter="0" w:footer="0" w:header="0"/>
        </w:sectPr>
      </w:pPr>
    </w:p>
    <w:bookmarkStart w:id="141" w:name="page142"/>
    <w:bookmarkEnd w:id="141"/>
    <w:p>
      <w:pPr>
        <w:ind w:left="10480"/>
        <w:spacing w:after="0"/>
        <w:rPr>
          <w:sz w:val="20"/>
          <w:szCs w:val="20"/>
          <w:color w:val="auto"/>
        </w:rPr>
      </w:pPr>
      <w:r>
        <w:rPr>
          <w:rFonts w:ascii="Arial" w:cs="Arial" w:eastAsia="Arial" w:hAnsi="Arial"/>
          <w:sz w:val="17"/>
          <w:szCs w:val="17"/>
          <w:b w:val="1"/>
          <w:bCs w:val="1"/>
          <w:color w:val="auto"/>
        </w:rPr>
        <w:t>Exhibit 21.1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7620" w:type="dxa"/>
            <w:vAlign w:val="bottom"/>
            <w:gridSpan w:val="4"/>
          </w:tcPr>
          <w:p>
            <w:pPr>
              <w:spacing w:after="0"/>
              <w:rPr>
                <w:sz w:val="20"/>
                <w:szCs w:val="20"/>
                <w:color w:val="auto"/>
              </w:rPr>
            </w:pPr>
            <w:r>
              <w:rPr>
                <w:rFonts w:ascii="Arial" w:cs="Arial" w:eastAsia="Arial" w:hAnsi="Arial"/>
                <w:sz w:val="18"/>
                <w:szCs w:val="18"/>
                <w:b w:val="1"/>
                <w:bCs w:val="1"/>
                <w:color w:val="auto"/>
              </w:rPr>
              <w:t>LIST OF THE REGISTRANT’S SUBSIDIARIES</w:t>
            </w:r>
          </w:p>
        </w:tc>
        <w:tc>
          <w:tcPr>
            <w:tcW w:w="20" w:type="dxa"/>
            <w:vAlign w:val="bottom"/>
          </w:tcPr>
          <w:p>
            <w:pPr>
              <w:spacing w:after="0"/>
              <w:rPr>
                <w:sz w:val="17"/>
                <w:szCs w:val="17"/>
                <w:color w:val="auto"/>
              </w:rPr>
            </w:pPr>
          </w:p>
        </w:tc>
      </w:tr>
      <w:tr>
        <w:trPr>
          <w:trHeight w:val="385"/>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5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ind w:left="980"/>
              <w:spacing w:after="0"/>
              <w:rPr>
                <w:sz w:val="20"/>
                <w:szCs w:val="20"/>
                <w:color w:val="auto"/>
              </w:rPr>
            </w:pPr>
            <w:r>
              <w:rPr>
                <w:rFonts w:ascii="Arial" w:cs="Arial" w:eastAsia="Arial" w:hAnsi="Arial"/>
                <w:sz w:val="14"/>
                <w:szCs w:val="14"/>
                <w:b w:val="1"/>
                <w:bCs w:val="1"/>
                <w:color w:val="auto"/>
              </w:rPr>
              <w:t>Jurisdiction of Organization</w:t>
            </w:r>
          </w:p>
        </w:tc>
        <w:tc>
          <w:tcPr>
            <w:tcW w:w="2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3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Eldorado HoldCo LLC</w:t>
            </w:r>
          </w:p>
        </w:tc>
        <w:tc>
          <w:tcPr>
            <w:tcW w:w="35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Nevada</w:t>
            </w:r>
          </w:p>
        </w:tc>
        <w:tc>
          <w:tcPr>
            <w:tcW w:w="20" w:type="dxa"/>
            <w:vAlign w:val="bottom"/>
          </w:tcPr>
          <w:p>
            <w:pPr>
              <w:spacing w:after="0"/>
              <w:rPr>
                <w:sz w:val="16"/>
                <w:szCs w:val="16"/>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Eldorado Resorts LLC</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Eldorado Limited Liability Company</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Circus and Eldorado Joint Venture, LLC</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CC-Reno, LLC</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Eldorado Shreveport #1, LLC</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Eldorado Shreveport #2, LLC</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Eldorado Casino Shreveport Joint Venture</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Louisiana</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Shreveport Capital Corporation</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Louisana</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MTR Gaming Group, Inc.</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Mountaineer Park, Inc.</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West Virginia</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Presque Isle Downs, Inc.</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Pennsylvania</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Scioto Downs, Inc.</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Ohio</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Racelinebet, Inc.</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Oregon</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Isle of Capri Casinos LLC</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Black Hawk Holdings, L.L.C.</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Colorado</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Capri Insurance Company</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Hawaii</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CCSC/Blackhawk, Inc.</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Colorado</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IC Holdings Colorado, Inc.</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Colorado</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IOC-Black Hawk Distribution Company, LLC</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Colorado</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IOC-Boonville, Inc.</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IOC-Cape Girardeau LLC</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Missouri</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IOC-Caruthersville, L.L.C</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Missouri</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IOC-Kansas City, Inc.</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Missouri</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IOC-Lula, Inc.</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Mississippi</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IOC-PA, L.L.C.</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Pennsylvania</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IOC-Vicksburg, Inc.</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IOC-Vicksburg, L.L.C.</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IOC Black Hawk County, Inc.</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Iowa</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IOC Holdings, L.L.C.</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Louisiana</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Isle of Capri Bettendorf, L.C.</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Iowa</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Isle of Capri Black Hawk, L.L.C.</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Colorado</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PPI, Inc.</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Rainbow Casino-Vicksburg Partnership, L.P.</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Mississippi</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St. Charles Gaming Company, L.L.C.</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Louisiana</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Elgin Holdings I LLC</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Elgin Holdings II LLC</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Elgin Riverboat Resort – Riverboat Casino</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Illinois</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Tropicana Entertainment, Inc.</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Tropicana Atlantic City Corp.</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New Jersey</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New Tropicana Holdings, Inc.</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New Tropicana OpCo, Inc.</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Aztar Riverboat Holding Company, LLC</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Indiana</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Aztar Indiana Gaming Company, LLC</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Indiana</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New Jazz Enterprises, L.L.C.</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Catfish Queen Partnership in Commendam</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Louisiana</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Centroplex Centre Convention Hotel, L.L.C.</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Louisiana</w:t>
            </w:r>
          </w:p>
        </w:tc>
        <w:tc>
          <w:tcPr>
            <w:tcW w:w="20" w:type="dxa"/>
            <w:vAlign w:val="bottom"/>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Columbia Properties Tahoe, LLC</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8"/>
                <w:szCs w:val="18"/>
                <w:color w:val="auto"/>
              </w:rPr>
            </w:pPr>
          </w:p>
        </w:tc>
      </w:tr>
      <w:tr>
        <w:trPr>
          <w:trHeight w:val="230"/>
        </w:trPr>
        <w:tc>
          <w:tcPr>
            <w:tcW w:w="3800" w:type="dxa"/>
            <w:vAlign w:val="bottom"/>
            <w:gridSpan w:val="2"/>
          </w:tcPr>
          <w:p>
            <w:pPr>
              <w:spacing w:after="0"/>
              <w:rPr>
                <w:sz w:val="20"/>
                <w:szCs w:val="20"/>
                <w:color w:val="auto"/>
              </w:rPr>
            </w:pPr>
            <w:r>
              <w:rPr>
                <w:rFonts w:ascii="Arial" w:cs="Arial" w:eastAsia="Arial" w:hAnsi="Arial"/>
                <w:sz w:val="18"/>
                <w:szCs w:val="18"/>
                <w:color w:val="auto"/>
              </w:rPr>
              <w:t>MB Development, LLC</w:t>
            </w:r>
          </w:p>
        </w:tc>
        <w:tc>
          <w:tcPr>
            <w:tcW w:w="3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20"/>
                <w:szCs w:val="20"/>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170"/>
        </w:trPr>
        <w:tc>
          <w:tcPr>
            <w:tcW w:w="77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680" w:type="dxa"/>
            <w:vAlign w:val="bottom"/>
          </w:tcPr>
          <w:p>
            <w:pPr>
              <w:ind w:left="980"/>
              <w:spacing w:after="0"/>
              <w:rPr>
                <w:sz w:val="20"/>
                <w:szCs w:val="20"/>
                <w:color w:val="auto"/>
              </w:rPr>
            </w:pPr>
            <w:r>
              <w:rPr>
                <w:rFonts w:ascii="Arial" w:cs="Arial" w:eastAsia="Arial" w:hAnsi="Arial"/>
                <w:sz w:val="14"/>
                <w:szCs w:val="14"/>
                <w:b w:val="1"/>
                <w:bCs w:val="1"/>
                <w:color w:val="auto"/>
              </w:rPr>
              <w:t>Jurisdiction of Organization</w:t>
            </w:r>
          </w:p>
        </w:tc>
      </w:tr>
      <w:tr>
        <w:trPr>
          <w:trHeight w:val="195"/>
        </w:trPr>
        <w:tc>
          <w:tcPr>
            <w:tcW w:w="20" w:type="dxa"/>
            <w:vAlign w:val="bottom"/>
          </w:tcPr>
          <w:p>
            <w:pPr>
              <w:spacing w:after="0"/>
              <w:rPr>
                <w:sz w:val="16"/>
                <w:szCs w:val="16"/>
                <w:color w:val="auto"/>
              </w:rPr>
            </w:pPr>
          </w:p>
        </w:tc>
        <w:tc>
          <w:tcPr>
            <w:tcW w:w="7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Lighthouse Point, LLC</w:t>
            </w:r>
          </w:p>
        </w:tc>
        <w:tc>
          <w:tcPr>
            <w:tcW w:w="380" w:type="dxa"/>
            <w:vAlign w:val="bottom"/>
          </w:tcPr>
          <w:p>
            <w:pPr>
              <w:spacing w:after="0"/>
              <w:rPr>
                <w:sz w:val="16"/>
                <w:szCs w:val="16"/>
                <w:color w:val="auto"/>
              </w:rPr>
            </w:pPr>
          </w:p>
        </w:tc>
        <w:tc>
          <w:tcPr>
            <w:tcW w:w="3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Mississippi</w:t>
            </w:r>
          </w:p>
        </w:tc>
      </w:tr>
      <w:tr>
        <w:trPr>
          <w:trHeight w:val="216"/>
        </w:trPr>
        <w:tc>
          <w:tcPr>
            <w:tcW w:w="7740" w:type="dxa"/>
            <w:vAlign w:val="bottom"/>
            <w:gridSpan w:val="3"/>
          </w:tcPr>
          <w:p>
            <w:pPr>
              <w:spacing w:after="0"/>
              <w:rPr>
                <w:sz w:val="20"/>
                <w:szCs w:val="20"/>
                <w:color w:val="auto"/>
              </w:rPr>
            </w:pPr>
            <w:r>
              <w:rPr>
                <w:rFonts w:ascii="Arial" w:cs="Arial" w:eastAsia="Arial" w:hAnsi="Arial"/>
                <w:sz w:val="18"/>
                <w:szCs w:val="18"/>
                <w:color w:val="auto"/>
              </w:rPr>
              <w:t>Tropicana Laughlin, LLC</w:t>
            </w:r>
          </w:p>
        </w:tc>
        <w:tc>
          <w:tcPr>
            <w:tcW w:w="3680" w:type="dxa"/>
            <w:vAlign w:val="bottom"/>
          </w:tcPr>
          <w:p>
            <w:pPr>
              <w:spacing w:after="0"/>
              <w:rPr>
                <w:sz w:val="20"/>
                <w:szCs w:val="20"/>
                <w:color w:val="auto"/>
              </w:rPr>
            </w:pPr>
            <w:r>
              <w:rPr>
                <w:rFonts w:ascii="Arial" w:cs="Arial" w:eastAsia="Arial" w:hAnsi="Arial"/>
                <w:sz w:val="18"/>
                <w:szCs w:val="18"/>
                <w:color w:val="auto"/>
              </w:rPr>
              <w:t>Nevada</w:t>
            </w:r>
          </w:p>
        </w:tc>
      </w:tr>
      <w:tr>
        <w:trPr>
          <w:trHeight w:val="216"/>
        </w:trPr>
        <w:tc>
          <w:tcPr>
            <w:tcW w:w="7740" w:type="dxa"/>
            <w:vAlign w:val="bottom"/>
            <w:gridSpan w:val="3"/>
          </w:tcPr>
          <w:p>
            <w:pPr>
              <w:spacing w:after="0"/>
              <w:rPr>
                <w:sz w:val="20"/>
                <w:szCs w:val="20"/>
                <w:color w:val="auto"/>
              </w:rPr>
            </w:pPr>
            <w:r>
              <w:rPr>
                <w:rFonts w:ascii="Arial" w:cs="Arial" w:eastAsia="Arial" w:hAnsi="Arial"/>
                <w:sz w:val="18"/>
                <w:szCs w:val="18"/>
                <w:color w:val="auto"/>
              </w:rPr>
              <w:t>Tropicana St. Louis LLC</w:t>
            </w:r>
          </w:p>
        </w:tc>
        <w:tc>
          <w:tcPr>
            <w:tcW w:w="36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7740" w:type="dxa"/>
            <w:vAlign w:val="bottom"/>
            <w:gridSpan w:val="3"/>
          </w:tcPr>
          <w:p>
            <w:pPr>
              <w:spacing w:after="0"/>
              <w:rPr>
                <w:sz w:val="20"/>
                <w:szCs w:val="20"/>
                <w:color w:val="auto"/>
              </w:rPr>
            </w:pPr>
            <w:r>
              <w:rPr>
                <w:rFonts w:ascii="Arial" w:cs="Arial" w:eastAsia="Arial" w:hAnsi="Arial"/>
                <w:sz w:val="18"/>
                <w:szCs w:val="18"/>
                <w:color w:val="auto"/>
              </w:rPr>
              <w:t>Tropicana St. Louis RE LLC</w:t>
            </w:r>
          </w:p>
        </w:tc>
        <w:tc>
          <w:tcPr>
            <w:tcW w:w="36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7740" w:type="dxa"/>
            <w:vAlign w:val="bottom"/>
            <w:gridSpan w:val="3"/>
          </w:tcPr>
          <w:p>
            <w:pPr>
              <w:spacing w:after="0"/>
              <w:rPr>
                <w:sz w:val="20"/>
                <w:szCs w:val="20"/>
                <w:color w:val="auto"/>
              </w:rPr>
            </w:pPr>
            <w:r>
              <w:rPr>
                <w:rFonts w:ascii="Arial" w:cs="Arial" w:eastAsia="Arial" w:hAnsi="Arial"/>
                <w:sz w:val="18"/>
                <w:szCs w:val="18"/>
                <w:color w:val="auto"/>
              </w:rPr>
              <w:t>TEI (STLH), LLC</w:t>
            </w:r>
          </w:p>
        </w:tc>
        <w:tc>
          <w:tcPr>
            <w:tcW w:w="36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7740" w:type="dxa"/>
            <w:vAlign w:val="bottom"/>
            <w:gridSpan w:val="3"/>
          </w:tcPr>
          <w:p>
            <w:pPr>
              <w:spacing w:after="0"/>
              <w:rPr>
                <w:sz w:val="20"/>
                <w:szCs w:val="20"/>
                <w:color w:val="auto"/>
              </w:rPr>
            </w:pPr>
            <w:r>
              <w:rPr>
                <w:rFonts w:ascii="Arial" w:cs="Arial" w:eastAsia="Arial" w:hAnsi="Arial"/>
                <w:sz w:val="18"/>
                <w:szCs w:val="18"/>
                <w:color w:val="auto"/>
              </w:rPr>
              <w:t>TEI (ES), LLC</w:t>
            </w:r>
          </w:p>
        </w:tc>
        <w:tc>
          <w:tcPr>
            <w:tcW w:w="36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7740" w:type="dxa"/>
            <w:vAlign w:val="bottom"/>
            <w:gridSpan w:val="3"/>
          </w:tcPr>
          <w:p>
            <w:pPr>
              <w:spacing w:after="0"/>
              <w:rPr>
                <w:sz w:val="20"/>
                <w:szCs w:val="20"/>
                <w:color w:val="auto"/>
              </w:rPr>
            </w:pPr>
            <w:r>
              <w:rPr>
                <w:rFonts w:ascii="Arial" w:cs="Arial" w:eastAsia="Arial" w:hAnsi="Arial"/>
                <w:sz w:val="18"/>
                <w:szCs w:val="18"/>
                <w:color w:val="auto"/>
              </w:rPr>
              <w:t>TEI (St. Louis) RE, LLC</w:t>
            </w:r>
          </w:p>
        </w:tc>
        <w:tc>
          <w:tcPr>
            <w:tcW w:w="36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7740" w:type="dxa"/>
            <w:vAlign w:val="bottom"/>
            <w:gridSpan w:val="3"/>
          </w:tcPr>
          <w:p>
            <w:pPr>
              <w:spacing w:after="0"/>
              <w:rPr>
                <w:sz w:val="20"/>
                <w:szCs w:val="20"/>
                <w:color w:val="auto"/>
              </w:rPr>
            </w:pPr>
            <w:r>
              <w:rPr>
                <w:rFonts w:ascii="Arial" w:cs="Arial" w:eastAsia="Arial" w:hAnsi="Arial"/>
                <w:sz w:val="18"/>
                <w:szCs w:val="18"/>
                <w:color w:val="auto"/>
              </w:rPr>
              <w:t>TLH LLC</w:t>
            </w:r>
          </w:p>
        </w:tc>
        <w:tc>
          <w:tcPr>
            <w:tcW w:w="36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7740" w:type="dxa"/>
            <w:vAlign w:val="bottom"/>
            <w:gridSpan w:val="3"/>
          </w:tcPr>
          <w:p>
            <w:pPr>
              <w:spacing w:after="0"/>
              <w:rPr>
                <w:sz w:val="20"/>
                <w:szCs w:val="20"/>
                <w:color w:val="auto"/>
              </w:rPr>
            </w:pPr>
            <w:r>
              <w:rPr>
                <w:rFonts w:ascii="Arial" w:cs="Arial" w:eastAsia="Arial" w:hAnsi="Arial"/>
                <w:sz w:val="18"/>
                <w:szCs w:val="18"/>
                <w:color w:val="auto"/>
              </w:rPr>
              <w:t>TropWorld Games LLC</w:t>
            </w:r>
          </w:p>
        </w:tc>
        <w:tc>
          <w:tcPr>
            <w:tcW w:w="3680" w:type="dxa"/>
            <w:vAlign w:val="bottom"/>
          </w:tcPr>
          <w:p>
            <w:pPr>
              <w:spacing w:after="0"/>
              <w:rPr>
                <w:sz w:val="20"/>
                <w:szCs w:val="20"/>
                <w:color w:val="auto"/>
              </w:rPr>
            </w:pPr>
            <w:r>
              <w:rPr>
                <w:rFonts w:ascii="Arial" w:cs="Arial" w:eastAsia="Arial" w:hAnsi="Arial"/>
                <w:sz w:val="18"/>
                <w:szCs w:val="18"/>
                <w:color w:val="auto"/>
              </w:rPr>
              <w:t>Nevada</w:t>
            </w:r>
          </w:p>
        </w:tc>
      </w:tr>
      <w:tr>
        <w:trPr>
          <w:trHeight w:val="216"/>
        </w:trPr>
        <w:tc>
          <w:tcPr>
            <w:tcW w:w="7740" w:type="dxa"/>
            <w:vAlign w:val="bottom"/>
            <w:gridSpan w:val="3"/>
          </w:tcPr>
          <w:p>
            <w:pPr>
              <w:spacing w:after="0"/>
              <w:rPr>
                <w:sz w:val="20"/>
                <w:szCs w:val="20"/>
                <w:color w:val="auto"/>
              </w:rPr>
            </w:pPr>
            <w:r>
              <w:rPr>
                <w:rFonts w:ascii="Arial" w:cs="Arial" w:eastAsia="Arial" w:hAnsi="Arial"/>
                <w:sz w:val="18"/>
                <w:szCs w:val="18"/>
                <w:color w:val="auto"/>
              </w:rPr>
              <w:t>TEI R7 Investment LLC</w:t>
            </w:r>
          </w:p>
        </w:tc>
        <w:tc>
          <w:tcPr>
            <w:tcW w:w="36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740" w:type="dxa"/>
            <w:vAlign w:val="bottom"/>
            <w:gridSpan w:val="3"/>
          </w:tcPr>
          <w:p>
            <w:pPr>
              <w:spacing w:after="0"/>
              <w:rPr>
                <w:sz w:val="20"/>
                <w:szCs w:val="20"/>
                <w:color w:val="auto"/>
              </w:rPr>
            </w:pPr>
            <w:r>
              <w:rPr>
                <w:rFonts w:ascii="Arial" w:cs="Arial" w:eastAsia="Arial" w:hAnsi="Arial"/>
                <w:sz w:val="18"/>
                <w:szCs w:val="18"/>
                <w:color w:val="auto"/>
              </w:rPr>
              <w:t>TEI Management Services LLC</w:t>
            </w:r>
          </w:p>
        </w:tc>
        <w:tc>
          <w:tcPr>
            <w:tcW w:w="368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118"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85" w:lineRule="exact"/>
        <w:rPr>
          <w:sz w:val="20"/>
          <w:szCs w:val="20"/>
          <w:color w:val="auto"/>
        </w:rPr>
      </w:pPr>
    </w:p>
    <w:p>
      <w:pPr>
        <w:ind w:left="500" w:hanging="438"/>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Registration Statements on Form S-3 (No.’s 333-218775 and 333-220412) and in the related Prospectuses of Eldorado Resorts Inc., and</w:t>
      </w:r>
    </w:p>
    <w:p>
      <w:pPr>
        <w:spacing w:after="0" w:line="23" w:lineRule="exact"/>
        <w:rPr>
          <w:rFonts w:ascii="Arial" w:cs="Arial" w:eastAsia="Arial" w:hAnsi="Arial"/>
          <w:sz w:val="18"/>
          <w:szCs w:val="18"/>
          <w:color w:val="auto"/>
        </w:rPr>
      </w:pPr>
    </w:p>
    <w:p>
      <w:pPr>
        <w:ind w:left="500" w:hanging="438"/>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Registration Statements on Form S-8 (No.’s 333-198830 and 333-203227) of Eldorado Resorts, Inc.</w:t>
      </w:r>
    </w:p>
    <w:p>
      <w:pPr>
        <w:spacing w:after="0" w:line="211" w:lineRule="exact"/>
        <w:rPr>
          <w:sz w:val="20"/>
          <w:szCs w:val="20"/>
          <w:color w:val="auto"/>
        </w:rPr>
      </w:pPr>
    </w:p>
    <w:p>
      <w:pPr>
        <w:ind w:left="60" w:right="220"/>
        <w:spacing w:after="0" w:line="264" w:lineRule="auto"/>
        <w:rPr>
          <w:sz w:val="20"/>
          <w:szCs w:val="20"/>
          <w:color w:val="auto"/>
        </w:rPr>
      </w:pPr>
      <w:r>
        <w:rPr>
          <w:rFonts w:ascii="Arial" w:cs="Arial" w:eastAsia="Arial" w:hAnsi="Arial"/>
          <w:sz w:val="18"/>
          <w:szCs w:val="18"/>
          <w:color w:val="auto"/>
        </w:rPr>
        <w:t>of our reports dated March 1, 2019 with respect to the consolidated financial statements and schedule of Eldorado Resorts, Inc. and the effectiveness of internal control over financial reporting of Eldorado Resorts, Inc. included in this Annual Report (Form 10-K) of Eldorado Resorts, Inc. for the year ended December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ectPr>
          <w:pgSz w:w="11900" w:h="16838" w:orient="portrait"/>
          <w:cols w:equalWidth="0" w:num="1">
            <w:col w:w="11420"/>
          </w:cols>
          <w:pgMar w:left="240" w:top="121"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CERTIFICATION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AND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R. Reeg, certify that:</w:t>
      </w:r>
    </w:p>
    <w:p>
      <w:pPr>
        <w:spacing w:after="0" w:line="225" w:lineRule="exact"/>
        <w:rPr>
          <w:sz w:val="20"/>
          <w:szCs w:val="20"/>
          <w:color w:val="auto"/>
        </w:rPr>
      </w:pPr>
    </w:p>
    <w:p>
      <w:pPr>
        <w:ind w:left="560" w:hanging="552"/>
        <w:spacing w:after="0" w:line="207" w:lineRule="exact"/>
        <w:tabs>
          <w:tab w:leader="none" w:pos="5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Eldorado Resorts, Inc.;</w:t>
      </w:r>
    </w:p>
    <w:p>
      <w:pPr>
        <w:spacing w:after="0" w:line="225" w:lineRule="exact"/>
        <w:rPr>
          <w:rFonts w:ascii="Arial" w:cs="Arial" w:eastAsia="Arial" w:hAnsi="Arial"/>
          <w:sz w:val="18"/>
          <w:szCs w:val="18"/>
          <w:color w:val="auto"/>
        </w:rPr>
      </w:pPr>
    </w:p>
    <w:p>
      <w:pPr>
        <w:jc w:val="both"/>
        <w:ind w:left="560" w:right="380" w:hanging="552"/>
        <w:spacing w:after="0" w:line="264" w:lineRule="auto"/>
        <w:tabs>
          <w:tab w:leader="none" w:pos="5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60" w:right="360" w:hanging="552"/>
        <w:spacing w:after="0" w:line="308" w:lineRule="auto"/>
        <w:tabs>
          <w:tab w:leader="none" w:pos="5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60" w:right="20" w:hanging="552"/>
        <w:spacing w:after="0" w:line="221" w:lineRule="exact"/>
        <w:tabs>
          <w:tab w:leader="none" w:pos="5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93" w:lineRule="exact"/>
        <w:rPr>
          <w:rFonts w:ascii="Arial" w:cs="Arial" w:eastAsia="Arial" w:hAnsi="Arial"/>
          <w:sz w:val="18"/>
          <w:szCs w:val="18"/>
          <w:color w:val="auto"/>
        </w:rPr>
      </w:pPr>
    </w:p>
    <w:p>
      <w:pPr>
        <w:ind w:left="1120" w:right="100" w:hanging="558"/>
        <w:spacing w:after="0" w:line="264" w:lineRule="auto"/>
        <w:tabs>
          <w:tab w:leader="none" w:pos="11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20" w:right="400" w:hanging="558"/>
        <w:spacing w:after="0" w:line="264" w:lineRule="auto"/>
        <w:tabs>
          <w:tab w:leader="none" w:pos="11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20" w:right="600" w:hanging="558"/>
        <w:spacing w:after="0" w:line="342" w:lineRule="auto"/>
        <w:tabs>
          <w:tab w:leader="none" w:pos="112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20" w:right="80" w:hanging="558"/>
        <w:spacing w:after="0" w:line="264" w:lineRule="auto"/>
        <w:tabs>
          <w:tab w:leader="none" w:pos="11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60" w:right="80" w:hanging="552"/>
        <w:spacing w:after="0" w:line="308" w:lineRule="auto"/>
        <w:tabs>
          <w:tab w:leader="none" w:pos="5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820" w:hanging="558"/>
        <w:spacing w:after="0" w:line="342" w:lineRule="auto"/>
        <w:tabs>
          <w:tab w:leader="none" w:pos="112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20" w:right="500" w:hanging="558"/>
        <w:spacing w:after="0" w:line="277" w:lineRule="auto"/>
        <w:tabs>
          <w:tab w:leader="none" w:pos="11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2019</w:t>
      </w: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w:t>
      </w:r>
      <w:r>
        <w:rPr>
          <w:rFonts w:ascii="Arial" w:cs="Arial" w:eastAsia="Arial" w:hAnsi="Arial"/>
          <w:sz w:val="12"/>
          <w:szCs w:val="12"/>
          <w:color w:val="auto"/>
        </w:rPr>
        <w:t>HOMAS</w:t>
      </w:r>
      <w:r>
        <w:rPr>
          <w:rFonts w:ascii="Arial" w:cs="Arial" w:eastAsia="Arial" w:hAnsi="Arial"/>
          <w:sz w:val="18"/>
          <w:szCs w:val="18"/>
          <w:color w:val="auto"/>
        </w:rPr>
        <w:t xml:space="preserve"> R. R</w:t>
      </w:r>
      <w:r>
        <w:rPr>
          <w:rFonts w:ascii="Arial" w:cs="Arial" w:eastAsia="Arial" w:hAnsi="Arial"/>
          <w:sz w:val="12"/>
          <w:szCs w:val="12"/>
          <w:color w:val="auto"/>
        </w:rPr>
        <w:t>EEG</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6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 and Chief Financial Officer</w:t>
      </w:r>
    </w:p>
    <w:p>
      <w:pPr>
        <w:sectPr>
          <w:pgSz w:w="11900" w:h="16838" w:orient="portrait"/>
          <w:cols w:equalWidth="0" w:num="1">
            <w:col w:w="11420"/>
          </w:cols>
          <w:pgMar w:left="240" w:top="351"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Thomas R. Reeg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170" w:lineRule="exact"/>
        <w:rPr>
          <w:sz w:val="20"/>
          <w:szCs w:val="20"/>
          <w:color w:val="auto"/>
        </w:rPr>
      </w:pPr>
    </w:p>
    <w:p>
      <w:pPr>
        <w:ind w:right="420" w:firstLine="555"/>
        <w:spacing w:after="0" w:line="223" w:lineRule="exact"/>
        <w:rPr>
          <w:sz w:val="20"/>
          <w:szCs w:val="20"/>
          <w:color w:val="auto"/>
        </w:rPr>
      </w:pPr>
      <w:r>
        <w:rPr>
          <w:rFonts w:ascii="Arial" w:cs="Arial" w:eastAsia="Arial" w:hAnsi="Arial"/>
          <w:sz w:val="18"/>
          <w:szCs w:val="18"/>
          <w:color w:val="auto"/>
        </w:rPr>
        <w:t>I, Thomas R. Reeg, Chief Executive Officer of Eldorado Resorts, Inc. (the “Company”), do hereby certify in accordance with 18 U.S.C. 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 to my knowledge:</w:t>
      </w:r>
    </w:p>
    <w:p>
      <w:pPr>
        <w:spacing w:after="0" w:line="176" w:lineRule="exact"/>
        <w:rPr>
          <w:sz w:val="20"/>
          <w:szCs w:val="20"/>
          <w:color w:val="auto"/>
        </w:rPr>
      </w:pPr>
    </w:p>
    <w:p>
      <w:pPr>
        <w:ind w:left="1120" w:right="220" w:hanging="558"/>
        <w:spacing w:after="0" w:line="224" w:lineRule="exact"/>
        <w:tabs>
          <w:tab w:leader="none" w:pos="11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the Company for the fiscal year ended December 31, 2018 (the “Periodic Report”) fully complies with the requirements of Section 13(a) or 15(d) of the Securities Exchange Act of 1934 (15 U.S.C. 78m or 78o(d)); and</w:t>
      </w:r>
    </w:p>
    <w:p>
      <w:pPr>
        <w:spacing w:after="0" w:line="161" w:lineRule="exact"/>
        <w:rPr>
          <w:rFonts w:ascii="Arial" w:cs="Arial" w:eastAsia="Arial" w:hAnsi="Arial"/>
          <w:sz w:val="17"/>
          <w:szCs w:val="17"/>
          <w:color w:val="auto"/>
        </w:rPr>
      </w:pPr>
    </w:p>
    <w:p>
      <w:pPr>
        <w:ind w:left="1120" w:right="120" w:hanging="558"/>
        <w:spacing w:after="0" w:line="277" w:lineRule="auto"/>
        <w:tabs>
          <w:tab w:leader="none" w:pos="11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2019</w:t>
      </w:r>
    </w:p>
    <w:p>
      <w:pPr>
        <w:spacing w:after="0" w:line="23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T</w:t>
      </w:r>
      <w:r>
        <w:rPr>
          <w:rFonts w:ascii="Arial" w:cs="Arial" w:eastAsia="Arial" w:hAnsi="Arial"/>
          <w:sz w:val="12"/>
          <w:szCs w:val="12"/>
          <w:color w:val="auto"/>
        </w:rPr>
        <w:t>HOMAS</w:t>
      </w:r>
      <w:r>
        <w:rPr>
          <w:rFonts w:ascii="Arial" w:cs="Arial" w:eastAsia="Arial" w:hAnsi="Arial"/>
          <w:sz w:val="18"/>
          <w:szCs w:val="18"/>
          <w:color w:val="auto"/>
        </w:rPr>
        <w:t xml:space="preserve"> R. R</w:t>
      </w:r>
      <w:r>
        <w:rPr>
          <w:rFonts w:ascii="Arial" w:cs="Arial" w:eastAsia="Arial" w:hAnsi="Arial"/>
          <w:sz w:val="12"/>
          <w:szCs w:val="12"/>
          <w:color w:val="auto"/>
        </w:rPr>
        <w:t>EEG</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6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Chief Executive Officer and Chief Financial Officer</w:t>
      </w:r>
    </w:p>
    <w:p>
      <w:pPr>
        <w:sectPr>
          <w:pgSz w:w="11900" w:h="16838" w:orient="portrait"/>
          <w:cols w:equalWidth="0" w:num="1">
            <w:col w:w="11420"/>
          </w:cols>
          <w:pgMar w:left="240" w:top="121"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99.1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Governmental Regulations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52" w:lineRule="exact"/>
        <w:rPr>
          <w:sz w:val="20"/>
          <w:szCs w:val="20"/>
          <w:color w:val="auto"/>
        </w:rPr>
      </w:pPr>
    </w:p>
    <w:p>
      <w:pPr>
        <w:ind w:right="100" w:firstLine="815"/>
        <w:spacing w:after="0" w:line="273" w:lineRule="auto"/>
        <w:rPr>
          <w:sz w:val="20"/>
          <w:szCs w:val="20"/>
          <w:color w:val="auto"/>
        </w:rPr>
      </w:pPr>
      <w:r>
        <w:rPr>
          <w:rFonts w:ascii="Arial" w:cs="Arial" w:eastAsia="Arial" w:hAnsi="Arial"/>
          <w:sz w:val="17"/>
          <w:szCs w:val="17"/>
          <w:color w:val="auto"/>
        </w:rPr>
        <w:t>The ownership, operation, and management of our gaming, betting and racing facilities (generically referred to herein as “gaming”) are subject to significant regulation under the laws and regulations of each of the jurisdictions in which we operate. Gaming laws are generally based upon declarations of public policy designed to protect gaming consumers and the viability and integrity of the gaming industry. Gaming laws also may be designed to protect and maximize state and local revenues derived through taxes and licensing fees imposed on gaming industry participants, as well as to enhance economic development and tourism. To accomplish these public policy goals, gaming laws establish stringent procedures to ensure that participants in the gaming industry meet certain standards of character and fitness. In addition, gaming laws require gaming industry participants to:</w:t>
      </w:r>
    </w:p>
    <w:p>
      <w:pPr>
        <w:spacing w:after="0" w:line="205" w:lineRule="exact"/>
        <w:rPr>
          <w:sz w:val="20"/>
          <w:szCs w:val="20"/>
          <w:color w:val="auto"/>
        </w:rPr>
      </w:pPr>
    </w:p>
    <w:p>
      <w:pPr>
        <w:ind w:left="1220" w:hanging="402"/>
        <w:spacing w:after="0"/>
        <w:tabs>
          <w:tab w:leader="none" w:pos="1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ensure that unsuitable individuals and organizations have no role in gaming operations;</w:t>
      </w:r>
    </w:p>
    <w:p>
      <w:pPr>
        <w:spacing w:after="0" w:line="23" w:lineRule="exact"/>
        <w:rPr>
          <w:rFonts w:ascii="Arial" w:cs="Arial" w:eastAsia="Arial" w:hAnsi="Arial"/>
          <w:sz w:val="18"/>
          <w:szCs w:val="18"/>
          <w:color w:val="auto"/>
        </w:rPr>
      </w:pPr>
    </w:p>
    <w:p>
      <w:pPr>
        <w:ind w:left="1220" w:hanging="402"/>
        <w:spacing w:after="0"/>
        <w:tabs>
          <w:tab w:leader="none" w:pos="1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establish procedures designed to prevent cheating and fraudulent practices;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establish and maintain responsible accounting practices and procedures;</w:t>
      </w:r>
    </w:p>
    <w:p>
      <w:pPr>
        <w:spacing w:after="0" w:line="9" w:lineRule="exact"/>
        <w:rPr>
          <w:rFonts w:ascii="Arial" w:cs="Arial" w:eastAsia="Arial" w:hAnsi="Arial"/>
          <w:sz w:val="18"/>
          <w:szCs w:val="18"/>
          <w:color w:val="auto"/>
        </w:rPr>
      </w:pPr>
    </w:p>
    <w:p>
      <w:pPr>
        <w:ind w:left="1220" w:right="560" w:hanging="402"/>
        <w:spacing w:after="0" w:line="250" w:lineRule="auto"/>
        <w:tabs>
          <w:tab w:leader="none" w:pos="1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maintain effective controls over their financial practices, including establishing minimum procedures for internal fiscal affairs and the safeguarding of assets and revenues;</w:t>
      </w:r>
    </w:p>
    <w:p>
      <w:pPr>
        <w:ind w:left="1220" w:hanging="402"/>
        <w:spacing w:after="0"/>
        <w:tabs>
          <w:tab w:leader="none" w:pos="1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maintain systems for reliable record keeping;</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file periodic reports with gaming regulators;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ensure that contracts and financial transactions are commercially reasonable, reflect fair market value and are arms-length transactions; and</w:t>
      </w:r>
    </w:p>
    <w:p>
      <w:pPr>
        <w:spacing w:after="0" w:line="32" w:lineRule="exact"/>
        <w:rPr>
          <w:rFonts w:ascii="Arial" w:cs="Arial" w:eastAsia="Arial" w:hAnsi="Arial"/>
          <w:sz w:val="16"/>
          <w:szCs w:val="16"/>
          <w:color w:val="auto"/>
        </w:rPr>
      </w:pPr>
    </w:p>
    <w:p>
      <w:pPr>
        <w:ind w:left="1220" w:hanging="402"/>
        <w:spacing w:after="0"/>
        <w:tabs>
          <w:tab w:leader="none" w:pos="1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establish programs to promote responsible gaming.</w:t>
      </w:r>
    </w:p>
    <w:p>
      <w:pPr>
        <w:spacing w:after="0" w:line="238" w:lineRule="exact"/>
        <w:rPr>
          <w:sz w:val="20"/>
          <w:szCs w:val="20"/>
          <w:color w:val="auto"/>
        </w:rPr>
      </w:pPr>
    </w:p>
    <w:p>
      <w:pPr>
        <w:jc w:val="both"/>
        <w:ind w:right="120" w:firstLine="815"/>
        <w:spacing w:after="0" w:line="264" w:lineRule="auto"/>
        <w:rPr>
          <w:sz w:val="20"/>
          <w:szCs w:val="20"/>
          <w:color w:val="auto"/>
        </w:rPr>
      </w:pPr>
      <w:r>
        <w:rPr>
          <w:rFonts w:ascii="Arial" w:cs="Arial" w:eastAsia="Arial" w:hAnsi="Arial"/>
          <w:sz w:val="18"/>
          <w:szCs w:val="18"/>
          <w:color w:val="auto"/>
        </w:rPr>
        <w:t>Typically, a state regulatory environment is established by statute and is administered by a regulatory agency with broad discretion to regulate the affairs of owners, managers, and persons with financial interests in gaming operations. Among other things, gaming authorities in the various jurisdictions in which we operate:</w:t>
      </w:r>
    </w:p>
    <w:p>
      <w:pPr>
        <w:spacing w:after="0" w:line="208" w:lineRule="exact"/>
        <w:rPr>
          <w:sz w:val="20"/>
          <w:szCs w:val="20"/>
          <w:color w:val="auto"/>
        </w:rPr>
      </w:pPr>
    </w:p>
    <w:p>
      <w:pPr>
        <w:ind w:left="1220" w:hanging="402"/>
        <w:spacing w:after="0"/>
        <w:tabs>
          <w:tab w:leader="none" w:pos="1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adopt rules and regulations under the implementing statutes;</w:t>
      </w:r>
    </w:p>
    <w:p>
      <w:pPr>
        <w:spacing w:after="0" w:line="23" w:lineRule="exact"/>
        <w:rPr>
          <w:rFonts w:ascii="Arial" w:cs="Arial" w:eastAsia="Arial" w:hAnsi="Arial"/>
          <w:sz w:val="18"/>
          <w:szCs w:val="18"/>
          <w:color w:val="auto"/>
        </w:rPr>
      </w:pPr>
    </w:p>
    <w:p>
      <w:pPr>
        <w:ind w:left="1220" w:hanging="402"/>
        <w:spacing w:after="0"/>
        <w:tabs>
          <w:tab w:leader="none" w:pos="1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interpret and enforce gaming laws;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impose disciplinary sanctions for violations, including fines and penalties;</w:t>
      </w:r>
    </w:p>
    <w:p>
      <w:pPr>
        <w:spacing w:after="0" w:line="9" w:lineRule="exact"/>
        <w:rPr>
          <w:rFonts w:ascii="Arial" w:cs="Arial" w:eastAsia="Arial" w:hAnsi="Arial"/>
          <w:sz w:val="18"/>
          <w:szCs w:val="18"/>
          <w:color w:val="auto"/>
        </w:rPr>
      </w:pPr>
    </w:p>
    <w:p>
      <w:pPr>
        <w:ind w:left="1220" w:right="140" w:hanging="402"/>
        <w:spacing w:after="0" w:line="250" w:lineRule="auto"/>
        <w:tabs>
          <w:tab w:leader="none" w:pos="1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 the character and fitness of participants in gaming operations and make determinations regarding their suitability or qualification for licensure;</w:t>
      </w:r>
    </w:p>
    <w:p>
      <w:pPr>
        <w:ind w:left="1220" w:hanging="402"/>
        <w:spacing w:after="0"/>
        <w:tabs>
          <w:tab w:leader="none" w:pos="1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grant licenses for participation in gaming operations;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collect and review reports and information submitted by participants in gaming operations;</w:t>
      </w:r>
    </w:p>
    <w:p>
      <w:pPr>
        <w:spacing w:after="0" w:line="9" w:lineRule="exact"/>
        <w:rPr>
          <w:rFonts w:ascii="Arial" w:cs="Arial" w:eastAsia="Arial" w:hAnsi="Arial"/>
          <w:sz w:val="18"/>
          <w:szCs w:val="18"/>
          <w:color w:val="auto"/>
        </w:rPr>
      </w:pPr>
    </w:p>
    <w:p>
      <w:pPr>
        <w:ind w:left="1220" w:right="160" w:hanging="402"/>
        <w:spacing w:after="0" w:line="250" w:lineRule="auto"/>
        <w:tabs>
          <w:tab w:leader="none" w:pos="1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 and approve transactions, such as acquisitions or change-of-control transactions of gaming industry participants, securities offerings and debt transactions engaged in by such participants; and</w:t>
      </w:r>
    </w:p>
    <w:p>
      <w:pPr>
        <w:ind w:left="1220" w:hanging="402"/>
        <w:spacing w:after="0"/>
        <w:tabs>
          <w:tab w:leader="none" w:pos="1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establish and collect fees and taxes.</w:t>
      </w:r>
    </w:p>
    <w:p>
      <w:pPr>
        <w:spacing w:after="0" w:line="23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Any change in the laws or regulations of a gaming jurisdiction could have a material adverse effect on our gaming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Licensing and Suitability Determinations</w:t>
      </w:r>
    </w:p>
    <w:p>
      <w:pPr>
        <w:spacing w:after="0" w:line="252" w:lineRule="exact"/>
        <w:rPr>
          <w:sz w:val="20"/>
          <w:szCs w:val="20"/>
          <w:color w:val="auto"/>
        </w:rPr>
      </w:pPr>
    </w:p>
    <w:p>
      <w:pPr>
        <w:ind w:right="20" w:firstLine="815"/>
        <w:spacing w:after="0" w:line="257" w:lineRule="auto"/>
        <w:rPr>
          <w:sz w:val="20"/>
          <w:szCs w:val="20"/>
          <w:color w:val="auto"/>
        </w:rPr>
      </w:pPr>
      <w:r>
        <w:rPr>
          <w:rFonts w:ascii="Arial" w:cs="Arial" w:eastAsia="Arial" w:hAnsi="Arial"/>
          <w:sz w:val="18"/>
          <w:szCs w:val="18"/>
          <w:color w:val="auto"/>
        </w:rPr>
        <w:t>Gaming laws require us, each of our subsidiaries engaged in gaming operations, certain of our directors, officers and employees, and in some cases, certain of our shareholders and holders of our debt securities, to obtain licenses from gaming authorities. Licenses typically require a determination that the applicant qualifies or is suitable to hold the license. Gaming authorities have broad discretion in determining whether an applicant qualifies for licensing or should be deemed suitable. Criteria used in determining whether to grant or renew a license to conduct gaming operations, while varying between jurisdictions, generally include consideration of factors such as: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7" w:name="page148"/>
    <w:bookmarkEnd w:id="147"/>
    <w:p>
      <w:pPr>
        <w:ind w:left="1220" w:hanging="402"/>
        <w:spacing w:after="0"/>
        <w:tabs>
          <w:tab w:leader="none" w:pos="12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good character, honesty and integrity of the applicant;</w:t>
      </w:r>
    </w:p>
    <w:p>
      <w:pPr>
        <w:spacing w:after="0" w:line="23" w:lineRule="exact"/>
        <w:rPr>
          <w:rFonts w:ascii="Arial" w:cs="Arial" w:eastAsia="Arial" w:hAnsi="Arial"/>
          <w:sz w:val="18"/>
          <w:szCs w:val="18"/>
          <w:color w:val="auto"/>
        </w:rPr>
      </w:pPr>
    </w:p>
    <w:p>
      <w:pPr>
        <w:ind w:left="1220" w:right="160" w:hanging="402"/>
        <w:spacing w:after="0" w:line="250" w:lineRule="auto"/>
        <w:tabs>
          <w:tab w:leader="none" w:pos="12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financial stability, integrity and responsibility of the applicant, including whether the operation is adequately capitalized in the state and exhibits the ability to maintain adequate insurance levels; the quality of the applicant’s casino facilities;</w:t>
      </w:r>
    </w:p>
    <w:p>
      <w:pPr>
        <w:ind w:left="1220" w:hanging="402"/>
        <w:spacing w:after="0"/>
        <w:tabs>
          <w:tab w:leader="none" w:pos="12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amount of revenue to be derived by the applicable state from the operation of the applicant’s casino;</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applicant’s practices with respect to minority hiring and training; and</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effect on competition and general impact on the community.</w:t>
      </w:r>
    </w:p>
    <w:p>
      <w:pPr>
        <w:spacing w:after="0" w:line="238" w:lineRule="exact"/>
        <w:rPr>
          <w:sz w:val="20"/>
          <w:szCs w:val="20"/>
          <w:color w:val="auto"/>
        </w:rPr>
      </w:pPr>
    </w:p>
    <w:p>
      <w:pPr>
        <w:ind w:right="620" w:firstLine="815"/>
        <w:spacing w:after="0" w:line="277" w:lineRule="auto"/>
        <w:rPr>
          <w:sz w:val="20"/>
          <w:szCs w:val="20"/>
          <w:color w:val="auto"/>
        </w:rPr>
      </w:pPr>
      <w:r>
        <w:rPr>
          <w:rFonts w:ascii="Arial" w:cs="Arial" w:eastAsia="Arial" w:hAnsi="Arial"/>
          <w:sz w:val="18"/>
          <w:szCs w:val="18"/>
          <w:color w:val="auto"/>
        </w:rPr>
        <w:t>In evaluating individual applicants, gaming authorities consider the individual’s business experience and reputation for good character, the individual’s criminal history and the character of those with whom the individual associates.</w:t>
      </w:r>
    </w:p>
    <w:p>
      <w:pPr>
        <w:spacing w:after="0" w:line="197" w:lineRule="exact"/>
        <w:rPr>
          <w:sz w:val="20"/>
          <w:szCs w:val="20"/>
          <w:color w:val="auto"/>
        </w:rPr>
      </w:pPr>
    </w:p>
    <w:p>
      <w:pPr>
        <w:ind w:right="140" w:firstLine="815"/>
        <w:spacing w:after="0" w:line="302" w:lineRule="auto"/>
        <w:rPr>
          <w:sz w:val="20"/>
          <w:szCs w:val="20"/>
          <w:color w:val="auto"/>
        </w:rPr>
      </w:pPr>
      <w:r>
        <w:rPr>
          <w:rFonts w:ascii="Arial" w:cs="Arial" w:eastAsia="Arial" w:hAnsi="Arial"/>
          <w:sz w:val="16"/>
          <w:szCs w:val="16"/>
          <w:color w:val="auto"/>
        </w:rPr>
        <w:t>Many gaming jurisdictions limit the number of licenses granted to operate casinos within the state, and some states limit the number of licenses granted to any one gaming operator. Licenses under gaming laws are generally not transferable without regulatory approval. Licenses in most of the jurisdictions in which we conduct gaming operations are granted for limited durations and require renewal from time to time. There can be no assurance that any of our licenses will be renewed. The failure to renew any of our licenses could have a material adverse effect on our gaming operations.</w:t>
      </w:r>
    </w:p>
    <w:p>
      <w:pPr>
        <w:spacing w:after="0" w:line="181" w:lineRule="exact"/>
        <w:rPr>
          <w:sz w:val="20"/>
          <w:szCs w:val="20"/>
          <w:color w:val="auto"/>
        </w:rPr>
      </w:pPr>
    </w:p>
    <w:p>
      <w:pPr>
        <w:ind w:right="20" w:firstLine="815"/>
        <w:spacing w:after="0" w:line="291" w:lineRule="auto"/>
        <w:rPr>
          <w:sz w:val="20"/>
          <w:szCs w:val="20"/>
          <w:color w:val="auto"/>
        </w:rPr>
      </w:pPr>
      <w:r>
        <w:rPr>
          <w:rFonts w:ascii="Arial" w:cs="Arial" w:eastAsia="Arial" w:hAnsi="Arial"/>
          <w:sz w:val="16"/>
          <w:szCs w:val="16"/>
          <w:color w:val="auto"/>
        </w:rPr>
        <w:t>In addition to us and our direct and indirect subsidiaries engaged in gaming operations, gaming authorities may investigate any individual who has a material relationship to or material involvement with any of these entities to determine whether such individual is suitable or should be licensed. Our officers, directors and certain key employees must file applications with the gaming authorities and may be required to be licensed, qualify or be found suitable in many jurisdictions. Gaming authorities may deny an application for licensing for any cause which they deem reasonable. Qualification and suitability determinations require submission of detailed personal and financial information followed by a thorough investigation. The applicant must pay all the costs of the investigation. Changes in licensed positions must be reported to gaming authorities and in addition to their authority to deny an application for licensure, qualification or a finding of suitability, gaming authorities have jurisdiction to disapprove a change in a corporate position.</w:t>
      </w:r>
    </w:p>
    <w:p>
      <w:pPr>
        <w:spacing w:after="0" w:line="194" w:lineRule="exact"/>
        <w:rPr>
          <w:sz w:val="20"/>
          <w:szCs w:val="20"/>
          <w:color w:val="auto"/>
        </w:rPr>
      </w:pPr>
    </w:p>
    <w:p>
      <w:pPr>
        <w:jc w:val="both"/>
        <w:ind w:right="160" w:firstLine="815"/>
        <w:spacing w:after="0" w:line="264" w:lineRule="auto"/>
        <w:rPr>
          <w:sz w:val="20"/>
          <w:szCs w:val="20"/>
          <w:color w:val="auto"/>
        </w:rPr>
      </w:pPr>
      <w:r>
        <w:rPr>
          <w:rFonts w:ascii="Arial" w:cs="Arial" w:eastAsia="Arial" w:hAnsi="Arial"/>
          <w:sz w:val="18"/>
          <w:szCs w:val="18"/>
          <w:color w:val="auto"/>
        </w:rPr>
        <w:t>If one or more gaming authorities were to find that an officer, director or key employee fails to qualify or is unsuitable for licensing or unsuitable to continue having a relationship with us, we would be required to sever all relationships with such person. In addition, gaming authorities may require us to terminate the employment of any person who refuses to file appropriate applications.</w:t>
      </w:r>
    </w:p>
    <w:p>
      <w:pPr>
        <w:spacing w:after="0" w:line="208" w:lineRule="exact"/>
        <w:rPr>
          <w:sz w:val="20"/>
          <w:szCs w:val="20"/>
          <w:color w:val="auto"/>
        </w:rPr>
      </w:pPr>
    </w:p>
    <w:p>
      <w:pPr>
        <w:ind w:right="20" w:firstLine="815"/>
        <w:spacing w:after="0" w:line="259" w:lineRule="auto"/>
        <w:rPr>
          <w:sz w:val="20"/>
          <w:szCs w:val="20"/>
          <w:color w:val="auto"/>
        </w:rPr>
      </w:pPr>
      <w:r>
        <w:rPr>
          <w:rFonts w:ascii="Arial" w:cs="Arial" w:eastAsia="Arial" w:hAnsi="Arial"/>
          <w:sz w:val="18"/>
          <w:szCs w:val="18"/>
          <w:color w:val="auto"/>
        </w:rPr>
        <w:t>Moreover, in many jurisdictions, certain of our stockholders or holders of our debt securities may be required to undergo a suitability investigation similar to that described above. Many jurisdictions require any person who acquires beneficial ownership of more than a certain percentage of our voting securities, typically 5%, to report the acquisition to gaming authorities, and gaming authorities may require such holders to apply for qualification or a finding of suitability.</w:t>
      </w:r>
    </w:p>
    <w:p>
      <w:pPr>
        <w:spacing w:after="0" w:line="214" w:lineRule="exact"/>
        <w:rPr>
          <w:sz w:val="20"/>
          <w:szCs w:val="20"/>
          <w:color w:val="auto"/>
        </w:rPr>
      </w:pPr>
    </w:p>
    <w:p>
      <w:pPr>
        <w:ind w:firstLine="815"/>
        <w:spacing w:after="0" w:line="293" w:lineRule="auto"/>
        <w:rPr>
          <w:sz w:val="20"/>
          <w:szCs w:val="20"/>
          <w:color w:val="auto"/>
        </w:rPr>
      </w:pPr>
      <w:r>
        <w:rPr>
          <w:rFonts w:ascii="Arial" w:cs="Arial" w:eastAsia="Arial" w:hAnsi="Arial"/>
          <w:sz w:val="16"/>
          <w:szCs w:val="16"/>
          <w:color w:val="auto"/>
        </w:rPr>
        <w:t>Most gaming authorities, however, allow an “institutional investor” to apply for a waiver. An “institutional investor” is generally defined as an investor acquiring and holding voting securities in the ordinary course of business as an institutional investor for passive investment purposes only, and not for the purpose of causing, directly or indirectly, the election of a member of our board of directors, any change in our corporate charter, bylaws, management, policies or operations, or those of any of our gaming affiliates, or the taking of any other action which gaming authorities find to be inconsistent with holding our voting securities for passive investment purposes only. Even if a waiver is granted, an institutional investor generally may not take any action inconsistent with its status when the waiver was granted without once again becoming subject to the foregoing reporting and application obligations.</w:t>
      </w:r>
    </w:p>
    <w:p>
      <w:pPr>
        <w:spacing w:after="0" w:line="192" w:lineRule="exact"/>
        <w:rPr>
          <w:sz w:val="20"/>
          <w:szCs w:val="20"/>
          <w:color w:val="auto"/>
        </w:rPr>
      </w:pPr>
    </w:p>
    <w:p>
      <w:pPr>
        <w:ind w:right="60" w:firstLine="815"/>
        <w:spacing w:after="0" w:line="290" w:lineRule="auto"/>
        <w:rPr>
          <w:sz w:val="20"/>
          <w:szCs w:val="20"/>
          <w:color w:val="auto"/>
        </w:rPr>
      </w:pPr>
      <w:r>
        <w:rPr>
          <w:rFonts w:ascii="Arial" w:cs="Arial" w:eastAsia="Arial" w:hAnsi="Arial"/>
          <w:sz w:val="16"/>
          <w:szCs w:val="16"/>
          <w:color w:val="auto"/>
        </w:rPr>
        <w:t>Generally, any person who fails or refuses to apply for a finding of suitability or a license within the prescribed period after being advised that it is required by gaming authorities may be denied a license or found unsuitable, as applicable. Any stockholder found unsuitable or denied a license and who holds, directly or indirectly, any beneficial ownership of our voting securities beyond such period of time, as may be prescribed by the applicable gaming authorities, may be guilty of a criminal offense. Furthermore, we may be subject to disciplinary action if, after we receive notice that a person is unsuitable to be a stockholder or to have any other relationship with us or any of our subsidiaries, we: (i) pay that person any dividend or interest upon our voting securities; (ii) allow that person to exercise, directly or indirectly, any voting right conferred through securities held by that person; (iii) pay remuneration in any form to that person for services rendered or otherwise; or (iv) fail to pursue all lawful efforts to require such unsuitable person to relinquish his voting securities including, if necessary, the immediate purchase of said voting securities for cash at fair market value.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8" w:name="page149"/>
    <w:bookmarkEnd w:id="148"/>
    <w:p>
      <w:pPr>
        <w:ind w:right="120" w:firstLine="815"/>
        <w:spacing w:after="0" w:line="308" w:lineRule="auto"/>
        <w:rPr>
          <w:sz w:val="20"/>
          <w:szCs w:val="20"/>
          <w:color w:val="auto"/>
        </w:rPr>
      </w:pPr>
      <w:r>
        <w:rPr>
          <w:rFonts w:ascii="Arial" w:cs="Arial" w:eastAsia="Arial" w:hAnsi="Arial"/>
          <w:sz w:val="17"/>
          <w:szCs w:val="17"/>
          <w:color w:val="auto"/>
        </w:rPr>
        <w:t>The gaming jurisdictions in which we operate also require that suppliers of certain goods and services to gaming industry participants be licensed and require us to purchase and lease gaming equipment, and certain supplies and services only from licensed suppliers.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Violations of Gaming Laws</w:t>
      </w:r>
    </w:p>
    <w:p>
      <w:pPr>
        <w:spacing w:after="0" w:line="252" w:lineRule="exact"/>
        <w:rPr>
          <w:sz w:val="20"/>
          <w:szCs w:val="20"/>
          <w:color w:val="auto"/>
        </w:rPr>
      </w:pPr>
    </w:p>
    <w:p>
      <w:pPr>
        <w:ind w:right="40" w:firstLine="815"/>
        <w:spacing w:after="0" w:line="255" w:lineRule="auto"/>
        <w:rPr>
          <w:sz w:val="20"/>
          <w:szCs w:val="20"/>
          <w:color w:val="auto"/>
        </w:rPr>
      </w:pPr>
      <w:r>
        <w:rPr>
          <w:rFonts w:ascii="Arial" w:cs="Arial" w:eastAsia="Arial" w:hAnsi="Arial"/>
          <w:sz w:val="18"/>
          <w:szCs w:val="18"/>
          <w:color w:val="auto"/>
        </w:rPr>
        <w:t>If we or our subsidiaries violate applicable gaming laws, our gaming licenses could be limited, conditioned, suspended or revoked by gaming authorities, and we and any other persons involved could be subject to substantial fines. Further, a supervisor or conservator can be appointed by gaming authorities to operate our gaming properties, or in some jurisdictions, take title to our gaming assets in the jurisdiction, and under certain circumstances, earnings generated during such appointment could be forfeited to the applicable state or states. Furthermore, violations of laws in one jurisdiction could result in disciplinary action in other jurisdictions. As a result, violations by us of applicable gaming laws could have a material adverse effect on our gaming operations.</w:t>
      </w:r>
    </w:p>
    <w:p>
      <w:pPr>
        <w:spacing w:after="0" w:line="220" w:lineRule="exact"/>
        <w:rPr>
          <w:sz w:val="20"/>
          <w:szCs w:val="20"/>
          <w:color w:val="auto"/>
        </w:rPr>
      </w:pPr>
    </w:p>
    <w:p>
      <w:pPr>
        <w:ind w:right="320" w:firstLine="815"/>
        <w:spacing w:after="0" w:line="277" w:lineRule="auto"/>
        <w:rPr>
          <w:sz w:val="20"/>
          <w:szCs w:val="20"/>
          <w:color w:val="auto"/>
        </w:rPr>
      </w:pPr>
      <w:r>
        <w:rPr>
          <w:rFonts w:ascii="Arial" w:cs="Arial" w:eastAsia="Arial" w:hAnsi="Arial"/>
          <w:sz w:val="18"/>
          <w:szCs w:val="18"/>
          <w:color w:val="auto"/>
        </w:rPr>
        <w:t>Some gaming jurisdictions prohibit certain types of political activity by a gaming licensee, its officers, directors and key people. A violation of such a prohibition may subject the offender to criminal and/or disciplinary 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and Record-keeping Requirements</w:t>
      </w:r>
    </w:p>
    <w:p>
      <w:pPr>
        <w:spacing w:after="0" w:line="252" w:lineRule="exact"/>
        <w:rPr>
          <w:sz w:val="20"/>
          <w:szCs w:val="20"/>
          <w:color w:val="auto"/>
        </w:rPr>
      </w:pPr>
    </w:p>
    <w:p>
      <w:pPr>
        <w:ind w:right="60" w:firstLine="815"/>
        <w:spacing w:after="0" w:line="293" w:lineRule="auto"/>
        <w:rPr>
          <w:sz w:val="20"/>
          <w:szCs w:val="20"/>
          <w:color w:val="auto"/>
        </w:rPr>
      </w:pPr>
      <w:r>
        <w:rPr>
          <w:rFonts w:ascii="Arial" w:cs="Arial" w:eastAsia="Arial" w:hAnsi="Arial"/>
          <w:sz w:val="16"/>
          <w:szCs w:val="16"/>
          <w:color w:val="auto"/>
        </w:rPr>
        <w:t>We are required periodically to submit detailed financial and operating reports and furnish any other information about us and our subsidiaries which gaming authorities may require. Under federal law, we are required to record and submit detailed reports of currency transactions involving greater than $10,000 at our casinos as well as any suspicious activity that may occur at such facilities. We are required to maintain a current stock ledger which may be examined by gaming authorities at any time. If any securities are held in trust by an agent or by a nominee, the record holder may be required to disclose the identity of the beneficial owner to gaming authorities. A failure to make such disclosure may be grounds for finding the record holder unsuitable. Gaming authorities may require certificates for our securities to bear a legend indicating that the securities are subject to specified gaming laws.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and Approval of Transactions</w:t>
      </w:r>
    </w:p>
    <w:p>
      <w:pPr>
        <w:spacing w:after="0" w:line="252" w:lineRule="exact"/>
        <w:rPr>
          <w:sz w:val="20"/>
          <w:szCs w:val="20"/>
          <w:color w:val="auto"/>
        </w:rPr>
      </w:pPr>
    </w:p>
    <w:p>
      <w:pPr>
        <w:ind w:firstLine="815"/>
        <w:spacing w:after="0" w:line="255" w:lineRule="auto"/>
        <w:rPr>
          <w:sz w:val="20"/>
          <w:szCs w:val="20"/>
          <w:color w:val="auto"/>
        </w:rPr>
      </w:pPr>
      <w:r>
        <w:rPr>
          <w:rFonts w:ascii="Arial" w:cs="Arial" w:eastAsia="Arial" w:hAnsi="Arial"/>
          <w:sz w:val="18"/>
          <w:szCs w:val="18"/>
          <w:color w:val="auto"/>
        </w:rPr>
        <w:t>Substantially all material loans, leases, sales of securities and similar financing transactions by us and our subsidiaries must be reported to and in some cases approved by gaming authorities. Neither we nor any of our subsidiaries may make a public offering of securities without the prior approval of certain gaming authorities. Changes in control through merger, consolidation, stock or asset acquisitions, management or consulting agreements, or otherwise are subject to receipt of prior approval of gaming authorities. Entities seeking to acquire control of us or one of our subsidiaries must satisfy gaming authorities with respect to a variety of stringent standards prior to assuming control. Gaming authorities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216" w:lineRule="exact"/>
        <w:rPr>
          <w:sz w:val="20"/>
          <w:szCs w:val="20"/>
          <w:color w:val="auto"/>
        </w:rPr>
      </w:pPr>
    </w:p>
    <w:p>
      <w:pPr>
        <w:ind w:right="520" w:firstLine="815"/>
        <w:spacing w:after="0" w:line="277" w:lineRule="auto"/>
        <w:rPr>
          <w:sz w:val="20"/>
          <w:szCs w:val="20"/>
          <w:color w:val="auto"/>
        </w:rPr>
      </w:pPr>
      <w:r>
        <w:rPr>
          <w:rFonts w:ascii="Arial" w:cs="Arial" w:eastAsia="Arial" w:hAnsi="Arial"/>
          <w:sz w:val="18"/>
          <w:szCs w:val="18"/>
          <w:color w:val="auto"/>
        </w:rPr>
        <w:t>Because of regulatory restrictions, our ability to grant a security interest in any of our gaming assets is limited and subject to receipt of prior approval by certain gaming authorities.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Fees and Gaming Taxes</w:t>
      </w:r>
    </w:p>
    <w:p>
      <w:pPr>
        <w:spacing w:after="0" w:line="252" w:lineRule="exact"/>
        <w:rPr>
          <w:sz w:val="20"/>
          <w:szCs w:val="20"/>
          <w:color w:val="auto"/>
        </w:rPr>
      </w:pPr>
    </w:p>
    <w:p>
      <w:pPr>
        <w:ind w:right="20" w:firstLine="815"/>
        <w:spacing w:after="0" w:line="312" w:lineRule="auto"/>
        <w:rPr>
          <w:sz w:val="20"/>
          <w:szCs w:val="20"/>
          <w:color w:val="auto"/>
        </w:rPr>
      </w:pPr>
      <w:r>
        <w:rPr>
          <w:rFonts w:ascii="Arial" w:cs="Arial" w:eastAsia="Arial" w:hAnsi="Arial"/>
          <w:sz w:val="16"/>
          <w:szCs w:val="16"/>
          <w:color w:val="auto"/>
        </w:rPr>
        <w:t>We pay substantial license fees and taxes in many jurisdictions, including some of the counties and cities in which our operations are conducted, in connection with our casino gaming operations, computed in various ways depending on the type of gaming or activity involved. Depending upon the particular fee or tax involved, these fees and taxes are payable with varying frequency. License fees and taxes are based upon such factors as:</w:t>
      </w:r>
    </w:p>
    <w:p>
      <w:pPr>
        <w:spacing w:after="0" w:line="174" w:lineRule="exact"/>
        <w:rPr>
          <w:sz w:val="20"/>
          <w:szCs w:val="20"/>
          <w:color w:val="auto"/>
        </w:rPr>
      </w:pPr>
    </w:p>
    <w:p>
      <w:pPr>
        <w:ind w:left="1220" w:hanging="402"/>
        <w:spacing w:after="0"/>
        <w:tabs>
          <w:tab w:leader="none" w:pos="12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percentage of the gross gaming revenues received;</w:t>
      </w:r>
    </w:p>
    <w:p>
      <w:pPr>
        <w:spacing w:after="0" w:line="23" w:lineRule="exact"/>
        <w:rPr>
          <w:rFonts w:ascii="Arial" w:cs="Arial" w:eastAsia="Arial" w:hAnsi="Arial"/>
          <w:sz w:val="18"/>
          <w:szCs w:val="18"/>
          <w:color w:val="auto"/>
        </w:rPr>
      </w:pPr>
    </w:p>
    <w:p>
      <w:pPr>
        <w:ind w:left="1220" w:hanging="402"/>
        <w:spacing w:after="0"/>
        <w:tabs>
          <w:tab w:leader="none" w:pos="12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number of gaming devices and table games operated;</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admission fees for customers boarding our riverboat casinos; and/or</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one time fees payable upon the initial receipt of license and fees in connection with the renewal of license.</w:t>
      </w:r>
    </w:p>
    <w:p>
      <w:pPr>
        <w:spacing w:after="0" w:line="238" w:lineRule="exact"/>
        <w:rPr>
          <w:sz w:val="20"/>
          <w:szCs w:val="20"/>
          <w:color w:val="auto"/>
        </w:rPr>
      </w:pPr>
    </w:p>
    <w:p>
      <w:pPr>
        <w:ind w:right="520" w:firstLine="815"/>
        <w:spacing w:after="0" w:line="308" w:lineRule="auto"/>
        <w:rPr>
          <w:sz w:val="20"/>
          <w:szCs w:val="20"/>
          <w:color w:val="auto"/>
        </w:rPr>
      </w:pPr>
      <w:r>
        <w:rPr>
          <w:rFonts w:ascii="Arial" w:cs="Arial" w:eastAsia="Arial" w:hAnsi="Arial"/>
          <w:sz w:val="17"/>
          <w:szCs w:val="17"/>
          <w:color w:val="auto"/>
        </w:rPr>
        <w:t>In many jurisdictions, gaming tax rates are graduated, such that they increase as gross gaming revenues increase. Furthermore, tax rates are subject to change, sometimes with little notice, and such changes could have a material adverse effect on our gaming operations.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9" w:name="page150"/>
    <w:bookmarkEnd w:id="149"/>
    <w:p>
      <w:pPr>
        <w:ind w:left="820"/>
        <w:spacing w:after="0"/>
        <w:rPr>
          <w:sz w:val="20"/>
          <w:szCs w:val="20"/>
          <w:color w:val="auto"/>
        </w:rPr>
      </w:pPr>
      <w:r>
        <w:rPr>
          <w:rFonts w:ascii="Arial" w:cs="Arial" w:eastAsia="Arial" w:hAnsi="Arial"/>
          <w:sz w:val="18"/>
          <w:szCs w:val="18"/>
          <w:color w:val="auto"/>
        </w:rPr>
        <w:t>In addition to taxes specifically unique to gaming, we are required to pay all other applicable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Requirements</w:t>
      </w:r>
    </w:p>
    <w:p>
      <w:pPr>
        <w:spacing w:after="0" w:line="252" w:lineRule="exact"/>
        <w:rPr>
          <w:sz w:val="20"/>
          <w:szCs w:val="20"/>
          <w:color w:val="auto"/>
        </w:rPr>
      </w:pPr>
    </w:p>
    <w:p>
      <w:pPr>
        <w:ind w:right="60" w:firstLine="815"/>
        <w:spacing w:after="0" w:line="259" w:lineRule="auto"/>
        <w:rPr>
          <w:sz w:val="20"/>
          <w:szCs w:val="20"/>
          <w:color w:val="auto"/>
        </w:rPr>
      </w:pPr>
      <w:r>
        <w:rPr>
          <w:rFonts w:ascii="Arial" w:cs="Arial" w:eastAsia="Arial" w:hAnsi="Arial"/>
          <w:sz w:val="18"/>
          <w:szCs w:val="18"/>
          <w:color w:val="auto"/>
        </w:rPr>
        <w:t>In most jurisdictions, we are subject to certain requirements and restrictions on how we must conduct our gaming operations. In many states, we are required to give preference to local suppliers and include minority and women-owned businesses as well as organized labor in construction projects to the maximum extent practicable as well as in general vendor business activity. Similarly, we may be required to give employment preference to minorities, women and in-state residents in certain jurisdictions.</w:t>
      </w:r>
    </w:p>
    <w:p>
      <w:pPr>
        <w:spacing w:after="0" w:line="214" w:lineRule="exact"/>
        <w:rPr>
          <w:sz w:val="20"/>
          <w:szCs w:val="20"/>
          <w:color w:val="auto"/>
        </w:rPr>
      </w:pPr>
    </w:p>
    <w:p>
      <w:pPr>
        <w:ind w:right="20" w:firstLine="815"/>
        <w:spacing w:after="0" w:line="257" w:lineRule="auto"/>
        <w:rPr>
          <w:sz w:val="20"/>
          <w:szCs w:val="20"/>
          <w:color w:val="auto"/>
        </w:rPr>
      </w:pPr>
      <w:r>
        <w:rPr>
          <w:rFonts w:ascii="Arial" w:cs="Arial" w:eastAsia="Arial" w:hAnsi="Arial"/>
          <w:sz w:val="18"/>
          <w:szCs w:val="18"/>
          <w:color w:val="auto"/>
        </w:rPr>
        <w:t>Some gaming jurisdictions also prohibit a distribution, except to allow for the payment of taxes, if the distribution would impair the financial viability of the gaming operation. Moreover, many jurisdictions require a gaming operation to maintain insurance and post bonds in amounts determined by their gaming authority. In addition, our ability to conduct certain types of games, introduce new games or move existing games within our facilities may be restricted or subject to regulatory review and approval. Some of our operations are subject to restrictions on the number of gaming positions we may have and the maximum wagers allowed to be placed by our customers.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Riverboat Casinos</w:t>
      </w:r>
    </w:p>
    <w:p>
      <w:pPr>
        <w:spacing w:after="0" w:line="252" w:lineRule="exact"/>
        <w:rPr>
          <w:sz w:val="20"/>
          <w:szCs w:val="20"/>
          <w:color w:val="auto"/>
        </w:rPr>
      </w:pPr>
    </w:p>
    <w:p>
      <w:pPr>
        <w:ind w:right="160" w:firstLine="815"/>
        <w:spacing w:after="0" w:line="273" w:lineRule="auto"/>
        <w:rPr>
          <w:sz w:val="20"/>
          <w:szCs w:val="20"/>
          <w:color w:val="auto"/>
        </w:rPr>
      </w:pPr>
      <w:r>
        <w:rPr>
          <w:rFonts w:ascii="Arial" w:cs="Arial" w:eastAsia="Arial" w:hAnsi="Arial"/>
          <w:sz w:val="17"/>
          <w:szCs w:val="17"/>
          <w:color w:val="auto"/>
        </w:rPr>
        <w:t>In addition to all other regulations generally applicable to the gaming industry, certain of our riverboat casinos are also subject to regulations applicable to vessels operating on navigable waterways, including regulations of the U.S. Coast Guard, or alternative inspection requirements. These requirements set limits on the operation of the vessel, mandate that it must be operated by a minimum complement of licensed personnel, establish periodic inspections, including the physical inspection of the outside hull, and establish other mechanical and operations rules. In addition, the riverboat casinos may be subject to future U.S. Coast Guard regulations, or alternative security procedures, designed to increase homeland security which could affect some of our properties and require significant expenditures to bring such properties into compliance.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Racetracks</w:t>
      </w:r>
    </w:p>
    <w:p>
      <w:pPr>
        <w:spacing w:after="0" w:line="252" w:lineRule="exact"/>
        <w:rPr>
          <w:sz w:val="20"/>
          <w:szCs w:val="20"/>
          <w:color w:val="auto"/>
        </w:rPr>
      </w:pPr>
    </w:p>
    <w:p>
      <w:pPr>
        <w:ind w:right="260" w:firstLine="815"/>
        <w:spacing w:after="0" w:line="259" w:lineRule="auto"/>
        <w:rPr>
          <w:sz w:val="20"/>
          <w:szCs w:val="20"/>
          <w:color w:val="auto"/>
        </w:rPr>
      </w:pPr>
      <w:r>
        <w:rPr>
          <w:rFonts w:ascii="Arial" w:cs="Arial" w:eastAsia="Arial" w:hAnsi="Arial"/>
          <w:sz w:val="18"/>
          <w:szCs w:val="18"/>
          <w:color w:val="auto"/>
        </w:rPr>
        <w:t>We conduct horse racing operations at our harness racing track Isle Casino Racing Pompano Park, located in Pompano Beach, Florida, live thoroughbred racing at Presque Isle Downs in Erie, Pennsylvania, live standard bred harness racing at Scioto Downs in the Columbus, Ohio area, and live thoroughbred racing at Mountaineer in the northern tip of West Virginia’s northwestern panhandle. Each of these facilities also offer pari-mutuel wagering and live wagering on races held at other facilities.</w:t>
      </w:r>
    </w:p>
    <w:p>
      <w:pPr>
        <w:spacing w:after="0" w:line="214" w:lineRule="exact"/>
        <w:rPr>
          <w:sz w:val="20"/>
          <w:szCs w:val="20"/>
          <w:color w:val="auto"/>
        </w:rPr>
      </w:pPr>
    </w:p>
    <w:p>
      <w:pPr>
        <w:ind w:firstLine="815"/>
        <w:spacing w:after="0" w:line="279" w:lineRule="auto"/>
        <w:rPr>
          <w:sz w:val="20"/>
          <w:szCs w:val="20"/>
          <w:color w:val="auto"/>
        </w:rPr>
      </w:pPr>
      <w:r>
        <w:rPr>
          <w:rFonts w:ascii="Arial" w:cs="Arial" w:eastAsia="Arial" w:hAnsi="Arial"/>
          <w:sz w:val="17"/>
          <w:szCs w:val="17"/>
          <w:color w:val="auto"/>
        </w:rPr>
        <w:t>We currently operate slot machines at the Pompano Beach racetrack, slot machines and table games at the Presque Isle Downs and Mountaineer racetracks and video lottery terminals at the Scioto Downs racetrack. Generally, our slot and table operations at racetracks are regulated in the same manner as our gaming operations in other jurisdictions. In some jurisdictions, our ability to conduct gaming operations may be conditioned on the maintenance of agreements or certain arrangements with horsemen’s or labor groups or meeting minimum live racing requirements.</w:t>
      </w:r>
    </w:p>
    <w:p>
      <w:pPr>
        <w:spacing w:after="0" w:line="198" w:lineRule="exact"/>
        <w:rPr>
          <w:sz w:val="20"/>
          <w:szCs w:val="20"/>
          <w:color w:val="auto"/>
        </w:rPr>
      </w:pPr>
    </w:p>
    <w:p>
      <w:pPr>
        <w:ind w:right="120" w:firstLine="815"/>
        <w:spacing w:after="0" w:line="297" w:lineRule="auto"/>
        <w:rPr>
          <w:sz w:val="20"/>
          <w:szCs w:val="20"/>
          <w:color w:val="auto"/>
        </w:rPr>
      </w:pPr>
      <w:r>
        <w:rPr>
          <w:rFonts w:ascii="Arial" w:cs="Arial" w:eastAsia="Arial" w:hAnsi="Arial"/>
          <w:sz w:val="16"/>
          <w:szCs w:val="16"/>
          <w:color w:val="auto"/>
        </w:rPr>
        <w:t>Regulations governing our horse, and harness racing operations are, in most jurisdictions, administered separately from the regulations governing gaming operations, with separate licenses and license fee structures. The racing authorities responsible for regulating our racing operations have broad oversight authority, which may include: annually reviewing and granting racing licenses and racing dates; approving the opening and operation of off track wagering facilities; approving simulcasting activities; licensing all officers, directors, racing officials and certain other employees of a racing licensee; and approving certain contracts entered into by a racing licensee affecting racing, pari-mutuel wagering, account wagering and off track wagering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Interactive Business</w:t>
      </w:r>
    </w:p>
    <w:p>
      <w:pPr>
        <w:spacing w:after="0" w:line="252" w:lineRule="exact"/>
        <w:rPr>
          <w:sz w:val="20"/>
          <w:szCs w:val="20"/>
          <w:color w:val="auto"/>
        </w:rPr>
      </w:pPr>
    </w:p>
    <w:p>
      <w:pPr>
        <w:ind w:right="80" w:firstLine="815"/>
        <w:spacing w:after="0" w:line="255" w:lineRule="auto"/>
        <w:rPr>
          <w:sz w:val="20"/>
          <w:szCs w:val="20"/>
          <w:color w:val="auto"/>
        </w:rPr>
      </w:pPr>
      <w:r>
        <w:rPr>
          <w:rFonts w:ascii="Arial" w:cs="Arial" w:eastAsia="Arial" w:hAnsi="Arial"/>
          <w:sz w:val="18"/>
          <w:szCs w:val="18"/>
          <w:color w:val="auto"/>
        </w:rPr>
        <w:t>We are subject to various federal, state and international laws and regulations that affect our interactive business, including those relating to the privacy and security of customer and employee personal information and those relating to the Internet, behavioral tracking, mobile applications, advertising and marketing activities, sweepstakes and contests. Additional laws in all of these areas are likely to be passed in the future, which could result in significant limitations on or changes to the ways in which we can collect, use, host, store or transmit the personal information and data of our customers or employees, communicate with our customers, and deliver products and services, or may significantly increase our compliance costs. As our business expands to include new uses or collection of data that is subject to privacy or security regulations, our compliance requirements and costs will increase and we may be subject to increased regulatory scrutiny.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0" w:name="page151"/>
    <w:bookmarkEnd w:id="150"/>
    <w:p>
      <w:pPr>
        <w:jc w:val="both"/>
        <w:ind w:right="300" w:firstLine="815"/>
        <w:spacing w:after="0" w:line="264" w:lineRule="auto"/>
        <w:rPr>
          <w:sz w:val="20"/>
          <w:szCs w:val="20"/>
          <w:color w:val="auto"/>
        </w:rPr>
      </w:pPr>
      <w:r>
        <w:rPr>
          <w:rFonts w:ascii="Arial" w:cs="Arial" w:eastAsia="Arial" w:hAnsi="Arial"/>
          <w:sz w:val="18"/>
          <w:szCs w:val="18"/>
          <w:color w:val="auto"/>
        </w:rPr>
        <w:t>Some of our social gaming products and features are based upon traditional casino games, such as slots and table games. Although we do not believe these products and features constitute gambling, it is possible that additional laws or regulations may be passed in the future that would restrict or impose additional requirements on our social gaming products and features.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Sports Book Wagering &amp; Online Wagering</w:t>
      </w:r>
    </w:p>
    <w:p>
      <w:pPr>
        <w:spacing w:after="0" w:line="252"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We and our partners are subject to various federal, state and international laws and regulations that affect our sports wagering and online wagering businesses. Additional laws in any of these areas are likely to be passed in the future, which could result in impact to the ways in which we and our partners are able to offer sports wagering and online wagering in jurisdictions that permit such activities.</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sectPr>
      <w:pgSz w:w="11900" w:h="16838" w:orient="portrait"/>
      <w:cols w:equalWidth="0" w:num="1">
        <w:col w:w="11360"/>
      </w:cols>
      <w:pgMar w:left="240" w:top="58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1)"/>
      <w:numFmt w:val="decimal"/>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1)"/>
      <w:numFmt w:val="lowerRoman"/>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1)"/>
      <w:numFmt w:val="decimal"/>
      <w:start w:val="1"/>
    </w:lvl>
    <w:lvl w:ilvl="1">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1)"/>
      <w:numFmt w:val="lowerRoman"/>
      <w:start w:val="1"/>
    </w:lvl>
  </w:abstractNum>
  <w:abstractNum w:abstractNumId="24">
    <w:nsid w:val="32FFF902"/>
    <w:multiLevelType w:val="hybridMultilevel"/>
    <w:lvl w:ilvl="0">
      <w:lvlJc w:val="left"/>
      <w:lvlText w:val="(%1)"/>
      <w:numFmt w:val="lowerLetter"/>
      <w:start w:val="1"/>
    </w:lvl>
  </w:abstractNum>
  <w:abstractNum w:abstractNumId="25">
    <w:nsid w:val="684A481A"/>
    <w:multiLevelType w:val="hybridMultilevel"/>
    <w:lvl w:ilvl="0">
      <w:lvlJc w:val="left"/>
      <w:lvlText w:val="•"/>
      <w:numFmt w:val="bullet"/>
      <w:start w:val="1"/>
    </w:lvl>
    <w:lvl w:ilvl="1">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1)"/>
      <w:numFmt w:val="decimal"/>
      <w:start w:val="1"/>
    </w:lvl>
  </w:abstractNum>
  <w:abstractNum w:abstractNumId="31">
    <w:nsid w:val="75C6C33A"/>
    <w:multiLevelType w:val="hybridMultilevel"/>
    <w:lvl w:ilvl="0">
      <w:lvlJc w:val="left"/>
      <w:lvlText w:val="(%1)"/>
      <w:numFmt w:val="decimal"/>
      <w:start w:val="2"/>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1)"/>
      <w:numFmt w:val="decimal"/>
      <w:start w:val="1"/>
    </w:lvl>
  </w:abstractNum>
  <w:abstractNum w:abstractNumId="36">
    <w:nsid w:val="4F4EF005"/>
    <w:multiLevelType w:val="hybridMultilevel"/>
    <w:lvl w:ilvl="0">
      <w:lvlJc w:val="left"/>
      <w:lvlText w:val="(%1)"/>
      <w:numFmt w:val="decimal"/>
      <w:start w:val="2"/>
    </w:lvl>
  </w:abstractNum>
  <w:abstractNum w:abstractNumId="37">
    <w:nsid w:val="23F9C13C"/>
    <w:multiLevelType w:val="hybridMultilevel"/>
    <w:lvl w:ilvl="0">
      <w:lvlJc w:val="left"/>
      <w:lvlText w:val="(%1)"/>
      <w:numFmt w:val="decimal"/>
      <w:start w:val="3"/>
    </w:lvl>
  </w:abstractNum>
  <w:abstractNum w:abstractNumId="38">
    <w:nsid w:val="649BB77C"/>
    <w:multiLevelType w:val="hybridMultilevel"/>
    <w:lvl w:ilvl="0">
      <w:lvlJc w:val="left"/>
      <w:lvlText w:val="(%1)"/>
      <w:numFmt w:val="decimal"/>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1)"/>
      <w:numFmt w:val="lowerRoman"/>
      <w:start w:val="1"/>
    </w:lvl>
  </w:abstractNum>
  <w:abstractNum w:abstractNumId="44">
    <w:nsid w:val="47398C89"/>
    <w:multiLevelType w:val="hybridMultilevel"/>
    <w:lvl w:ilvl="0">
      <w:lvlJc w:val="left"/>
      <w:lvlText w:val="(%1)"/>
      <w:numFmt w:val="lowerRoman"/>
      <w:start w:val="1"/>
    </w:lvl>
  </w:abstractNum>
  <w:abstractNum w:abstractNumId="45">
    <w:nsid w:val="354FE9F9"/>
    <w:multiLevelType w:val="hybridMultilevel"/>
    <w:lvl w:ilvl="0">
      <w:lvlJc w:val="left"/>
      <w:lvlText w:val="(%1)"/>
      <w:numFmt w:val="decimal"/>
      <w:start w:val="1"/>
    </w:lvl>
  </w:abstractNum>
  <w:abstractNum w:abstractNumId="46">
    <w:nsid w:val="15B5AF5C"/>
    <w:multiLevelType w:val="hybridMultilevel"/>
    <w:lvl w:ilvl="0">
      <w:lvlJc w:val="left"/>
      <w:lvlText w:val="(%1)"/>
      <w:numFmt w:val="decimal"/>
      <w:start w:val="3"/>
    </w:lvl>
  </w:abstractNum>
  <w:abstractNum w:abstractNumId="47">
    <w:nsid w:val="741226BB"/>
    <w:multiLevelType w:val="hybridMultilevel"/>
    <w:lvl w:ilvl="0">
      <w:lvlJc w:val="left"/>
      <w:lvlText w:val="(%1)"/>
      <w:numFmt w:val="lowerRoman"/>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1)"/>
      <w:numFmt w:val="decimal"/>
      <w:start w:val="1"/>
    </w:lvl>
  </w:abstractNum>
  <w:abstractNum w:abstractNumId="53">
    <w:nsid w:val="77AE35EB"/>
    <w:multiLevelType w:val="hybridMultilevel"/>
    <w:lvl w:ilvl="0">
      <w:lvlJc w:val="left"/>
      <w:lvlText w:val="(%1)"/>
      <w:numFmt w:val="decimal"/>
      <w:start w:val="1"/>
    </w:lvl>
  </w:abstractNum>
  <w:abstractNum w:abstractNumId="54">
    <w:nsid w:val="579BE4F1"/>
    <w:multiLevelType w:val="hybridMultilevel"/>
    <w:lvl w:ilvl="0">
      <w:lvlJc w:val="left"/>
      <w:lvlText w:val="(%1)"/>
      <w:numFmt w:val="decimal"/>
      <w:start w:val="1"/>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1)"/>
      <w:numFmt w:val="lowerLetter"/>
      <w:start w:val="1"/>
    </w:lvl>
  </w:abstractNum>
  <w:abstractNum w:abstractNumId="57">
    <w:nsid w:val="2F305DEF"/>
    <w:multiLevelType w:val="hybridMultilevel"/>
    <w:lvl w:ilvl="0">
      <w:lvlJc w:val="left"/>
      <w:lvlText w:val="(%1)"/>
      <w:numFmt w:val="decimal"/>
      <w:start w:val="1"/>
    </w:lvl>
  </w:abstractNum>
  <w:abstractNum w:abstractNumId="58">
    <w:nsid w:val="25A70BF7"/>
    <w:multiLevelType w:val="hybridMultilevel"/>
    <w:lvl w:ilvl="0">
      <w:lvlJc w:val="left"/>
      <w:lvlText w:val="(%1)"/>
      <w:numFmt w:val="decimal"/>
      <w:start w:val="2"/>
    </w:lvl>
  </w:abstractNum>
  <w:abstractNum w:abstractNumId="59">
    <w:nsid w:val="1DBABF00"/>
    <w:multiLevelType w:val="hybridMultilevel"/>
    <w:lvl w:ilvl="0">
      <w:lvlJc w:val="left"/>
      <w:lvlText w:val="(%1)"/>
      <w:numFmt w:val="decimal"/>
      <w:start w:val="1"/>
    </w:lvl>
  </w:abstractNum>
  <w:abstractNum w:abstractNumId="60">
    <w:nsid w:val="4AD084E9"/>
    <w:multiLevelType w:val="hybridMultilevel"/>
    <w:lvl w:ilvl="0">
      <w:lvlJc w:val="left"/>
      <w:lvlText w:val="(%1)"/>
      <w:numFmt w:val="lowerLetter"/>
      <w:start w:val="1"/>
    </w:lvl>
  </w:abstractNum>
  <w:abstractNum w:abstractNumId="61">
    <w:nsid w:val="1F48EAA1"/>
    <w:multiLevelType w:val="hybridMultilevel"/>
    <w:lvl w:ilvl="0">
      <w:lvlJc w:val="left"/>
      <w:lvlText w:val="(%1)"/>
      <w:numFmt w:val="lowerLetter"/>
      <w:start w:val="1"/>
    </w:lvl>
  </w:abstractNum>
  <w:abstractNum w:abstractNumId="62">
    <w:nsid w:val="1381823A"/>
    <w:multiLevelType w:val="hybridMultilevel"/>
    <w:lvl w:ilvl="0">
      <w:lvlJc w:val="left"/>
      <w:lvlText w:val="(%1)"/>
      <w:numFmt w:val="lowerLetter"/>
      <w:start w:val="2"/>
    </w:lvl>
    <w:lvl w:ilvl="1">
      <w:lvlJc w:val="left"/>
      <w:lvlText w:val="(%2)"/>
      <w:numFmt w:val="lowerLetter"/>
      <w:start w:val="9"/>
    </w:lvl>
  </w:abstractNum>
  <w:abstractNum w:abstractNumId="63">
    <w:nsid w:val="5DB70AE5"/>
    <w:multiLevelType w:val="hybridMultilevel"/>
    <w:lvl w:ilvl="0">
      <w:lvlJc w:val="left"/>
      <w:lvlText w:val="%1"/>
      <w:numFmt w:val="lowerLetter"/>
      <w:start w:val="1"/>
    </w:lvl>
    <w:lvl w:ilvl="1">
      <w:lvlJc w:val="left"/>
      <w:lvlText w:val="(%2)"/>
      <w:numFmt w:val="lowerLetter"/>
      <w:start w:val="35"/>
    </w:lvl>
  </w:abstractNum>
  <w:abstractNum w:abstractNumId="64">
    <w:nsid w:val="100F8FCA"/>
    <w:multiLevelType w:val="hybridMultilevel"/>
    <w:lvl w:ilvl="0">
      <w:lvlJc w:val="left"/>
      <w:lvlText w:val="(%1)"/>
      <w:numFmt w:val="lowerLetter"/>
      <w:start w:val="5"/>
    </w:lvl>
    <w:lvl w:ilvl="1">
      <w:lvlJc w:val="left"/>
      <w:lvlText w:val="%2"/>
      <w:numFmt w:val="lowerLetter"/>
      <w:start w:val="1"/>
    </w:lvl>
  </w:abstractNum>
  <w:abstractNum w:abstractNumId="65">
    <w:nsid w:val="6590700B"/>
    <w:multiLevelType w:val="hybridMultilevel"/>
    <w:lvl w:ilvl="0">
      <w:lvlJc w:val="left"/>
      <w:lvlText w:val="(%1)"/>
      <w:numFmt w:val="decimal"/>
      <w:start w:val="1"/>
    </w:lvl>
  </w:abstractNum>
  <w:abstractNum w:abstractNumId="66">
    <w:nsid w:val="15014ACB"/>
    <w:multiLevelType w:val="hybridMultilevel"/>
    <w:lvl w:ilvl="0">
      <w:lvlJc w:val="left"/>
      <w:lvlText w:val="%1."/>
      <w:numFmt w:val="decimal"/>
      <w:start w:val="1"/>
    </w:lvl>
    <w:lvl w:ilvl="1">
      <w:lvlJc w:val="left"/>
      <w:lvlText w:val="(%2)"/>
      <w:numFmt w:val="lowerLetter"/>
      <w:start w:val="1"/>
    </w:lvl>
  </w:abstractNum>
  <w:abstractNum w:abstractNumId="67">
    <w:nsid w:val="5F5E7FD0"/>
    <w:multiLevelType w:val="hybridMultilevel"/>
    <w:lvl w:ilvl="0">
      <w:lvlJc w:val="left"/>
      <w:lvlText w:val="%1."/>
      <w:numFmt w:val="decimal"/>
      <w:start w:val="1"/>
    </w:lvl>
  </w:abstractNum>
  <w:abstractNum w:abstractNumId="68">
    <w:nsid w:val="98A3148"/>
    <w:multiLevelType w:val="hybridMultilevel"/>
    <w:lvl w:ilvl="0">
      <w:lvlJc w:val="left"/>
      <w:lvlText w:val="•"/>
      <w:numFmt w:val="bullet"/>
      <w:start w:val="1"/>
    </w:lvl>
  </w:abstractNum>
  <w:abstractNum w:abstractNumId="69">
    <w:nsid w:val="799D0247"/>
    <w:multiLevelType w:val="hybridMultilevel"/>
    <w:lvl w:ilvl="0">
      <w:lvlJc w:val="left"/>
      <w:lvlText w:val="•"/>
      <w:numFmt w:val="bullet"/>
      <w:start w:val="1"/>
    </w:lvl>
  </w:abstractNum>
  <w:abstractNum w:abstractNumId="70">
    <w:nsid w:val="6B94764"/>
    <w:multiLevelType w:val="hybridMultilevel"/>
    <w:lvl w:ilvl="0">
      <w:lvlJc w:val="left"/>
      <w:lvlText w:val="•"/>
      <w:numFmt w:val="bullet"/>
      <w:start w:val="1"/>
    </w:lvl>
  </w:abstractNum>
  <w:abstractNum w:abstractNumId="71">
    <w:nsid w:val="42C296B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112" Type="http://schemas.openxmlformats.org/officeDocument/2006/relationships/image" Target="media/image76.png"/><Relationship Id="rId113" Type="http://schemas.openxmlformats.org/officeDocument/2006/relationships/image" Target="media/image77.png"/><Relationship Id="rId130" Type="http://schemas.openxmlformats.org/officeDocument/2006/relationships/image" Target="media/image78.png"/><Relationship Id="rId131" Type="http://schemas.openxmlformats.org/officeDocument/2006/relationships/image" Target="media/image79.png"/><Relationship Id="rId149" Type="http://schemas.openxmlformats.org/officeDocument/2006/relationships/image" Target="media/image80.png"/><Relationship Id="rId150" Type="http://schemas.openxmlformats.org/officeDocument/2006/relationships/image" Target="media/image81.png"/><Relationship Id="rId166" Type="http://schemas.openxmlformats.org/officeDocument/2006/relationships/image" Target="media/image82.png"/><Relationship Id="rId167" Type="http://schemas.openxmlformats.org/officeDocument/2006/relationships/image" Target="media/image83.png"/><Relationship Id="rId175" Type="http://schemas.openxmlformats.org/officeDocument/2006/relationships/image" Target="media/image84.png"/><Relationship Id="rId176" Type="http://schemas.openxmlformats.org/officeDocument/2006/relationships/image" Target="media/image85.png"/><Relationship Id="rId177" Type="http://schemas.openxmlformats.org/officeDocument/2006/relationships/image" Target="media/image86.png"/><Relationship Id="rId178" Type="http://schemas.openxmlformats.org/officeDocument/2006/relationships/image" Target="media/image87.png"/><Relationship Id="rId179" Type="http://schemas.openxmlformats.org/officeDocument/2006/relationships/image" Target="media/image88.png"/><Relationship Id="rId180" Type="http://schemas.openxmlformats.org/officeDocument/2006/relationships/image" Target="media/image89.png"/><Relationship Id="rId181" Type="http://schemas.openxmlformats.org/officeDocument/2006/relationships/image" Target="media/image90.png"/><Relationship Id="rId182" Type="http://schemas.openxmlformats.org/officeDocument/2006/relationships/image" Target="media/image91.png"/><Relationship Id="rId183" Type="http://schemas.openxmlformats.org/officeDocument/2006/relationships/image" Target="media/image92.png"/><Relationship Id="rId184" Type="http://schemas.openxmlformats.org/officeDocument/2006/relationships/image" Target="media/image93.png"/><Relationship Id="rId185" Type="http://schemas.openxmlformats.org/officeDocument/2006/relationships/image" Target="media/image94.png"/><Relationship Id="rId186" Type="http://schemas.openxmlformats.org/officeDocument/2006/relationships/image" Target="media/image95.png"/><Relationship Id="rId187" Type="http://schemas.openxmlformats.org/officeDocument/2006/relationships/image" Target="media/image96.png"/><Relationship Id="rId188" Type="http://schemas.openxmlformats.org/officeDocument/2006/relationships/image" Target="media/image97.png"/><Relationship Id="rId189" Type="http://schemas.openxmlformats.org/officeDocument/2006/relationships/image" Target="media/image98.png"/><Relationship Id="rId190" Type="http://schemas.openxmlformats.org/officeDocument/2006/relationships/image" Target="media/image99.png"/><Relationship Id="rId191" Type="http://schemas.openxmlformats.org/officeDocument/2006/relationships/image" Target="media/image100.png"/><Relationship Id="rId192" Type="http://schemas.openxmlformats.org/officeDocument/2006/relationships/image" Target="media/image101.png"/><Relationship Id="rId193" Type="http://schemas.openxmlformats.org/officeDocument/2006/relationships/image" Target="media/image102.png"/><Relationship Id="rId194" Type="http://schemas.openxmlformats.org/officeDocument/2006/relationships/image" Target="media/image103.png"/><Relationship Id="rId195" Type="http://schemas.openxmlformats.org/officeDocument/2006/relationships/image" Target="media/image104.png"/><Relationship Id="rId196" Type="http://schemas.openxmlformats.org/officeDocument/2006/relationships/image" Target="media/image105.png"/><Relationship Id="rId197" Type="http://schemas.openxmlformats.org/officeDocument/2006/relationships/image" Target="media/image106.png"/><Relationship Id="rId198" Type="http://schemas.openxmlformats.org/officeDocument/2006/relationships/image" Target="media/image107.png"/><Relationship Id="rId199" Type="http://schemas.openxmlformats.org/officeDocument/2006/relationships/image" Target="media/image108.png"/><Relationship Id="rId200" Type="http://schemas.openxmlformats.org/officeDocument/2006/relationships/image" Target="media/image109.png"/><Relationship Id="rId201" Type="http://schemas.openxmlformats.org/officeDocument/2006/relationships/image" Target="media/image110.png"/><Relationship Id="rId202" Type="http://schemas.openxmlformats.org/officeDocument/2006/relationships/image" Target="media/image111.png"/><Relationship Id="rId203" Type="http://schemas.openxmlformats.org/officeDocument/2006/relationships/image" Target="media/image112.png"/><Relationship Id="rId204" Type="http://schemas.openxmlformats.org/officeDocument/2006/relationships/image" Target="media/image113.png"/><Relationship Id="rId205" Type="http://schemas.openxmlformats.org/officeDocument/2006/relationships/image" Target="media/image114.png"/><Relationship Id="rId206" Type="http://schemas.openxmlformats.org/officeDocument/2006/relationships/image" Target="media/image115.png"/><Relationship Id="rId207" Type="http://schemas.openxmlformats.org/officeDocument/2006/relationships/image" Target="media/image116.png"/><Relationship Id="rId208" Type="http://schemas.openxmlformats.org/officeDocument/2006/relationships/image" Target="media/image117.png"/><Relationship Id="rId209" Type="http://schemas.openxmlformats.org/officeDocument/2006/relationships/image" Target="media/image118.png"/><Relationship Id="rId210" Type="http://schemas.openxmlformats.org/officeDocument/2006/relationships/image" Target="media/image119.png"/><Relationship Id="rId211" Type="http://schemas.openxmlformats.org/officeDocument/2006/relationships/image" Target="media/image120.png"/><Relationship Id="rId212" Type="http://schemas.openxmlformats.org/officeDocument/2006/relationships/image" Target="media/image121.png"/><Relationship Id="rId213" Type="http://schemas.openxmlformats.org/officeDocument/2006/relationships/image" Target="media/image122.png"/><Relationship Id="rId214" Type="http://schemas.openxmlformats.org/officeDocument/2006/relationships/image" Target="media/image123.png"/><Relationship Id="rId215" Type="http://schemas.openxmlformats.org/officeDocument/2006/relationships/image" Target="media/image124.png"/><Relationship Id="rId216" Type="http://schemas.openxmlformats.org/officeDocument/2006/relationships/image" Target="media/image125.png"/><Relationship Id="rId217" Type="http://schemas.openxmlformats.org/officeDocument/2006/relationships/image" Target="media/image126.png"/><Relationship Id="rId218" Type="http://schemas.openxmlformats.org/officeDocument/2006/relationships/image" Target="media/image127.png"/><Relationship Id="rId219" Type="http://schemas.openxmlformats.org/officeDocument/2006/relationships/image" Target="media/image128.png"/><Relationship Id="rId220" Type="http://schemas.openxmlformats.org/officeDocument/2006/relationships/image" Target="media/image129.png"/><Relationship Id="rId221" Type="http://schemas.openxmlformats.org/officeDocument/2006/relationships/image" Target="media/image130.png"/><Relationship Id="rId222" Type="http://schemas.openxmlformats.org/officeDocument/2006/relationships/image" Target="media/image131.png"/><Relationship Id="rId223" Type="http://schemas.openxmlformats.org/officeDocument/2006/relationships/image" Target="media/image132.png"/><Relationship Id="rId224" Type="http://schemas.openxmlformats.org/officeDocument/2006/relationships/image" Target="media/image133.png"/><Relationship Id="rId225" Type="http://schemas.openxmlformats.org/officeDocument/2006/relationships/image" Target="media/image134.png"/><Relationship Id="rId226" Type="http://schemas.openxmlformats.org/officeDocument/2006/relationships/image" Target="media/image135.png"/><Relationship Id="rId227" Type="http://schemas.openxmlformats.org/officeDocument/2006/relationships/image" Target="media/image136.png"/><Relationship Id="rId228" Type="http://schemas.openxmlformats.org/officeDocument/2006/relationships/image" Target="media/image137.png"/><Relationship Id="rId229" Type="http://schemas.openxmlformats.org/officeDocument/2006/relationships/image" Target="media/image138.png"/><Relationship Id="rId230" Type="http://schemas.openxmlformats.org/officeDocument/2006/relationships/image" Target="media/image139.png"/><Relationship Id="rId231" Type="http://schemas.openxmlformats.org/officeDocument/2006/relationships/image" Target="media/image140.png"/><Relationship Id="rId232" Type="http://schemas.openxmlformats.org/officeDocument/2006/relationships/image" Target="media/image141.png"/><Relationship Id="rId233" Type="http://schemas.openxmlformats.org/officeDocument/2006/relationships/image" Target="media/image142.png"/><Relationship Id="rId234" Type="http://schemas.openxmlformats.org/officeDocument/2006/relationships/image" Target="media/image143.png"/><Relationship Id="rId235" Type="http://schemas.openxmlformats.org/officeDocument/2006/relationships/image" Target="media/image144.png"/><Relationship Id="rId236" Type="http://schemas.openxmlformats.org/officeDocument/2006/relationships/image" Target="media/image145.png"/><Relationship Id="rId237" Type="http://schemas.openxmlformats.org/officeDocument/2006/relationships/image" Target="media/image146.png"/><Relationship Id="rId238" Type="http://schemas.openxmlformats.org/officeDocument/2006/relationships/image" Target="media/image147.png"/><Relationship Id="rId239" Type="http://schemas.openxmlformats.org/officeDocument/2006/relationships/image" Target="media/image148.png"/><Relationship Id="rId240" Type="http://schemas.openxmlformats.org/officeDocument/2006/relationships/image" Target="media/image149.png"/><Relationship Id="rId241" Type="http://schemas.openxmlformats.org/officeDocument/2006/relationships/image" Target="media/image150.png"/><Relationship Id="rId242" Type="http://schemas.openxmlformats.org/officeDocument/2006/relationships/image" Target="media/image151.png"/><Relationship Id="rId243" Type="http://schemas.openxmlformats.org/officeDocument/2006/relationships/image" Target="media/image152.png"/><Relationship Id="rId244" Type="http://schemas.openxmlformats.org/officeDocument/2006/relationships/image" Target="media/image153.png"/><Relationship Id="rId245" Type="http://schemas.openxmlformats.org/officeDocument/2006/relationships/image" Target="media/image154.png"/><Relationship Id="rId246" Type="http://schemas.openxmlformats.org/officeDocument/2006/relationships/image" Target="media/image155.png"/><Relationship Id="rId247" Type="http://schemas.openxmlformats.org/officeDocument/2006/relationships/image" Target="media/image156.png"/><Relationship Id="rId248" Type="http://schemas.openxmlformats.org/officeDocument/2006/relationships/image" Target="media/image157.png"/><Relationship Id="rId249" Type="http://schemas.openxmlformats.org/officeDocument/2006/relationships/image" Target="media/image158.png"/><Relationship Id="rId250" Type="http://schemas.openxmlformats.org/officeDocument/2006/relationships/image" Target="media/image159.png"/><Relationship Id="rId251" Type="http://schemas.openxmlformats.org/officeDocument/2006/relationships/image" Target="media/image160.png"/><Relationship Id="rId252" Type="http://schemas.openxmlformats.org/officeDocument/2006/relationships/image" Target="media/image161.png"/><Relationship Id="rId253" Type="http://schemas.openxmlformats.org/officeDocument/2006/relationships/image" Target="media/image162.png"/><Relationship Id="rId254" Type="http://schemas.openxmlformats.org/officeDocument/2006/relationships/image" Target="media/image163.png"/><Relationship Id="rId255" Type="http://schemas.openxmlformats.org/officeDocument/2006/relationships/image" Target="media/image164.png"/><Relationship Id="rId256" Type="http://schemas.openxmlformats.org/officeDocument/2006/relationships/image" Target="media/image165.png"/><Relationship Id="rId257" Type="http://schemas.openxmlformats.org/officeDocument/2006/relationships/image" Target="media/image166.png"/><Relationship Id="rId258" Type="http://schemas.openxmlformats.org/officeDocument/2006/relationships/image" Target="media/image167.png"/><Relationship Id="rId259" Type="http://schemas.openxmlformats.org/officeDocument/2006/relationships/image" Target="media/image168.png"/><Relationship Id="rId260" Type="http://schemas.openxmlformats.org/officeDocument/2006/relationships/image" Target="media/image169.png"/><Relationship Id="rId261" Type="http://schemas.openxmlformats.org/officeDocument/2006/relationships/image" Target="media/image170.png"/><Relationship Id="rId262" Type="http://schemas.openxmlformats.org/officeDocument/2006/relationships/image" Target="media/image171.png"/><Relationship Id="rId263" Type="http://schemas.openxmlformats.org/officeDocument/2006/relationships/image" Target="media/image172.png"/><Relationship Id="rId264" Type="http://schemas.openxmlformats.org/officeDocument/2006/relationships/image" Target="media/image173.png"/><Relationship Id="rId265" Type="http://schemas.openxmlformats.org/officeDocument/2006/relationships/image" Target="media/image174.png"/><Relationship Id="rId266" Type="http://schemas.openxmlformats.org/officeDocument/2006/relationships/image" Target="media/image175.png"/><Relationship Id="rId267" Type="http://schemas.openxmlformats.org/officeDocument/2006/relationships/image" Target="media/image176.png"/><Relationship Id="rId268" Type="http://schemas.openxmlformats.org/officeDocument/2006/relationships/image" Target="media/image177.png"/><Relationship Id="rId81" Type="http://schemas.openxmlformats.org/officeDocument/2006/relationships/hyperlink" Target="http://www.sec.gov/Archives/edgar/data/1590895/000110465916146062/a16-18683_2ex2d1.htm" TargetMode="External"/><Relationship Id="rId82" Type="http://schemas.openxmlformats.org/officeDocument/2006/relationships/hyperlink" Target="http://www.sec.gov/Archives/edgar/data/1590895/000119312518117700/d565201dex21.htm" TargetMode="External"/><Relationship Id="rId83" Type="http://schemas.openxmlformats.org/officeDocument/2006/relationships/hyperlink" Target="http://www.sec.gov/Archives/edgar/data/1590895/000119312518117704/d565207dex21.htm" TargetMode="External"/><Relationship Id="rId84" Type="http://schemas.openxmlformats.org/officeDocument/2006/relationships/hyperlink" Target="http://www.sec.gov/Archives/edgar/data/1590895/000110465914067189/a14-21021_2ex3d1.htm" TargetMode="External"/><Relationship Id="rId85" Type="http://schemas.openxmlformats.org/officeDocument/2006/relationships/hyperlink" Target="http://www.sec.gov/Archives/edgar/data/1590895/000156459018019805/eri-ex31_407.htm" TargetMode="External"/><Relationship Id="rId86" Type="http://schemas.openxmlformats.org/officeDocument/2006/relationships/hyperlink" Target="http://www.sec.gov/Archives/edgar/data/1590895/000110465914067189/a14-21021_2ex3d2.htm" TargetMode="External"/><Relationship Id="rId87" Type="http://schemas.openxmlformats.org/officeDocument/2006/relationships/hyperlink" Target="http://www.sec.gov/Archives/edgar/data/1590895/000104746914003998/a2219509zex-4_1.htm" TargetMode="External"/><Relationship Id="rId88" Type="http://schemas.openxmlformats.org/officeDocument/2006/relationships/hyperlink" Target="http://www.sec.gov/Archives/edgar/data/1590895/000110465915052820/a15-16141_1ex4d3.htm" TargetMode="External"/><Relationship Id="rId89" Type="http://schemas.openxmlformats.org/officeDocument/2006/relationships/hyperlink" Target="http://www.sec.gov/Archives/edgar/data/87836/000104746916009700/a2227071zex-4_2.htm" TargetMode="External"/><Relationship Id="rId90" Type="http://schemas.openxmlformats.org/officeDocument/2006/relationships/hyperlink" Target="http://www.sec.gov/Archives/edgar/data/87836/000119312517206003/d391294dex44.htm" TargetMode="External"/><Relationship Id="rId91" Type="http://schemas.openxmlformats.org/officeDocument/2006/relationships/hyperlink" Target="http://www.sec.gov/Archives/edgar/data/1590895/000119312517092159/d364482dex41.htm" TargetMode="External"/><Relationship Id="rId92" Type="http://schemas.openxmlformats.org/officeDocument/2006/relationships/hyperlink" Target="http://www.sec.gov/Archives/edgar/data/1590895/000119312517152208/d377572dex42.htm" TargetMode="External"/><Relationship Id="rId93" Type="http://schemas.openxmlformats.org/officeDocument/2006/relationships/hyperlink" Target="http://www.sec.gov/Archives/edgar/data/1590895/000119312518289591/d625611dex43.htm" TargetMode="External"/><Relationship Id="rId94" Type="http://schemas.openxmlformats.org/officeDocument/2006/relationships/hyperlink" Target="http://www.sec.gov/Archives/edgar/data/1590895/000119312517101492/d323067dex41.htm" TargetMode="External"/><Relationship Id="rId97" Type="http://schemas.openxmlformats.org/officeDocument/2006/relationships/hyperlink" Target="http://www.sec.gov/Archives/edgar/data/1590895/000119312517152208/d377572dex41.htm" TargetMode="External"/><Relationship Id="rId98" Type="http://schemas.openxmlformats.org/officeDocument/2006/relationships/hyperlink" Target="http://www.sec.gov/Archives/edgar/data/1590895/000156459018019805/eri-ex42_411.htm" TargetMode="External"/><Relationship Id="rId99" Type="http://schemas.openxmlformats.org/officeDocument/2006/relationships/hyperlink" Target="http://www.sec.gov/Archives/edgar/data/1590895/000119312518289591/d625611dex44.htm" TargetMode="External"/><Relationship Id="rId100" Type="http://schemas.openxmlformats.org/officeDocument/2006/relationships/hyperlink" Target="http://www.sec.gov/Archives/edgar/data/1590895/000119312518278536/d627152dex41.htm" TargetMode="External"/><Relationship Id="rId101" Type="http://schemas.openxmlformats.org/officeDocument/2006/relationships/hyperlink" Target="http://www.sec.gov/Archives/edgar/data/1590895/000119312518289591/d625611dex42.htm" TargetMode="External"/><Relationship Id="rId102" Type="http://schemas.openxmlformats.org/officeDocument/2006/relationships/hyperlink" Target="http://www.sec.gov/Archives/edgar/data/834162/000104746909002769/a2191532zex-10_2.htm" TargetMode="External"/><Relationship Id="rId103" Type="http://schemas.openxmlformats.org/officeDocument/2006/relationships/hyperlink" Target="http://www.sec.gov/Archives/edgar/data/834162/000104746910002312/a2197334zex-10_8.htm" TargetMode="External"/><Relationship Id="rId104" Type="http://schemas.openxmlformats.org/officeDocument/2006/relationships/hyperlink" Target="http://www.sec.gov/Archives/edgar/data/1590895/000119312518016157/d427842dex101.htm" TargetMode="External"/><Relationship Id="rId105" Type="http://schemas.openxmlformats.org/officeDocument/2006/relationships/hyperlink" Target="http://www.sec.gov/Archives/edgar/data/1590895/000119312518289591/d625611dex104.htm" TargetMode="External"/><Relationship Id="rId106" Type="http://schemas.openxmlformats.org/officeDocument/2006/relationships/hyperlink" Target="http://www.sec.gov/Archives/edgar/data/1590895/000119312518016157/d427842dex102.htm" TargetMode="External"/><Relationship Id="rId107" Type="http://schemas.openxmlformats.org/officeDocument/2006/relationships/hyperlink" Target="http://www.sec.gov/Archives/edgar/data/1590895/000119312518289591/d625611dex103.htm" TargetMode="External"/><Relationship Id="rId108" Type="http://schemas.openxmlformats.org/officeDocument/2006/relationships/hyperlink" Target="http://www.sec.gov/Archives/edgar/data/1590895/000119312518016157/d427842dex103.htm" TargetMode="External"/><Relationship Id="rId109" Type="http://schemas.openxmlformats.org/officeDocument/2006/relationships/hyperlink" Target="http://www.sec.gov/Archives/edgar/data/1590895/000119312518289591/d625611dex105.htm" TargetMode="External"/><Relationship Id="rId110" Type="http://schemas.openxmlformats.org/officeDocument/2006/relationships/hyperlink" Target="http://www.sec.gov/Archives/edgar/data/1590895/000156459018003554/eri-ex107_425.htm" TargetMode="External"/><Relationship Id="rId111" Type="http://schemas.openxmlformats.org/officeDocument/2006/relationships/hyperlink" Target="http://www.sec.gov/Archives/edgar/data/834162/000104746910007224/a2199727zex-10_4.htm" TargetMode="External"/><Relationship Id="rId114" Type="http://schemas.openxmlformats.org/officeDocument/2006/relationships/hyperlink" Target="http://www.sec.gov/Archives/edgar/data/834162/000110465911004792/a11-5216_1ex10d1.htm" TargetMode="External"/><Relationship Id="rId115" Type="http://schemas.openxmlformats.org/officeDocument/2006/relationships/hyperlink" Target="http://www.sec.gov/Archives/edgar/data/1590895/000110465915025712/a15-8470_1ex4d3.htm" TargetMode="External"/><Relationship Id="rId116" Type="http://schemas.openxmlformats.org/officeDocument/2006/relationships/hyperlink" Target="http://www.sec.gov/Archives/edgar/data/1590895/000104746915006100/a2225323zex-10_28.htm" TargetMode="External"/><Relationship Id="rId117" Type="http://schemas.openxmlformats.org/officeDocument/2006/relationships/hyperlink" Target="http://www.sec.gov/Archives/edgar/data/1590895/000104746915006100/a2225323zex-10_29.htm" TargetMode="External"/><Relationship Id="rId118" Type="http://schemas.openxmlformats.org/officeDocument/2006/relationships/hyperlink" Target="http://www.sec.gov/Archives/edgar/data/1590895/000104746915002278/a2223636zex-10_17.htm" TargetMode="External"/><Relationship Id="rId119" Type="http://schemas.openxmlformats.org/officeDocument/2006/relationships/hyperlink" Target="http://www.sec.gov/Archives/edgar/data/1590895/000104746915002278/a2223636zex-10_18.htm" TargetMode="External"/><Relationship Id="rId120" Type="http://schemas.openxmlformats.org/officeDocument/2006/relationships/hyperlink" Target="http://www.sec.gov/Archives/edgar/data/1590895/000104746915002278/a2223636zex-10_19.htm" TargetMode="External"/><Relationship Id="rId121" Type="http://schemas.openxmlformats.org/officeDocument/2006/relationships/hyperlink" Target="http://www.sec.gov/Archives/edgar/data/1590895/000104746915002278/a2223636zex-10_20.htm" TargetMode="External"/><Relationship Id="rId122" Type="http://schemas.openxmlformats.org/officeDocument/2006/relationships/hyperlink" Target="http://www.sec.gov/Archives/edgar/data/1590895/000104746915002278/a2223636zex-10_21.htm" TargetMode="External"/><Relationship Id="rId123" Type="http://schemas.openxmlformats.org/officeDocument/2006/relationships/hyperlink" Target="http://www.sec.gov/Archives/edgar/data/1590895/000104746915002278/a2223636zex-10_22.htm" TargetMode="External"/><Relationship Id="rId124" Type="http://schemas.openxmlformats.org/officeDocument/2006/relationships/hyperlink" Target="http://www.sec.gov/Archives/edgar/data/1590895/000104746915002278/a2223636zex-10_23.htm" TargetMode="External"/><Relationship Id="rId125" Type="http://schemas.openxmlformats.org/officeDocument/2006/relationships/hyperlink" Target="http://www.sec.gov/Archives/edgar/data/1590895/000104746915002278/a2223636zex-10_24.htm" TargetMode="External"/><Relationship Id="rId126" Type="http://schemas.openxmlformats.org/officeDocument/2006/relationships/hyperlink" Target="http://www.sec.gov/Archives/edgar/data/1590895/000104746915002278/a2223636zex-10_25.htm" TargetMode="External"/><Relationship Id="rId127" Type="http://schemas.openxmlformats.org/officeDocument/2006/relationships/hyperlink" Target="http://www.sec.gov/Archives/edgar/data/1590895/000119312517125939/d304079dex101.htm" TargetMode="External"/><Relationship Id="rId128" Type="http://schemas.openxmlformats.org/officeDocument/2006/relationships/hyperlink" Target="http://www.sec.gov/Archives/edgar/data/1590895/000119312517152208/d377572dex43.htm" TargetMode="External"/><Relationship Id="rId129" Type="http://schemas.openxmlformats.org/officeDocument/2006/relationships/hyperlink" Target="http://www.sec.gov/Archives/edgar/data/1590895/000119312517152208/d377572dex44.htm" TargetMode="External"/><Relationship Id="rId132" Type="http://schemas.openxmlformats.org/officeDocument/2006/relationships/hyperlink" Target="http://www.sec.gov/Archives/edgar/data/1590895/000156459017022182/eri-ex101_491.htm" TargetMode="External"/><Relationship Id="rId133" Type="http://schemas.openxmlformats.org/officeDocument/2006/relationships/hyperlink" Target="http://www.sec.gov/Archives/edgar/data/1590895/000156459018019805/eri-ex101_55.htm" TargetMode="External"/><Relationship Id="rId134" Type="http://schemas.openxmlformats.org/officeDocument/2006/relationships/hyperlink" Target="http://www.sec.gov/Archives/edgar/data/1590895/000119312518289591/d625611dex102.htm" TargetMode="External"/><Relationship Id="rId135" Type="http://schemas.openxmlformats.org/officeDocument/2006/relationships/hyperlink" Target="http://www.sec.gov/Archives/edgar/data/1590895/000119312518289591/d625611dex41.htm" TargetMode="External"/><Relationship Id="rId136" Type="http://schemas.openxmlformats.org/officeDocument/2006/relationships/hyperlink" Target="http://www.sec.gov/Archives/edgar/data/1590895/000119312518289591/d625611dex101.htm" TargetMode="External"/><Relationship Id="rId137" Type="http://schemas.openxmlformats.org/officeDocument/2006/relationships/hyperlink" Target="http://www.sec.gov/Archives/edgar/data/1590895/000119312517152208/d377572dex45.htm" TargetMode="External"/><Relationship Id="rId138" Type="http://schemas.openxmlformats.org/officeDocument/2006/relationships/hyperlink" Target="http://www.sec.gov/Archives/edgar/data/863015/000110465915070112/a15-20934_1ex10d1.htm" TargetMode="External"/><Relationship Id="rId139" Type="http://schemas.openxmlformats.org/officeDocument/2006/relationships/hyperlink" Target="http://www.sec.gov/Archives/edgar/data/863015/000104746915005507/a2225088zex-10_27.htm" TargetMode="External"/><Relationship Id="rId140" Type="http://schemas.openxmlformats.org/officeDocument/2006/relationships/hyperlink" Target="http://www.sec.gov/Archives/edgar/data/863015/000104746915005507/a2225088zex-10_28.htm" TargetMode="External"/><Relationship Id="rId141" Type="http://schemas.openxmlformats.org/officeDocument/2006/relationships/hyperlink" Target="http://www.sec.gov/Archives/edgar/data/863015/000104746915005507/a2225088zex-10_29.htm" TargetMode="External"/><Relationship Id="rId142" Type="http://schemas.openxmlformats.org/officeDocument/2006/relationships/hyperlink" Target="http://www.sec.gov/Archives/edgar/data/863015/000089924399001470/0000899243-99-001470.txt" TargetMode="External"/><Relationship Id="rId143" Type="http://schemas.openxmlformats.org/officeDocument/2006/relationships/hyperlink" Target="http://www.sec.gov/Archives/edgar/data/863015/000095013102002417/dex1014.txt" TargetMode="External"/><Relationship Id="rId144" Type="http://schemas.openxmlformats.org/officeDocument/2006/relationships/hyperlink" Target="http://www.sec.gov/Archives/edgar/data/863015/000086301500000024/0000863015-00-000024-0002.txt" TargetMode="External"/><Relationship Id="rId145" Type="http://schemas.openxmlformats.org/officeDocument/2006/relationships/hyperlink" Target="http://www.sec.gov/Archives/edgar/data/863015/000086301500000024/0000863015-00-000024-0003.txt" TargetMode="External"/><Relationship Id="rId146" Type="http://schemas.openxmlformats.org/officeDocument/2006/relationships/hyperlink" Target="http://www.sec.gov/Archives/edgar/data/863015/000110465908045272/a08-17534_3ex10d40.htm" TargetMode="External"/><Relationship Id="rId147" Type="http://schemas.openxmlformats.org/officeDocument/2006/relationships/hyperlink" Target="http://www.sec.gov/Archives/edgar/data/863015/000110465908045272/a08-17534_3ex10d41.htm" TargetMode="External"/><Relationship Id="rId148" Type="http://schemas.openxmlformats.org/officeDocument/2006/relationships/hyperlink" Target="http://www.sec.gov/Archives/edgar/data/863015/000110465908045272/a08-17534_3ex10d42.htm" TargetMode="External"/><Relationship Id="rId151" Type="http://schemas.openxmlformats.org/officeDocument/2006/relationships/hyperlink" Target="http://www.sec.gov/Archives/edgar/data/863015/000110465908045272/a08-17534_3ex10d43.htm" TargetMode="External"/><Relationship Id="rId152" Type="http://schemas.openxmlformats.org/officeDocument/2006/relationships/hyperlink" Target="http://www.sec.gov/Archives/edgar/data/863015/000104746909006505/a2193533zex-10_44.htm" TargetMode="External"/><Relationship Id="rId153" Type="http://schemas.openxmlformats.org/officeDocument/2006/relationships/hyperlink" Target="http://www.sec.gov/Archives/edgar/data/863015/000104746909006505/a2193533zex-10_45.htm" TargetMode="External"/><Relationship Id="rId154" Type="http://schemas.openxmlformats.org/officeDocument/2006/relationships/hyperlink" Target="http://www.sec.gov/Archives/edgar/data/863015/000104746909006505/a2193533zex-10_46.htm" TargetMode="External"/><Relationship Id="rId155" Type="http://schemas.openxmlformats.org/officeDocument/2006/relationships/hyperlink" Target="http://www.sec.gov/Archives/edgar/data/863015/000110465908045272/a08-17534_3ex10d44.htm" TargetMode="External"/><Relationship Id="rId156" Type="http://schemas.openxmlformats.org/officeDocument/2006/relationships/hyperlink" Target="http://www.sec.gov/Archives/edgar/data/863015/000110465908045272/a08-17534_3ex10d45.htm" TargetMode="External"/><Relationship Id="rId157" Type="http://schemas.openxmlformats.org/officeDocument/2006/relationships/hyperlink" Target="http://www.sec.gov/Archives/edgar/data/863015/000110465908045272/a08-17534_3ex10d46.htm" TargetMode="External"/><Relationship Id="rId158" Type="http://schemas.openxmlformats.org/officeDocument/2006/relationships/hyperlink" Target="http://www.sec.gov/Archives/edgar/data/863015/000110465908045272/a08-17534_3ex10d47.htm" TargetMode="External"/><Relationship Id="rId159" Type="http://schemas.openxmlformats.org/officeDocument/2006/relationships/hyperlink" Target="http://www.sec.gov/Archives/edgar/data/863015/000110465908045272/a08-17534_3ex10d48.htm" TargetMode="External"/><Relationship Id="rId160" Type="http://schemas.openxmlformats.org/officeDocument/2006/relationships/hyperlink" Target="http://www.sec.gov/Archives/edgar/data/863015/000104746914005795/a2220481zex-10_49.htm" TargetMode="External"/><Relationship Id="rId161" Type="http://schemas.openxmlformats.org/officeDocument/2006/relationships/hyperlink" Target="http://www.sec.gov/Archives/edgar/data/863015/000110465910061085/a10-22055_2ex10d2.htm" TargetMode="External"/><Relationship Id="rId162" Type="http://schemas.openxmlformats.org/officeDocument/2006/relationships/hyperlink" Target="http://www.sec.gov/Archives/edgar/data/863015/000104746914005795/a2220481zex-10_51.htm" TargetMode="External"/><Relationship Id="rId163" Type="http://schemas.openxmlformats.org/officeDocument/2006/relationships/hyperlink" Target="http://www.sec.gov/Archives/edgar/data/863015/000104746914005795/a2220481zex-10_53.htm" TargetMode="External"/><Relationship Id="rId164" Type="http://schemas.openxmlformats.org/officeDocument/2006/relationships/hyperlink" Target="http://www.sec.gov/Archives/edgar/data/863015/000104746914005795/a2220481zex-10_54.htm" TargetMode="External"/><Relationship Id="rId165" Type="http://schemas.openxmlformats.org/officeDocument/2006/relationships/hyperlink" Target="http://www.sec.gov/Archives/edgar/data/863015/000104746914005795/a2220481zex-10_55.htm" TargetMode="External"/><Relationship Id="rId168" Type="http://schemas.openxmlformats.org/officeDocument/2006/relationships/hyperlink" Target="http://www.sec.gov/Archives/edgar/data/863015/000104746914005795/a2220481zex-10_56.htm" TargetMode="External"/><Relationship Id="rId169" Type="http://schemas.openxmlformats.org/officeDocument/2006/relationships/hyperlink" Target="http://www.sec.gov/Archives/edgar/data/863015/000104746915005507/a2225088zex-10_62.htm" TargetMode="External"/><Relationship Id="rId170" Type="http://schemas.openxmlformats.org/officeDocument/2006/relationships/hyperlink" Target="http://www.sec.gov/Archives/edgar/data/1476246/000110465910013715/a10-5254_1ex10d20.htm" TargetMode="External"/><Relationship Id="rId171" Type="http://schemas.openxmlformats.org/officeDocument/2006/relationships/hyperlink" Target="http://www.sec.gov/Archives/edgar/data/1476246/000110465910013715/a10-5254_1ex10d20a.htm" TargetMode="External"/><Relationship Id="rId172" Type="http://schemas.openxmlformats.org/officeDocument/2006/relationships/hyperlink" Target="http://www.sec.gov/Archives/edgar/data/1476246/000110465910013715/a10-5254_1ex10d20b.htm" TargetMode="External"/><Relationship Id="rId173" Type="http://schemas.openxmlformats.org/officeDocument/2006/relationships/hyperlink" Target="http://www.sec.gov/Archives/edgar/data/1476246/000110465910045371/a10-13083_1ex10d1.htm" TargetMode="External"/><Relationship Id="rId174" Type="http://schemas.openxmlformats.org/officeDocument/2006/relationships/hyperlink" Target="http://www.sec.gov/Archives/edgar/data/1476246/000147624614000009/a2014-09x3010q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2020-01-09T14:36:43Z</dcterms:created>
  <dcterms:modified xsi:type="dcterms:W3CDTF">2020-01-09T14:36:43Z</dcterms:modified>
</cp:coreProperties>
</file>