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860425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5" w:lineRule="exact"/>
        <w:rPr>
          <w:sz w:val="24"/>
          <w:szCs w:val="24"/>
          <w:color w:val="auto"/>
        </w:rPr>
      </w:pPr>
    </w:p>
    <w:p>
      <w:pPr>
        <w:ind w:left="400" w:right="700" w:hanging="374"/>
        <w:spacing w:after="0" w:line="233" w:lineRule="auto"/>
        <w:tabs>
          <w:tab w:leader="none" w:pos="40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400" w:right="680" w:hanging="374"/>
        <w:spacing w:after="0" w:line="233" w:lineRule="auto"/>
        <w:tabs>
          <w:tab w:leader="none" w:pos="400" w:val="left"/>
        </w:tabs>
        <w:numPr>
          <w:ilvl w:val="0"/>
          <w:numId w:val="2"/>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9" w:lineRule="exact"/>
        <w:rPr>
          <w:sz w:val="24"/>
          <w:szCs w:val="24"/>
          <w:color w:val="auto"/>
        </w:rPr>
      </w:pPr>
    </w:p>
    <w:p>
      <w:pPr>
        <w:ind w:left="364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w:t>
      </w:r>
      <w:r>
        <w:rPr>
          <w:rFonts w:ascii="Arial" w:cs="Arial" w:eastAsia="Arial" w:hAnsi="Arial"/>
          <w:sz w:val="16"/>
          <w:szCs w:val="16"/>
          <w:color w:val="auto"/>
        </w:rPr>
        <w:t>-</w:t>
      </w:r>
      <w:r>
        <w:rPr>
          <w:rFonts w:ascii="Times New Roman" w:cs="Times New Roman" w:eastAsia="Times New Roman" w:hAnsi="Times New Roman"/>
          <w:sz w:val="18"/>
          <w:szCs w:val="18"/>
          <w:b w:val="1"/>
          <w:bCs w:val="1"/>
          <w:color w:val="auto"/>
        </w:rPr>
        <w:t>36629</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CAESARS ENTERTAINMENT,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0" w:lineRule="exact"/>
        <w:rPr>
          <w:sz w:val="24"/>
          <w:szCs w:val="24"/>
          <w:color w:val="auto"/>
        </w:rPr>
      </w:pPr>
    </w:p>
    <w:tbl>
      <w:tblPr>
        <w:tblLayout w:type="fixed"/>
        <w:tblInd w:w="1860" w:type="dxa"/>
        <w:tblCellMar>
          <w:top w:w="0" w:type="dxa"/>
          <w:left w:w="0" w:type="dxa"/>
          <w:bottom w:w="0" w:type="dxa"/>
          <w:right w:w="0" w:type="dxa"/>
        </w:tblCellMar>
      </w:tblPr>
      <w:tr>
        <w:trPr>
          <w:trHeight w:val="227"/>
        </w:trPr>
        <w:tc>
          <w:tcPr>
            <w:tcW w:w="3920" w:type="dxa"/>
            <w:vAlign w:val="bottom"/>
          </w:tcPr>
          <w:p>
            <w:pPr>
              <w:jc w:val="center"/>
              <w:ind w:right="19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80" w:type="dxa"/>
            <w:vAlign w:val="bottom"/>
          </w:tcPr>
          <w:p>
            <w:pPr>
              <w:jc w:val="center"/>
              <w:ind w:left="1982"/>
              <w:spacing w:after="0"/>
              <w:rPr>
                <w:sz w:val="20"/>
                <w:szCs w:val="20"/>
                <w:color w:val="auto"/>
              </w:rPr>
            </w:pPr>
            <w:r>
              <w:rPr>
                <w:rFonts w:ascii="Times New Roman" w:cs="Times New Roman" w:eastAsia="Times New Roman" w:hAnsi="Times New Roman"/>
                <w:sz w:val="18"/>
                <w:szCs w:val="18"/>
                <w:b w:val="1"/>
                <w:bCs w:val="1"/>
                <w:color w:val="auto"/>
              </w:rPr>
              <w:t>46-3657681</w:t>
            </w:r>
          </w:p>
        </w:tc>
      </w:tr>
      <w:tr>
        <w:trPr>
          <w:trHeight w:val="146"/>
        </w:trPr>
        <w:tc>
          <w:tcPr>
            <w:tcW w:w="3920" w:type="dxa"/>
            <w:vAlign w:val="bottom"/>
          </w:tcPr>
          <w:p>
            <w:pPr>
              <w:jc w:val="center"/>
              <w:ind w:right="196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80" w:type="dxa"/>
            <w:vAlign w:val="bottom"/>
          </w:tcPr>
          <w:p>
            <w:pPr>
              <w:jc w:val="center"/>
              <w:ind w:left="198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20" w:type="dxa"/>
            <w:vAlign w:val="bottom"/>
          </w:tcPr>
          <w:p>
            <w:pPr>
              <w:jc w:val="center"/>
              <w:ind w:right="196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80" w:type="dxa"/>
            <w:vAlign w:val="bottom"/>
          </w:tcPr>
          <w:p>
            <w:pPr>
              <w:jc w:val="center"/>
              <w:ind w:left="19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West Liberty Street, 12th Floor, Reno, Nevada 89501</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and zip code of principal executive offices)</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(775) 328-0100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3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00" w:lineRule="exact"/>
        <w:rPr>
          <w:sz w:val="24"/>
          <w:szCs w:val="24"/>
          <w:color w:val="auto"/>
        </w:rPr>
      </w:pPr>
    </w:p>
    <w:tbl>
      <w:tblPr>
        <w:tblLayout w:type="fixed"/>
        <w:tblInd w:w="1000" w:type="dxa"/>
        <w:tblCellMar>
          <w:top w:w="0" w:type="dxa"/>
          <w:left w:w="0" w:type="dxa"/>
          <w:bottom w:w="0" w:type="dxa"/>
          <w:right w:w="0" w:type="dxa"/>
        </w:tblCellMar>
      </w:tblPr>
      <w:tr>
        <w:trPr>
          <w:trHeight w:val="190"/>
        </w:trPr>
        <w:tc>
          <w:tcPr>
            <w:tcW w:w="68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400" w:type="dxa"/>
            <w:vAlign w:val="bottom"/>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20" w:type="dxa"/>
            <w:vAlign w:val="bottom"/>
          </w:tcPr>
          <w:p>
            <w:pPr>
              <w:spacing w:after="0"/>
              <w:rPr>
                <w:sz w:val="16"/>
                <w:szCs w:val="16"/>
                <w:color w:val="auto"/>
              </w:rPr>
            </w:pPr>
          </w:p>
        </w:tc>
      </w:tr>
      <w:tr>
        <w:trPr>
          <w:trHeight w:val="20"/>
        </w:trPr>
        <w:tc>
          <w:tcPr>
            <w:tcW w:w="3980" w:type="dxa"/>
            <w:vAlign w:val="bottom"/>
            <w:gridSpan w:val="3"/>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3980" w:type="dxa"/>
            <w:vAlign w:val="bottom"/>
            <w:gridSpan w:val="3"/>
          </w:tcPr>
          <w:p>
            <w:pPr>
              <w:jc w:val="center"/>
              <w:ind w:right="1520"/>
              <w:spacing w:after="0"/>
              <w:rPr>
                <w:sz w:val="20"/>
                <w:szCs w:val="20"/>
                <w:color w:val="auto"/>
              </w:rPr>
            </w:pPr>
            <w:r>
              <w:rPr>
                <w:rFonts w:ascii="Times New Roman" w:cs="Times New Roman" w:eastAsia="Times New Roman" w:hAnsi="Times New Roman"/>
                <w:sz w:val="16"/>
                <w:szCs w:val="16"/>
                <w:b w:val="1"/>
                <w:bCs w:val="1"/>
                <w:color w:val="auto"/>
              </w:rPr>
              <w:t>Common Stock, $0.00001 par value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CZR</w:t>
            </w:r>
          </w:p>
        </w:tc>
        <w:tc>
          <w:tcPr>
            <w:tcW w:w="1400" w:type="dxa"/>
            <w:vAlign w:val="bottom"/>
          </w:tcPr>
          <w:p>
            <w:pPr>
              <w:spacing w:after="0"/>
              <w:rPr>
                <w:sz w:val="18"/>
                <w:szCs w:val="18"/>
                <w:color w:val="auto"/>
              </w:rPr>
            </w:pPr>
          </w:p>
        </w:tc>
        <w:tc>
          <w:tcPr>
            <w:tcW w:w="27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NASDAQ Stock Market</w:t>
            </w:r>
          </w:p>
        </w:tc>
      </w:tr>
    </w:tbl>
    <w:p>
      <w:pPr>
        <w:spacing w:after="0" w:line="82" w:lineRule="exact"/>
        <w:rPr>
          <w:sz w:val="24"/>
          <w:szCs w:val="24"/>
          <w:color w:val="auto"/>
        </w:rPr>
      </w:pPr>
    </w:p>
    <w:p>
      <w:pPr>
        <w:jc w:val="both"/>
        <w:ind w:firstLine="81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810"/>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jc w:val="both"/>
        <w:ind w:firstLine="81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Accelerated filer</w:t>
            </w:r>
          </w:p>
        </w:tc>
        <w:tc>
          <w:tcPr>
            <w:tcW w:w="140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0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75" w:lineRule="exact"/>
        <w:rPr>
          <w:sz w:val="24"/>
          <w:szCs w:val="24"/>
          <w:color w:val="auto"/>
        </w:rPr>
      </w:pPr>
    </w:p>
    <w:p>
      <w:pPr>
        <w:ind w:firstLine="810"/>
        <w:spacing w:after="0" w:line="236" w:lineRule="exact"/>
        <w:rPr>
          <w:sz w:val="20"/>
          <w:szCs w:val="20"/>
          <w:color w:val="auto"/>
        </w:rPr>
      </w:pPr>
      <w:r>
        <w:rPr>
          <w:rFonts w:ascii="Times New Roman" w:cs="Times New Roman" w:eastAsia="Times New Roman" w:hAnsi="Times New Roman"/>
          <w:sz w:val="16"/>
          <w:szCs w:val="16"/>
          <w:color w:val="auto"/>
        </w:rPr>
        <w:t xml:space="preserve">If </w:t>
      </w:r>
      <w:r>
        <w:rPr>
          <w:rFonts w:ascii="Times New Roman" w:cs="Times New Roman" w:eastAsia="Times New Roman" w:hAnsi="Times New Roman"/>
          <w:sz w:val="17"/>
          <w:szCs w:val="17"/>
          <w:color w:val="auto"/>
        </w:rPr>
        <w:t>an emerging growth company, indicate by check mark if the registrant has elected not to use the extended transition period for complying with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 xml:space="preserve">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left="820"/>
        <w:spacing w:after="0" w:line="207" w:lineRule="exact"/>
        <w:tabs>
          <w:tab w:leader="none" w:pos="9140" w:val="left"/>
          <w:tab w:leader="none" w:pos="98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42"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7"/>
          <w:szCs w:val="17"/>
          <w:color w:val="auto"/>
        </w:rPr>
        <w:t>number of shares of the Registrant’s Common Stock, $0.00001 par value per share, outstanding as of April 25, 2024 was 216,415,536.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46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46"/>
        </w:trPr>
        <w:tc>
          <w:tcPr>
            <w:tcW w:w="2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0000FF"/>
            </w:tcBorders>
            <w:gridSpan w:val="10"/>
            <w:shd w:val="clear" w:color="auto" w:fill="CCEEFF"/>
          </w:tcPr>
          <w:p>
            <w:pPr>
              <w:spacing w:after="0" w:line="199" w:lineRule="exact"/>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6740" w:type="dxa"/>
            <w:vAlign w:val="bottom"/>
            <w:tcBorders>
              <w:bottom w:val="single" w:sz="8" w:color="CCEEFF"/>
            </w:tcBorders>
            <w:gridSpan w:val="12"/>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0000FF"/>
                <w:w w:val="88"/>
              </w:rPr>
              <w:t>2</w:t>
            </w:r>
          </w:p>
        </w:tc>
      </w:tr>
      <w:tr>
        <w:trPr>
          <w:trHeight w:val="203"/>
        </w:trPr>
        <w:tc>
          <w:tcPr>
            <w:tcW w:w="20" w:type="dxa"/>
            <w:vAlign w:val="bottom"/>
          </w:tcPr>
          <w:p>
            <w:pPr>
              <w:spacing w:after="0"/>
              <w:rPr>
                <w:sz w:val="17"/>
                <w:szCs w:val="17"/>
                <w:color w:val="auto"/>
              </w:rPr>
            </w:pPr>
          </w:p>
        </w:tc>
        <w:tc>
          <w:tcPr>
            <w:tcW w:w="9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FF"/>
              </w:rPr>
              <w:t>Item 1.</w:t>
            </w:r>
          </w:p>
        </w:tc>
        <w:tc>
          <w:tcPr>
            <w:tcW w:w="892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FF"/>
              </w:rPr>
              <w:t>Unaudited Financial Statements</w:t>
            </w:r>
          </w:p>
        </w:tc>
        <w:tc>
          <w:tcPr>
            <w:tcW w:w="14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0000FF"/>
                <w:w w:val="88"/>
              </w:rPr>
              <w:t>2</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700" w:type="dxa"/>
            <w:vAlign w:val="bottom"/>
            <w:gridSpan w:val="1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Consolidated Condensed Balance Sheets</w:t>
            </w:r>
          </w:p>
        </w:tc>
        <w:tc>
          <w:tcPr>
            <w:tcW w:w="14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88"/>
              </w:rPr>
              <w:t>2</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gridSpan w:val="19"/>
          </w:tcPr>
          <w:p>
            <w:pPr>
              <w:spacing w:after="0" w:line="202" w:lineRule="exact"/>
              <w:rPr>
                <w:sz w:val="20"/>
                <w:szCs w:val="20"/>
                <w:color w:val="auto"/>
              </w:rPr>
            </w:pPr>
            <w:r>
              <w:rPr>
                <w:rFonts w:ascii="Times New Roman" w:cs="Times New Roman" w:eastAsia="Times New Roman" w:hAnsi="Times New Roman"/>
                <w:sz w:val="18"/>
                <w:szCs w:val="18"/>
                <w:color w:val="0000FF"/>
              </w:rPr>
              <w:t>Consolidated Condensed Statements of Operations</w:t>
            </w:r>
          </w:p>
        </w:tc>
        <w:tc>
          <w:tcPr>
            <w:tcW w:w="14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0000FF"/>
                <w:w w:val="88"/>
              </w:rPr>
              <w:t>3</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0000FF"/>
            </w:tcBorders>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Consolidated Condensed Statements of Comprehensive Income (Loss)</w:t>
            </w:r>
          </w:p>
        </w:tc>
        <w:tc>
          <w:tcPr>
            <w:tcW w:w="3620" w:type="dxa"/>
            <w:vAlign w:val="bottom"/>
            <w:tcBorders>
              <w:bottom w:val="single" w:sz="8" w:color="CCEEFF"/>
            </w:tcBorders>
            <w:gridSpan w:val="2"/>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88"/>
              </w:rPr>
              <w:t>4</w:t>
            </w: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gridSpan w:val="19"/>
          </w:tcPr>
          <w:p>
            <w:pPr>
              <w:spacing w:after="0" w:line="202" w:lineRule="exact"/>
              <w:rPr>
                <w:sz w:val="20"/>
                <w:szCs w:val="20"/>
                <w:color w:val="auto"/>
              </w:rPr>
            </w:pPr>
            <w:r>
              <w:rPr>
                <w:rFonts w:ascii="Times New Roman" w:cs="Times New Roman" w:eastAsia="Times New Roman" w:hAnsi="Times New Roman"/>
                <w:sz w:val="18"/>
                <w:szCs w:val="18"/>
                <w:color w:val="0000FF"/>
              </w:rPr>
              <w:t>Consolidated Condensed Statements of Stockholders’ Equity</w:t>
            </w:r>
          </w:p>
        </w:tc>
        <w:tc>
          <w:tcPr>
            <w:tcW w:w="14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0000FF"/>
                <w:w w:val="88"/>
              </w:rPr>
              <w:t>5</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700" w:type="dxa"/>
            <w:vAlign w:val="bottom"/>
            <w:gridSpan w:val="1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Consolidated Condensed Statements of Cash Flows</w:t>
            </w:r>
          </w:p>
        </w:tc>
        <w:tc>
          <w:tcPr>
            <w:tcW w:w="14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88"/>
              </w:rPr>
              <w:t>6</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80" w:type="dxa"/>
            <w:vAlign w:val="bottom"/>
            <w:tcBorders>
              <w:bottom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w w:val="99"/>
              </w:rPr>
              <w:t>Notes to Consolidated Condensed Financial Statements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gridSpan w:val="3"/>
          </w:tcPr>
          <w:p>
            <w:pPr>
              <w:spacing w:after="0"/>
              <w:rPr>
                <w:sz w:val="17"/>
                <w:szCs w:val="17"/>
                <w:color w:val="auto"/>
              </w:rPr>
            </w:pPr>
          </w:p>
        </w:tc>
        <w:tc>
          <w:tcPr>
            <w:tcW w:w="2460" w:type="dxa"/>
            <w:vAlign w:val="bottom"/>
          </w:tcPr>
          <w:p>
            <w:pPr>
              <w:spacing w:after="0"/>
              <w:rPr>
                <w:sz w:val="17"/>
                <w:szCs w:val="17"/>
                <w:color w:val="auto"/>
              </w:rPr>
            </w:pPr>
          </w:p>
        </w:tc>
        <w:tc>
          <w:tcPr>
            <w:tcW w:w="14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0000FF"/>
                <w:w w:val="88"/>
              </w:rPr>
              <w:t>7</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2.</w:t>
            </w:r>
          </w:p>
        </w:tc>
        <w:tc>
          <w:tcPr>
            <w:tcW w:w="6460" w:type="dxa"/>
            <w:vAlign w:val="bottom"/>
            <w:tcBorders>
              <w:bottom w:val="single" w:sz="8" w:color="0000FF"/>
            </w:tcBorders>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4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24</w:t>
            </w:r>
          </w:p>
        </w:tc>
      </w:tr>
      <w:tr>
        <w:trPr>
          <w:trHeight w:val="229"/>
        </w:trPr>
        <w:tc>
          <w:tcPr>
            <w:tcW w:w="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89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37</w:t>
            </w: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4.</w:t>
            </w:r>
          </w:p>
        </w:tc>
        <w:tc>
          <w:tcPr>
            <w:tcW w:w="8920" w:type="dxa"/>
            <w:vAlign w:val="bottom"/>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14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38</w:t>
            </w:r>
          </w:p>
        </w:tc>
      </w:tr>
      <w:tr>
        <w:trPr>
          <w:trHeight w:val="257"/>
        </w:trPr>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700" w:type="dxa"/>
            <w:vAlign w:val="bottom"/>
            <w:tcBorders>
              <w:top w:val="single" w:sz="8" w:color="CCEEFF"/>
            </w:tcBorders>
          </w:tcPr>
          <w:p>
            <w:pPr>
              <w:spacing w:after="0"/>
              <w:rPr>
                <w:sz w:val="22"/>
                <w:szCs w:val="22"/>
                <w:color w:val="auto"/>
              </w:rPr>
            </w:pPr>
          </w:p>
        </w:tc>
        <w:tc>
          <w:tcPr>
            <w:tcW w:w="1160" w:type="dxa"/>
            <w:vAlign w:val="bottom"/>
            <w:tcBorders>
              <w:top w:val="single" w:sz="8" w:color="CCEEFF"/>
            </w:tcBorders>
          </w:tcPr>
          <w:p>
            <w:pPr>
              <w:spacing w:after="0"/>
              <w:rPr>
                <w:sz w:val="22"/>
                <w:szCs w:val="22"/>
                <w:color w:val="auto"/>
              </w:rPr>
            </w:pPr>
          </w:p>
        </w:tc>
        <w:tc>
          <w:tcPr>
            <w:tcW w:w="2460" w:type="dxa"/>
            <w:vAlign w:val="bottom"/>
            <w:tcBorders>
              <w:top w:val="single" w:sz="8" w:color="CCEEFF"/>
            </w:tcBorders>
          </w:tcPr>
          <w:p>
            <w:pPr>
              <w:spacing w:after="0"/>
              <w:rPr>
                <w:sz w:val="22"/>
                <w:szCs w:val="22"/>
                <w:color w:val="auto"/>
              </w:rPr>
            </w:pPr>
          </w:p>
        </w:tc>
        <w:tc>
          <w:tcPr>
            <w:tcW w:w="1400" w:type="dxa"/>
            <w:vAlign w:val="bottom"/>
            <w:tcBorders>
              <w:top w:val="single" w:sz="8" w:color="CCEEFF"/>
            </w:tcBorders>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0000FF"/>
            </w:tcBorders>
            <w:gridSpan w:val="9"/>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7040" w:type="dxa"/>
            <w:vAlign w:val="bottom"/>
            <w:tcBorders>
              <w:bottom w:val="single" w:sz="8" w:color="CCEEFF"/>
            </w:tcBorders>
            <w:gridSpan w:val="13"/>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39</w:t>
            </w:r>
          </w:p>
        </w:tc>
      </w:tr>
      <w:tr>
        <w:trPr>
          <w:trHeight w:val="202"/>
        </w:trPr>
        <w:tc>
          <w:tcPr>
            <w:tcW w:w="20" w:type="dxa"/>
            <w:vAlign w:val="bottom"/>
          </w:tcPr>
          <w:p>
            <w:pPr>
              <w:spacing w:after="0"/>
              <w:rPr>
                <w:sz w:val="17"/>
                <w:szCs w:val="17"/>
                <w:color w:val="auto"/>
              </w:rPr>
            </w:pPr>
          </w:p>
        </w:tc>
        <w:tc>
          <w:tcPr>
            <w:tcW w:w="9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FF"/>
              </w:rPr>
              <w:t>Item 1.</w:t>
            </w:r>
          </w:p>
        </w:tc>
        <w:tc>
          <w:tcPr>
            <w:tcW w:w="892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14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39</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1A.</w:t>
            </w:r>
          </w:p>
        </w:tc>
        <w:tc>
          <w:tcPr>
            <w:tcW w:w="8920" w:type="dxa"/>
            <w:vAlign w:val="bottom"/>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14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40</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9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FF"/>
              </w:rPr>
              <w:t>Item 2.</w:t>
            </w:r>
          </w:p>
        </w:tc>
        <w:tc>
          <w:tcPr>
            <w:tcW w:w="892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4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41</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3.</w:t>
            </w:r>
          </w:p>
        </w:tc>
        <w:tc>
          <w:tcPr>
            <w:tcW w:w="8920" w:type="dxa"/>
            <w:vAlign w:val="bottom"/>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4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41</w:t>
            </w:r>
          </w:p>
        </w:tc>
      </w:tr>
      <w:tr>
        <w:trPr>
          <w:trHeight w:val="202"/>
        </w:trPr>
        <w:tc>
          <w:tcPr>
            <w:tcW w:w="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8"/>
                <w:szCs w:val="18"/>
                <w:color w:val="0000FF"/>
              </w:rPr>
              <w:t>Item 4.</w:t>
            </w:r>
          </w:p>
        </w:tc>
        <w:tc>
          <w:tcPr>
            <w:tcW w:w="2320" w:type="dxa"/>
            <w:vAlign w:val="bottom"/>
            <w:tcBorders>
              <w:top w:val="single" w:sz="8" w:color="0000FF"/>
            </w:tcBorders>
            <w:gridSpan w:val="10"/>
          </w:tcPr>
          <w:p>
            <w:pPr>
              <w:spacing w:after="0" w:line="202" w:lineRule="exact"/>
              <w:rPr>
                <w:sz w:val="20"/>
                <w:szCs w:val="20"/>
                <w:color w:val="auto"/>
              </w:rPr>
            </w:pPr>
            <w:r>
              <w:rPr>
                <w:rFonts w:ascii="Times New Roman" w:cs="Times New Roman" w:eastAsia="Times New Roman" w:hAnsi="Times New Roman"/>
                <w:sz w:val="18"/>
                <w:szCs w:val="18"/>
                <w:color w:val="0000FF"/>
              </w:rPr>
              <w:t>Mine Safety Disclosures</w:t>
            </w:r>
          </w:p>
        </w:tc>
        <w:tc>
          <w:tcPr>
            <w:tcW w:w="6600" w:type="dxa"/>
            <w:vAlign w:val="bottom"/>
            <w:tcBorders>
              <w:top w:val="single" w:sz="8" w:color="CCEEFF"/>
            </w:tcBorders>
            <w:gridSpan w:val="10"/>
          </w:tcPr>
          <w:p>
            <w:pPr>
              <w:spacing w:after="0"/>
              <w:rPr>
                <w:sz w:val="17"/>
                <w:szCs w:val="17"/>
                <w:color w:val="auto"/>
              </w:rPr>
            </w:pPr>
          </w:p>
        </w:tc>
        <w:tc>
          <w:tcPr>
            <w:tcW w:w="1400" w:type="dxa"/>
            <w:vAlign w:val="bottom"/>
            <w:tcBorders>
              <w:top w:val="single" w:sz="8" w:color="CCEEFF"/>
            </w:tcBorders>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41</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5.</w:t>
            </w:r>
          </w:p>
        </w:tc>
        <w:tc>
          <w:tcPr>
            <w:tcW w:w="1320" w:type="dxa"/>
            <w:vAlign w:val="bottom"/>
            <w:tcBorders>
              <w:bottom w:val="single" w:sz="8" w:color="0000FF"/>
            </w:tcBorders>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7600" w:type="dxa"/>
            <w:vAlign w:val="bottom"/>
            <w:tcBorders>
              <w:bottom w:val="single" w:sz="8" w:color="CCEEFF"/>
            </w:tcBorders>
            <w:gridSpan w:val="16"/>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41</w:t>
            </w: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892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42</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03"/>
        </w:trPr>
        <w:tc>
          <w:tcPr>
            <w:tcW w:w="20" w:type="dxa"/>
            <w:vAlign w:val="bottom"/>
          </w:tcPr>
          <w:p>
            <w:pPr>
              <w:spacing w:after="0"/>
              <w:rPr>
                <w:sz w:val="17"/>
                <w:szCs w:val="17"/>
                <w:color w:val="auto"/>
              </w:rPr>
            </w:pPr>
          </w:p>
        </w:tc>
        <w:tc>
          <w:tcPr>
            <w:tcW w:w="9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43</w:t>
            </w:r>
          </w:p>
        </w:tc>
      </w:tr>
      <w:tr>
        <w:trPr>
          <w:trHeight w:val="1134"/>
        </w:trPr>
        <w:tc>
          <w:tcPr>
            <w:tcW w:w="20" w:type="dxa"/>
            <w:vAlign w:val="bottom"/>
            <w:tcBorders>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BF2115"/>
        </w:rPr>
        <w:t>PART I - FINANCIAL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Item 1. Unaudited Financial Statements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74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Pr>
          <w:p>
            <w:pPr>
              <w:spacing w:after="0"/>
              <w:rPr>
                <w:sz w:val="17"/>
                <w:szCs w:val="17"/>
                <w:color w:val="auto"/>
              </w:rPr>
            </w:pPr>
          </w:p>
        </w:tc>
        <w:tc>
          <w:tcPr>
            <w:tcW w:w="1680" w:type="dxa"/>
            <w:vAlign w:val="bottom"/>
            <w:gridSpan w:val="2"/>
          </w:tcPr>
          <w:p>
            <w:pPr>
              <w:ind w:left="140"/>
              <w:spacing w:after="0" w:line="178" w:lineRule="exact"/>
              <w:rPr>
                <w:sz w:val="20"/>
                <w:szCs w:val="20"/>
                <w:color w:val="auto"/>
              </w:rPr>
            </w:pPr>
            <w:r>
              <w:rPr>
                <w:rFonts w:ascii="Times New Roman" w:cs="Times New Roman" w:eastAsia="Times New Roman" w:hAnsi="Times New Roman"/>
                <w:sz w:val="16"/>
                <w:szCs w:val="16"/>
                <w:b w:val="1"/>
                <w:bCs w:val="1"/>
                <w:color w:val="auto"/>
              </w:rPr>
              <w:t>March 31, 2024</w:t>
            </w:r>
          </w:p>
        </w:tc>
        <w:tc>
          <w:tcPr>
            <w:tcW w:w="180" w:type="dxa"/>
            <w:vAlign w:val="bottom"/>
          </w:tcPr>
          <w:p>
            <w:pPr>
              <w:spacing w:after="0"/>
              <w:rPr>
                <w:sz w:val="17"/>
                <w:szCs w:val="17"/>
                <w:color w:val="auto"/>
              </w:rPr>
            </w:pPr>
          </w:p>
        </w:tc>
        <w:tc>
          <w:tcPr>
            <w:tcW w:w="1640" w:type="dxa"/>
            <w:vAlign w:val="bottom"/>
          </w:tcPr>
          <w:p>
            <w:pPr>
              <w:jc w:val="right"/>
              <w:ind w:right="179"/>
              <w:spacing w:after="0" w:line="178" w:lineRule="exact"/>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20" w:type="dxa"/>
            <w:vAlign w:val="bottom"/>
            <w:shd w:val="clear" w:color="auto" w:fill="CCEEFF"/>
          </w:tcPr>
          <w:p>
            <w:pPr>
              <w:jc w:val="center"/>
              <w:ind w:right="257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8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8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480" w:type="dxa"/>
            <w:vAlign w:val="bottom"/>
            <w:gridSpan w:val="4"/>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in and advances to unconsolidated affiliates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Intangible assets other than goodwill</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4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6"/>
                <w:szCs w:val="16"/>
                <w:color w:val="auto"/>
              </w:rPr>
              <w:t>Other long-term assets, net</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48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33,059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spacing w:after="0" w:line="20" w:lineRule="exact"/>
              <w:rPr>
                <w:sz w:val="1"/>
                <w:szCs w:val="1"/>
                <w:color w:val="auto"/>
              </w:rPr>
            </w:pPr>
          </w:p>
        </w:tc>
        <w:tc>
          <w:tcPr>
            <w:tcW w:w="6720" w:type="dxa"/>
            <w:vAlign w:val="bottom"/>
            <w:tcBorders>
              <w:top w:val="single" w:sz="8" w:color="CCEEFF"/>
              <w:bottom w:val="single" w:sz="8" w:color="CCEEFF"/>
            </w:tcBorders>
            <w:gridSpan w:val="3"/>
            <w:vMerge w:val="restart"/>
          </w:tcPr>
          <w:p>
            <w:pPr>
              <w:jc w:val="center"/>
              <w:ind w:right="679"/>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72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8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Accrued interest</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8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Accrued other liabilities</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480" w:type="dxa"/>
            <w:vAlign w:val="bottom"/>
            <w:gridSpan w:val="4"/>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financing obligations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liability</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4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4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Commitments and contingencies (</w:t>
            </w:r>
            <w:r>
              <w:rPr>
                <w:rFonts w:ascii="Times New Roman" w:cs="Times New Roman" w:eastAsia="Times New Roman" w:hAnsi="Times New Roman"/>
                <w:sz w:val="16"/>
                <w:szCs w:val="16"/>
                <w:color w:val="0000FF"/>
              </w:rPr>
              <w:t>Note 5</w:t>
            </w: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8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Caesars stockholders’ equity</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480" w:type="dxa"/>
            <w:vAlign w:val="bottom"/>
            <w:tcBorders>
              <w:bottom w:val="single" w:sz="8" w:color="CCEEFF"/>
            </w:tcBorders>
            <w:gridSpan w:val="4"/>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4,720</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480" w:type="dxa"/>
            <w:vAlign w:val="bottom"/>
            <w:tcBorders>
              <w:bottom w:val="single" w:sz="8" w:color="CCEEFF"/>
            </w:tcBorders>
            <w:gridSpan w:val="4"/>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33,059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3" w:name="page4"/>
    <w:bookmarkEnd w:id="3"/>
    <w:p>
      <w:pPr>
        <w:ind w:left="4480"/>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4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659"/>
              <w:spacing w:after="0" w:line="161"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659"/>
              <w:spacing w:after="0" w:line="161"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2080" w:type="dxa"/>
            <w:vAlign w:val="bottom"/>
            <w:tcBorders>
              <w:top w:val="single" w:sz="8" w:color="auto"/>
              <w:bottom w:val="single" w:sz="8" w:color="CCEEFF"/>
            </w:tcBorders>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4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Casino</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w:t>
            </w: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Food and beverage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r>
      <w:tr>
        <w:trPr>
          <w:trHeight w:val="213"/>
        </w:trPr>
        <w:tc>
          <w:tcPr>
            <w:tcW w:w="20" w:type="dxa"/>
            <w:vAlign w:val="bottom"/>
          </w:tcPr>
          <w:p>
            <w:pPr>
              <w:spacing w:after="0"/>
              <w:rPr>
                <w:sz w:val="18"/>
                <w:szCs w:val="18"/>
                <w:color w:val="auto"/>
              </w:rPr>
            </w:pPr>
          </w:p>
        </w:tc>
        <w:tc>
          <w:tcPr>
            <w:tcW w:w="74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Hotel</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207"/>
        </w:trPr>
        <w:tc>
          <w:tcPr>
            <w:tcW w:w="20" w:type="dxa"/>
            <w:vAlign w:val="bottom"/>
            <w:tcBorders>
              <w:bottom w:val="single" w:sz="8" w:color="CCEEFF"/>
            </w:tcBorders>
          </w:tcPr>
          <w:p>
            <w:pPr>
              <w:spacing w:after="0"/>
              <w:rPr>
                <w:sz w:val="17"/>
                <w:szCs w:val="17"/>
                <w:color w:val="auto"/>
              </w:rPr>
            </w:pPr>
          </w:p>
        </w:tc>
        <w:tc>
          <w:tcPr>
            <w:tcW w:w="748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6"/>
                <w:szCs w:val="16"/>
                <w:color w:val="auto"/>
              </w:rPr>
              <w:t>Net revenues</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2,830</w:t>
            </w:r>
          </w:p>
        </w:tc>
      </w:tr>
      <w:tr>
        <w:trPr>
          <w:trHeight w:val="199"/>
        </w:trPr>
        <w:tc>
          <w:tcPr>
            <w:tcW w:w="20" w:type="dxa"/>
            <w:vAlign w:val="bottom"/>
            <w:shd w:val="clear" w:color="auto" w:fill="CCEEFF"/>
          </w:tcPr>
          <w:p>
            <w:pPr>
              <w:spacing w:after="0"/>
              <w:rPr>
                <w:sz w:val="17"/>
                <w:szCs w:val="17"/>
                <w:color w:val="auto"/>
              </w:rPr>
            </w:pPr>
          </w:p>
        </w:tc>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4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Casino</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w:t>
            </w: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Food and beverage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13"/>
        </w:trPr>
        <w:tc>
          <w:tcPr>
            <w:tcW w:w="20" w:type="dxa"/>
            <w:vAlign w:val="bottom"/>
          </w:tcPr>
          <w:p>
            <w:pPr>
              <w:spacing w:after="0"/>
              <w:rPr>
                <w:sz w:val="18"/>
                <w:szCs w:val="18"/>
                <w:color w:val="auto"/>
              </w:rPr>
            </w:pPr>
          </w:p>
        </w:tc>
        <w:tc>
          <w:tcPr>
            <w:tcW w:w="74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Hotel</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13"/>
        </w:trPr>
        <w:tc>
          <w:tcPr>
            <w:tcW w:w="20" w:type="dxa"/>
            <w:vAlign w:val="bottom"/>
          </w:tcPr>
          <w:p>
            <w:pPr>
              <w:spacing w:after="0"/>
              <w:rPr>
                <w:sz w:val="18"/>
                <w:szCs w:val="18"/>
                <w:color w:val="auto"/>
              </w:rPr>
            </w:pPr>
          </w:p>
        </w:tc>
        <w:tc>
          <w:tcPr>
            <w:tcW w:w="74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Corporate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3"/>
        </w:trPr>
        <w:tc>
          <w:tcPr>
            <w:tcW w:w="20" w:type="dxa"/>
            <w:vAlign w:val="bottom"/>
          </w:tcPr>
          <w:p>
            <w:pPr>
              <w:spacing w:after="0"/>
              <w:rPr>
                <w:sz w:val="18"/>
                <w:szCs w:val="18"/>
                <w:color w:val="auto"/>
              </w:rPr>
            </w:pPr>
          </w:p>
        </w:tc>
        <w:tc>
          <w:tcPr>
            <w:tcW w:w="74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Transaction and other costs, net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7"/>
        </w:trPr>
        <w:tc>
          <w:tcPr>
            <w:tcW w:w="20" w:type="dxa"/>
            <w:vAlign w:val="bottom"/>
            <w:tcBorders>
              <w:bottom w:val="single" w:sz="8" w:color="CCEEFF"/>
            </w:tcBorders>
          </w:tcPr>
          <w:p>
            <w:pPr>
              <w:spacing w:after="0"/>
              <w:rPr>
                <w:sz w:val="17"/>
                <w:szCs w:val="17"/>
                <w:color w:val="auto"/>
              </w:rPr>
            </w:pPr>
          </w:p>
        </w:tc>
        <w:tc>
          <w:tcPr>
            <w:tcW w:w="748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2,227</w:t>
            </w:r>
          </w:p>
        </w:tc>
      </w:tr>
      <w:tr>
        <w:trPr>
          <w:trHeight w:val="212"/>
        </w:trPr>
        <w:tc>
          <w:tcPr>
            <w:tcW w:w="2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r>
      <w:tr>
        <w:trPr>
          <w:trHeight w:val="213"/>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EXPENSE:</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expense, net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r>
      <w:tr>
        <w:trPr>
          <w:trHeight w:val="213"/>
        </w:trPr>
        <w:tc>
          <w:tcPr>
            <w:tcW w:w="20" w:type="dxa"/>
            <w:vAlign w:val="bottom"/>
          </w:tcPr>
          <w:p>
            <w:pPr>
              <w:spacing w:after="0"/>
              <w:rPr>
                <w:sz w:val="18"/>
                <w:szCs w:val="18"/>
                <w:color w:val="auto"/>
              </w:rPr>
            </w:pPr>
          </w:p>
        </w:tc>
        <w:tc>
          <w:tcPr>
            <w:tcW w:w="74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income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7"/>
        </w:trPr>
        <w:tc>
          <w:tcPr>
            <w:tcW w:w="20" w:type="dxa"/>
            <w:vAlign w:val="bottom"/>
            <w:tcBorders>
              <w:bottom w:val="single" w:sz="8" w:color="CCEEFF"/>
            </w:tcBorders>
          </w:tcPr>
          <w:p>
            <w:pPr>
              <w:spacing w:after="0"/>
              <w:rPr>
                <w:sz w:val="17"/>
                <w:szCs w:val="17"/>
                <w:color w:val="auto"/>
              </w:rPr>
            </w:pPr>
          </w:p>
        </w:tc>
        <w:tc>
          <w:tcPr>
            <w:tcW w:w="748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6"/>
                <w:szCs w:val="16"/>
                <w:color w:val="auto"/>
              </w:rPr>
              <w:t>Total other expense</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w:t>
            </w:r>
          </w:p>
        </w:tc>
      </w:tr>
      <w:tr>
        <w:trPr>
          <w:trHeight w:val="212"/>
        </w:trPr>
        <w:tc>
          <w:tcPr>
            <w:tcW w:w="2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continuing operations before income taxes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13"/>
        </w:trPr>
        <w:tc>
          <w:tcPr>
            <w:tcW w:w="20" w:type="dxa"/>
            <w:vAlign w:val="bottom"/>
            <w:tcBorders>
              <w:bottom w:val="single" w:sz="8" w:color="CCEEFF"/>
            </w:tcBorders>
          </w:tcPr>
          <w:p>
            <w:pPr>
              <w:spacing w:after="0"/>
              <w:rPr>
                <w:sz w:val="18"/>
                <w:szCs w:val="18"/>
                <w:color w:val="auto"/>
              </w:rPr>
            </w:pPr>
          </w:p>
        </w:tc>
        <w:tc>
          <w:tcPr>
            <w:tcW w:w="7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2"/>
        </w:trPr>
        <w:tc>
          <w:tcPr>
            <w:tcW w:w="2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from continuing operations, net of income taxes</w:t>
            </w:r>
          </w:p>
        </w:tc>
        <w:tc>
          <w:tcPr>
            <w:tcW w:w="4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07"/>
        </w:trPr>
        <w:tc>
          <w:tcPr>
            <w:tcW w:w="20" w:type="dxa"/>
            <w:vAlign w:val="bottom"/>
          </w:tcPr>
          <w:p>
            <w:pPr>
              <w:spacing w:after="0"/>
              <w:rPr>
                <w:sz w:val="17"/>
                <w:szCs w:val="17"/>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6"/>
        </w:trPr>
        <w:tc>
          <w:tcPr>
            <w:tcW w:w="2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4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 attributable to Caesars</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5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5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Net loss per share - basic and diluted:</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 loss per share</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(0.63)</w:t>
            </w:r>
          </w:p>
        </w:tc>
      </w:tr>
      <w:tr>
        <w:trPr>
          <w:trHeight w:val="213"/>
        </w:trPr>
        <w:tc>
          <w:tcPr>
            <w:tcW w:w="20" w:type="dxa"/>
            <w:vAlign w:val="bottom"/>
          </w:tcPr>
          <w:p>
            <w:pPr>
              <w:spacing w:after="0"/>
              <w:rPr>
                <w:sz w:val="18"/>
                <w:szCs w:val="18"/>
                <w:color w:val="auto"/>
              </w:rPr>
            </w:pPr>
          </w:p>
        </w:tc>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Diluted loss per share</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(0.63)</w:t>
            </w: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Weighted average basic shares outstanding</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r>
      <w:tr>
        <w:trPr>
          <w:trHeight w:val="210"/>
        </w:trPr>
        <w:tc>
          <w:tcPr>
            <w:tcW w:w="20" w:type="dxa"/>
            <w:vAlign w:val="bottom"/>
          </w:tcPr>
          <w:p>
            <w:pPr>
              <w:spacing w:after="0"/>
              <w:rPr>
                <w:sz w:val="18"/>
                <w:szCs w:val="18"/>
                <w:color w:val="auto"/>
              </w:rPr>
            </w:pPr>
          </w:p>
        </w:tc>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Weighted average diluted shares outstanding</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r>
    </w:tbl>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condensed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659"/>
              <w:spacing w:after="0" w:line="161"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659"/>
              <w:spacing w:after="0" w:line="161"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3"/>
        </w:trPr>
        <w:tc>
          <w:tcPr>
            <w:tcW w:w="20" w:type="dxa"/>
            <w:vAlign w:val="bottom"/>
          </w:tcPr>
          <w:p>
            <w:pPr>
              <w:spacing w:after="0"/>
              <w:rPr>
                <w:sz w:val="18"/>
                <w:szCs w:val="18"/>
                <w:color w:val="auto"/>
              </w:rPr>
            </w:pPr>
          </w:p>
        </w:tc>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420" w:type="dxa"/>
            <w:vAlign w:val="bottom"/>
          </w:tcPr>
          <w:p>
            <w:pPr>
              <w:spacing w:after="0"/>
              <w:rPr>
                <w:sz w:val="18"/>
                <w:szCs w:val="18"/>
                <w:color w:val="auto"/>
              </w:rPr>
            </w:pP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7"/>
        </w:trPr>
        <w:tc>
          <w:tcPr>
            <w:tcW w:w="20" w:type="dxa"/>
            <w:vAlign w:val="bottom"/>
            <w:tcBorders>
              <w:bottom w:val="single" w:sz="8" w:color="CCEEFF"/>
            </w:tcBorders>
          </w:tcPr>
          <w:p>
            <w:pPr>
              <w:spacing w:after="0"/>
              <w:rPr>
                <w:sz w:val="17"/>
                <w:szCs w:val="17"/>
                <w:color w:val="auto"/>
              </w:rPr>
            </w:pPr>
          </w:p>
        </w:tc>
        <w:tc>
          <w:tcPr>
            <w:tcW w:w="7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2"/>
        </w:trPr>
        <w:tc>
          <w:tcPr>
            <w:tcW w:w="2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Comprehensive loss</w:t>
            </w:r>
          </w:p>
        </w:tc>
        <w:tc>
          <w:tcPr>
            <w:tcW w:w="4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07"/>
        </w:trPr>
        <w:tc>
          <w:tcPr>
            <w:tcW w:w="20" w:type="dxa"/>
            <w:vAlign w:val="bottom"/>
            <w:tcBorders>
              <w:bottom w:val="single" w:sz="8" w:color="CCEEFF"/>
            </w:tcBorders>
          </w:tcPr>
          <w:p>
            <w:pPr>
              <w:spacing w:after="0"/>
              <w:rPr>
                <w:sz w:val="17"/>
                <w:szCs w:val="17"/>
                <w:color w:val="auto"/>
              </w:rPr>
            </w:pPr>
          </w:p>
        </w:tc>
        <w:tc>
          <w:tcPr>
            <w:tcW w:w="7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4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Comprehensive loss attributable to Caesars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condensed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(In millions)</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December 31, 2023</w:t>
      </w:r>
    </w:p>
    <w:p>
      <w:pPr>
        <w:spacing w:after="0" w:line="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Net loss</w:t>
      </w:r>
    </w:p>
    <w:p>
      <w:pPr>
        <w:spacing w:after="0" w:line="59" w:lineRule="exact"/>
        <w:rPr>
          <w:sz w:val="20"/>
          <w:szCs w:val="20"/>
          <w:color w:val="auto"/>
        </w:rPr>
      </w:pPr>
    </w:p>
    <w:p>
      <w:pPr>
        <w:ind w:left="400" w:hanging="161"/>
        <w:spacing w:after="0" w:line="290" w:lineRule="auto"/>
        <w:rPr>
          <w:sz w:val="20"/>
          <w:szCs w:val="20"/>
          <w:color w:val="auto"/>
        </w:rPr>
      </w:pPr>
      <w:r>
        <w:rPr>
          <w:rFonts w:ascii="Times New Roman" w:cs="Times New Roman" w:eastAsia="Times New Roman" w:hAnsi="Times New Roman"/>
          <w:sz w:val="16"/>
          <w:szCs w:val="16"/>
          <w:color w:val="auto"/>
        </w:rPr>
        <w:t>Other comprehensive loss, net of tax</w:t>
      </w:r>
    </w:p>
    <w:p>
      <w:pPr>
        <w:spacing w:after="0" w:line="1"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6"/>
          <w:szCs w:val="16"/>
          <w:color w:val="auto"/>
        </w:rPr>
        <w:t>Shares withheld related to net</w:t>
      </w:r>
    </w:p>
    <w:p>
      <w:pPr>
        <w:spacing w:after="0" w:line="26" w:lineRule="exact"/>
        <w:rPr>
          <w:sz w:val="20"/>
          <w:szCs w:val="20"/>
          <w:color w:val="auto"/>
        </w:rPr>
      </w:pPr>
    </w:p>
    <w:p>
      <w:pPr>
        <w:ind w:left="400" w:right="200"/>
        <w:spacing w:after="0" w:line="270" w:lineRule="auto"/>
        <w:rPr>
          <w:sz w:val="20"/>
          <w:szCs w:val="20"/>
          <w:color w:val="auto"/>
        </w:rPr>
      </w:pPr>
      <w:r>
        <w:rPr>
          <w:rFonts w:ascii="Times New Roman" w:cs="Times New Roman" w:eastAsia="Times New Roman" w:hAnsi="Times New Roman"/>
          <w:sz w:val="16"/>
          <w:szCs w:val="16"/>
          <w:color w:val="auto"/>
        </w:rPr>
        <w:t>share settlement of stock awards</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March 31, 2024</w:t>
      </w:r>
    </w:p>
    <w:p>
      <w:pPr>
        <w:spacing w:after="0" w:line="20" w:lineRule="exact"/>
        <w:rPr>
          <w:sz w:val="20"/>
          <w:szCs w:val="20"/>
          <w:color w:val="auto"/>
        </w:rPr>
      </w:pPr>
      <w:r>
        <w:rPr>
          <w:sz w:val="20"/>
          <w:szCs w:val="20"/>
          <w:color w:val="auto"/>
        </w:rPr>
        <w:br w:type="column"/>
      </w: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STOCKHOLDERS’ EQUITY</w:t>
      </w:r>
    </w:p>
    <w:p>
      <w:pPr>
        <w:spacing w:after="0" w:line="9" w:lineRule="exact"/>
        <w:rPr>
          <w:sz w:val="20"/>
          <w:szCs w:val="20"/>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Caesars Stockholders’ Equity</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420" w:type="dxa"/>
            <w:vAlign w:val="bottom"/>
            <w:gridSpan w:val="5"/>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360" w:type="dxa"/>
            <w:vAlign w:val="bottom"/>
            <w:gridSpan w:val="5"/>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Treasury</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420" w:type="dxa"/>
            <w:vAlign w:val="bottom"/>
            <w:gridSpan w:val="5"/>
            <w:vMerge w:val="continue"/>
          </w:tcPr>
          <w:p>
            <w:pPr>
              <w:spacing w:after="0"/>
              <w:rPr>
                <w:sz w:val="18"/>
                <w:szCs w:val="18"/>
                <w:color w:val="auto"/>
              </w:rPr>
            </w:pPr>
          </w:p>
        </w:tc>
        <w:tc>
          <w:tcPr>
            <w:tcW w:w="1360" w:type="dxa"/>
            <w:vAlign w:val="bottom"/>
            <w:gridSpan w:val="5"/>
            <w:vMerge w:val="continue"/>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80"/>
              <w:spacing w:after="0" w:line="146"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26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920" w:type="dxa"/>
            <w:vAlign w:val="bottom"/>
            <w:gridSpan w:val="8"/>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Paid-in  Accumulated  Comprehensive</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60" w:type="dxa"/>
            <w:vAlign w:val="bottom"/>
            <w:gridSpan w:val="3"/>
            <w:vMerge w:val="continue"/>
          </w:tcPr>
          <w:p>
            <w:pPr>
              <w:spacing w:after="0"/>
              <w:rPr>
                <w:sz w:val="14"/>
                <w:szCs w:val="14"/>
                <w:color w:val="auto"/>
              </w:rPr>
            </w:pPr>
          </w:p>
        </w:tc>
        <w:tc>
          <w:tcPr>
            <w:tcW w:w="10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700" w:type="dxa"/>
            <w:vAlign w:val="bottom"/>
            <w:gridSpan w:val="2"/>
            <w:vMerge w:val="continue"/>
          </w:tcPr>
          <w:p>
            <w:pPr>
              <w:spacing w:after="0"/>
              <w:rPr>
                <w:sz w:val="18"/>
                <w:szCs w:val="18"/>
                <w:color w:val="auto"/>
              </w:rPr>
            </w:pPr>
          </w:p>
        </w:tc>
        <w:tc>
          <w:tcPr>
            <w:tcW w:w="720" w:type="dxa"/>
            <w:vAlign w:val="bottom"/>
            <w:gridSpan w:val="3"/>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700" w:type="dxa"/>
            <w:vAlign w:val="bottom"/>
            <w:gridSpan w:val="3"/>
            <w:vMerge w:val="continue"/>
          </w:tcPr>
          <w:p>
            <w:pPr>
              <w:spacing w:after="0"/>
              <w:rPr>
                <w:sz w:val="18"/>
                <w:szCs w:val="18"/>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80" w:type="dxa"/>
            <w:vAlign w:val="bottom"/>
          </w:tcPr>
          <w:p>
            <w:pPr>
              <w:spacing w:after="0"/>
              <w:rPr>
                <w:sz w:val="18"/>
                <w:szCs w:val="18"/>
                <w:color w:val="auto"/>
              </w:rPr>
            </w:pP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6"/>
        </w:trPr>
        <w:tc>
          <w:tcPr>
            <w:tcW w:w="6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8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$ 7,001</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80" w:type="dxa"/>
            <w:vAlign w:val="bottom"/>
          </w:tcPr>
          <w:p>
            <w:pPr>
              <w:spacing w:after="0"/>
              <w:rPr>
                <w:sz w:val="17"/>
                <w:szCs w:val="17"/>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4,720</w:t>
            </w:r>
          </w:p>
        </w:tc>
        <w:tc>
          <w:tcPr>
            <w:tcW w:w="0" w:type="dxa"/>
            <w:vAlign w:val="bottom"/>
          </w:tcPr>
          <w:p>
            <w:pPr>
              <w:spacing w:after="0"/>
              <w:rPr>
                <w:sz w:val="1"/>
                <w:szCs w:val="1"/>
                <w:color w:val="auto"/>
              </w:rPr>
            </w:pPr>
          </w:p>
        </w:tc>
      </w:tr>
      <w:tr>
        <w:trPr>
          <w:trHeight w:val="243"/>
        </w:trPr>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920" w:type="dxa"/>
            <w:vAlign w:val="bottom"/>
            <w:gridSpan w:val="2"/>
          </w:tcPr>
          <w:p>
            <w:pPr>
              <w:jc w:val="center"/>
              <w:ind w:left="3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43"/>
        </w:trPr>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920" w:type="dxa"/>
            <w:vAlign w:val="bottom"/>
            <w:gridSpan w:val="2"/>
          </w:tcPr>
          <w:p>
            <w:pPr>
              <w:jc w:val="center"/>
              <w:ind w:left="3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445"/>
        </w:trPr>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center"/>
              <w:ind w:left="3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638"/>
        </w:trPr>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20" w:type="dxa"/>
            <w:vAlign w:val="bottom"/>
            <w:gridSpan w:val="2"/>
          </w:tcPr>
          <w:p>
            <w:pPr>
              <w:jc w:val="center"/>
              <w:ind w:left="3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85"/>
        </w:trPr>
        <w:tc>
          <w:tcPr>
            <w:tcW w:w="6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$ 7,012</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4,588</w:t>
            </w: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-1302385</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-1002030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-565150</wp:posOffset>
            </wp:positionV>
            <wp:extent cx="7132320" cy="403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0322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200" w:space="120"/>
            <w:col w:w="8920"/>
          </w:cols>
          <w:pgMar w:left="320" w:top="1022" w:right="339" w:bottom="1440" w:gutter="0" w:footer="0" w:header="0"/>
        </w:sectPr>
      </w:pPr>
    </w:p>
    <w:tbl>
      <w:tblPr>
        <w:tblLayout w:type="fixed"/>
        <w:tblInd w:w="0" w:type="dxa"/>
        <w:tblCellMar>
          <w:top w:w="0" w:type="dxa"/>
          <w:left w:w="0" w:type="dxa"/>
          <w:bottom w:w="0" w:type="dxa"/>
          <w:right w:w="0" w:type="dxa"/>
        </w:tblCellMar>
      </w:tblPr>
      <w:tr>
        <w:trPr>
          <w:trHeight w:val="169"/>
        </w:trPr>
        <w:tc>
          <w:tcPr>
            <w:tcW w:w="2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December 31, 2022</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$ 6,953</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(3,309)</w:t>
            </w:r>
          </w:p>
        </w:tc>
        <w:tc>
          <w:tcPr>
            <w:tcW w:w="8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3,751</w:t>
            </w:r>
          </w:p>
        </w:tc>
      </w:tr>
      <w:tr>
        <w:trPr>
          <w:trHeight w:val="246"/>
        </w:trPr>
        <w:tc>
          <w:tcPr>
            <w:tcW w:w="2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40"/>
        </w:trPr>
        <w:tc>
          <w:tcPr>
            <w:tcW w:w="2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66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9"/>
        </w:trPr>
        <w:tc>
          <w:tcPr>
            <w:tcW w:w="2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2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net of tax</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6"/>
        </w:trPr>
        <w:tc>
          <w:tcPr>
            <w:tcW w:w="2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Shares withheld related to net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89"/>
        </w:trPr>
        <w:tc>
          <w:tcPr>
            <w:tcW w:w="23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share settlement of stock</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27"/>
        </w:trPr>
        <w:tc>
          <w:tcPr>
            <w:tcW w:w="23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awards</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66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38"/>
        </w:trPr>
        <w:tc>
          <w:tcPr>
            <w:tcW w:w="2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2023</w:t>
            </w:r>
          </w:p>
        </w:tc>
        <w:tc>
          <w:tcPr>
            <w:tcW w:w="6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$ 6,967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3,635</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619"/>
              <w:spacing w:after="0" w:line="161"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619"/>
              <w:spacing w:after="0" w:line="161"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46"/>
        </w:trPr>
        <w:tc>
          <w:tcPr>
            <w:tcW w:w="20" w:type="dxa"/>
            <w:vAlign w:val="bottom"/>
            <w:shd w:val="clear" w:color="auto" w:fill="CCEEFF"/>
          </w:tcPr>
          <w:p>
            <w:pPr>
              <w:spacing w:after="0"/>
              <w:rPr>
                <w:sz w:val="21"/>
                <w:szCs w:val="21"/>
                <w:color w:val="auto"/>
              </w:rPr>
            </w:pPr>
          </w:p>
        </w:tc>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13"/>
        </w:trPr>
        <w:tc>
          <w:tcPr>
            <w:tcW w:w="20" w:type="dxa"/>
            <w:vAlign w:val="bottom"/>
          </w:tcPr>
          <w:p>
            <w:pPr>
              <w:spacing w:after="0"/>
              <w:rPr>
                <w:sz w:val="18"/>
                <w:szCs w:val="18"/>
                <w:color w:val="auto"/>
              </w:rPr>
            </w:pPr>
          </w:p>
        </w:tc>
        <w:tc>
          <w:tcPr>
            <w:tcW w:w="76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deferred financing costs and discounts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3"/>
        </w:trPr>
        <w:tc>
          <w:tcPr>
            <w:tcW w:w="20" w:type="dxa"/>
            <w:vAlign w:val="bottom"/>
          </w:tcPr>
          <w:p>
            <w:pPr>
              <w:spacing w:after="0"/>
              <w:rPr>
                <w:sz w:val="18"/>
                <w:szCs w:val="18"/>
                <w:color w:val="auto"/>
              </w:rPr>
            </w:pPr>
          </w:p>
        </w:tc>
        <w:tc>
          <w:tcPr>
            <w:tcW w:w="76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13"/>
        </w:trPr>
        <w:tc>
          <w:tcPr>
            <w:tcW w:w="20" w:type="dxa"/>
            <w:vAlign w:val="bottom"/>
          </w:tcPr>
          <w:p>
            <w:pPr>
              <w:spacing w:after="0"/>
              <w:rPr>
                <w:sz w:val="18"/>
                <w:szCs w:val="18"/>
                <w:color w:val="auto"/>
              </w:rPr>
            </w:pPr>
          </w:p>
        </w:tc>
        <w:tc>
          <w:tcPr>
            <w:tcW w:w="76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Non-cash lease amortization</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(Gain) loss on investments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20" w:type="dxa"/>
            <w:vAlign w:val="bottom"/>
          </w:tcPr>
          <w:p>
            <w:pPr>
              <w:spacing w:after="0"/>
              <w:rPr>
                <w:sz w:val="18"/>
                <w:szCs w:val="18"/>
                <w:color w:val="auto"/>
              </w:rPr>
            </w:pPr>
          </w:p>
        </w:tc>
        <w:tc>
          <w:tcPr>
            <w:tcW w:w="76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Loss on sale of business and disposal of property and equipment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40"/>
        </w:trPr>
        <w:tc>
          <w:tcPr>
            <w:tcW w:w="20" w:type="dxa"/>
            <w:vAlign w:val="bottom"/>
          </w:tcPr>
          <w:p>
            <w:pPr>
              <w:spacing w:after="0"/>
              <w:rPr>
                <w:sz w:val="20"/>
                <w:szCs w:val="20"/>
                <w:color w:val="auto"/>
              </w:rPr>
            </w:pPr>
          </w:p>
        </w:tc>
        <w:tc>
          <w:tcPr>
            <w:tcW w:w="76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non-cash adjustments to net loss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3"/>
        </w:trPr>
        <w:tc>
          <w:tcPr>
            <w:tcW w:w="20" w:type="dxa"/>
            <w:vAlign w:val="bottom"/>
          </w:tcPr>
          <w:p>
            <w:pPr>
              <w:spacing w:after="0"/>
              <w:rPr>
                <w:sz w:val="18"/>
                <w:szCs w:val="18"/>
                <w:color w:val="auto"/>
              </w:rPr>
            </w:pPr>
          </w:p>
        </w:tc>
        <w:tc>
          <w:tcPr>
            <w:tcW w:w="76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taxes receivable and payable, net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20" w:type="dxa"/>
            <w:vAlign w:val="bottom"/>
            <w:tcBorders>
              <w:bottom w:val="single" w:sz="8" w:color="CCEEFF"/>
            </w:tcBorders>
          </w:tcPr>
          <w:p>
            <w:pPr>
              <w:spacing w:after="0"/>
              <w:rPr>
                <w:sz w:val="18"/>
                <w:szCs w:val="18"/>
                <w:color w:val="auto"/>
              </w:rPr>
            </w:pPr>
          </w:p>
        </w:tc>
        <w:tc>
          <w:tcPr>
            <w:tcW w:w="76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w:t>
            </w:r>
          </w:p>
        </w:tc>
      </w:tr>
      <w:tr>
        <w:trPr>
          <w:trHeight w:val="210"/>
        </w:trPr>
        <w:tc>
          <w:tcPr>
            <w:tcW w:w="2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199"/>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2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sale of business, property and equipment, net of cash sold</w:t>
            </w: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20" w:type="dxa"/>
            <w:vAlign w:val="bottom"/>
          </w:tcPr>
          <w:p>
            <w:pPr>
              <w:spacing w:after="0"/>
              <w:rPr>
                <w:sz w:val="18"/>
                <w:szCs w:val="18"/>
                <w:color w:val="auto"/>
              </w:rPr>
            </w:pPr>
          </w:p>
        </w:tc>
        <w:tc>
          <w:tcPr>
            <w:tcW w:w="76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4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7640" w:type="dxa"/>
            <w:vAlign w:val="bottom"/>
            <w:tcBorders>
              <w:top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r>
      <w:tr>
        <w:trPr>
          <w:trHeight w:val="199"/>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2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Proceeds from long-term debt and revolving credit facilities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4,700</w:t>
            </w: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Repayments of long-term debt and revolving credit facilities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(4,630)</w:t>
            </w:r>
          </w:p>
        </w:tc>
      </w:tr>
      <w:tr>
        <w:trPr>
          <w:trHeight w:val="213"/>
        </w:trPr>
        <w:tc>
          <w:tcPr>
            <w:tcW w:w="20" w:type="dxa"/>
            <w:vAlign w:val="bottom"/>
          </w:tcPr>
          <w:p>
            <w:pPr>
              <w:spacing w:after="0"/>
              <w:rPr>
                <w:sz w:val="18"/>
                <w:szCs w:val="18"/>
                <w:color w:val="auto"/>
              </w:rPr>
            </w:pPr>
          </w:p>
        </w:tc>
        <w:tc>
          <w:tcPr>
            <w:tcW w:w="76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Financing obligation payments</w:t>
            </w:r>
          </w:p>
        </w:tc>
        <w:tc>
          <w:tcPr>
            <w:tcW w:w="4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Debt issuance and extinguishment costs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3"/>
        </w:trPr>
        <w:tc>
          <w:tcPr>
            <w:tcW w:w="20" w:type="dxa"/>
            <w:vAlign w:val="bottom"/>
            <w:tcBorders>
              <w:bottom w:val="single" w:sz="8" w:color="CCEEFF"/>
            </w:tcBorders>
          </w:tcPr>
          <w:p>
            <w:pPr>
              <w:spacing w:after="0"/>
              <w:rPr>
                <w:sz w:val="18"/>
                <w:szCs w:val="18"/>
                <w:color w:val="auto"/>
              </w:rPr>
            </w:pPr>
          </w:p>
        </w:tc>
        <w:tc>
          <w:tcPr>
            <w:tcW w:w="76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2"/>
        </w:trPr>
        <w:tc>
          <w:tcPr>
            <w:tcW w:w="2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7"/>
        </w:trPr>
        <w:tc>
          <w:tcPr>
            <w:tcW w:w="20" w:type="dxa"/>
            <w:vAlign w:val="bottom"/>
          </w:tcPr>
          <w:p>
            <w:pPr>
              <w:spacing w:after="0"/>
              <w:rPr>
                <w:sz w:val="17"/>
                <w:szCs w:val="17"/>
                <w:color w:val="auto"/>
              </w:rPr>
            </w:pPr>
          </w:p>
        </w:tc>
        <w:tc>
          <w:tcPr>
            <w:tcW w:w="76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Decrease in cash, cash equivalents and restricted cash</w:t>
            </w: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6"/>
        </w:trPr>
        <w:tc>
          <w:tcPr>
            <w:tcW w:w="2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r>
      <w:tr>
        <w:trPr>
          <w:trHeight w:val="212"/>
        </w:trPr>
        <w:tc>
          <w:tcPr>
            <w:tcW w:w="20" w:type="dxa"/>
            <w:vAlign w:val="bottom"/>
          </w:tcPr>
          <w:p>
            <w:pPr>
              <w:spacing w:after="0"/>
              <w:rPr>
                <w:sz w:val="18"/>
                <w:szCs w:val="18"/>
                <w:color w:val="auto"/>
              </w:rPr>
            </w:pPr>
          </w:p>
        </w:tc>
        <w:tc>
          <w:tcPr>
            <w:tcW w:w="76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02"/>
        </w:trPr>
        <w:tc>
          <w:tcPr>
            <w:tcW w:w="20" w:type="dxa"/>
            <w:vAlign w:val="bottom"/>
          </w:tcPr>
          <w:p>
            <w:pPr>
              <w:spacing w:after="0"/>
              <w:rPr>
                <w:sz w:val="17"/>
                <w:szCs w:val="17"/>
                <w:color w:val="auto"/>
              </w:rPr>
            </w:pPr>
          </w:p>
        </w:tc>
        <w:tc>
          <w:tcPr>
            <w:tcW w:w="7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 TO AMOUNTS REPORTED</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WITHIN THE CONSOLIDATED CONDENSED BALANCE SHEETS: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w:t>
            </w:r>
          </w:p>
        </w:tc>
      </w:tr>
      <w:tr>
        <w:trPr>
          <w:trHeight w:val="213"/>
        </w:trPr>
        <w:tc>
          <w:tcPr>
            <w:tcW w:w="20" w:type="dxa"/>
            <w:vAlign w:val="bottom"/>
          </w:tcPr>
          <w:p>
            <w:pPr>
              <w:spacing w:after="0"/>
              <w:rPr>
                <w:sz w:val="18"/>
                <w:szCs w:val="18"/>
                <w:color w:val="auto"/>
              </w:rPr>
            </w:pPr>
          </w:p>
        </w:tc>
        <w:tc>
          <w:tcPr>
            <w:tcW w:w="76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Restricted and escrow cash included in other assets, net</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07"/>
        </w:trPr>
        <w:tc>
          <w:tcPr>
            <w:tcW w:w="20" w:type="dxa"/>
            <w:vAlign w:val="bottom"/>
            <w:tcBorders>
              <w:bottom w:val="single" w:sz="8" w:color="CCEEFF"/>
            </w:tcBorders>
          </w:tcPr>
          <w:p>
            <w:pPr>
              <w:spacing w:after="0"/>
              <w:rPr>
                <w:sz w:val="17"/>
                <w:szCs w:val="17"/>
                <w:color w:val="auto"/>
              </w:rPr>
            </w:pPr>
          </w:p>
        </w:tc>
        <w:tc>
          <w:tcPr>
            <w:tcW w:w="7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w:t>
            </w:r>
          </w:p>
        </w:tc>
      </w:tr>
      <w:tr>
        <w:trPr>
          <w:trHeight w:val="199"/>
        </w:trPr>
        <w:tc>
          <w:tcPr>
            <w:tcW w:w="20" w:type="dxa"/>
            <w:vAlign w:val="bottom"/>
            <w:shd w:val="clear" w:color="auto" w:fill="CCEEFF"/>
          </w:tcPr>
          <w:p>
            <w:pPr>
              <w:spacing w:after="0"/>
              <w:rPr>
                <w:sz w:val="17"/>
                <w:szCs w:val="17"/>
                <w:color w:val="auto"/>
              </w:rPr>
            </w:pPr>
          </w:p>
        </w:tc>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6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Cash interest paid for debt</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interest paid for rent related to financing obligations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r>
      <w:tr>
        <w:trPr>
          <w:trHeight w:val="213"/>
        </w:trPr>
        <w:tc>
          <w:tcPr>
            <w:tcW w:w="20" w:type="dxa"/>
            <w:vAlign w:val="bottom"/>
          </w:tcPr>
          <w:p>
            <w:pPr>
              <w:spacing w:after="0"/>
              <w:rPr>
                <w:sz w:val="18"/>
                <w:szCs w:val="18"/>
                <w:color w:val="auto"/>
              </w:rPr>
            </w:pPr>
          </w:p>
        </w:tc>
        <w:tc>
          <w:tcPr>
            <w:tcW w:w="76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Income taxes paid, net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76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Payables for capital expenditures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r>
    </w:tbl>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927" w:right="339" w:bottom="1440" w:gutter="0" w:footer="0" w:header="0"/>
        </w:sectPr>
      </w:pP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accompanying consolidated condensed financial statements include the accounts of Caesars Entertainment, Inc., a Delaware corporation, and its consolidated subsidiaries which may be referred to as the “Company,” “CEI,” “Caesars,” “we,” “our,” or “us” within these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Form 10-Q should be read in conjunction with our Annual Report on Form 10-K for the year ended December 31, 2023 (the “2023 Annual Report”).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terms used but not defined in this Form 10-Q have the same meanings as in the 2023 Annual Report.</w:t>
      </w:r>
    </w:p>
    <w:p>
      <w:pPr>
        <w:spacing w:after="0" w:line="15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We also refer to (i) our Consolidated Condensed Financial Statements as our “Financial Statements,” (ii) our Consolidated Condensed Balance Sheets as our “Balance Sheets,” (iii) our Consolidated Condensed Statements of Operations and Consolidated Condensed Statements of Comprehensive Income (Loss) as our “Statements of Operations,” and (iv) our Consolidated Condensed Statements of Cash Flows as our “Statements of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1. Organization and Description of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geographically diversified gaming and hospitality company that was founded in 1973 by the Carano family with the opening of the Eldorado Hotel Casino in Reno, Nevada. Beginning in 2005, the Company grew through a series of acquisitions, including the acquisition of MTR Gaming Group, Inc. in 2014, Isle of Capri Casinos, Inc. in 2017, Tropicana Entertainment, Inc. in 2018, Caesars Entertainment Corporation in 2020 and William Hill PLC in 2021. The Company’s ticker symbol on the NASDAQ Stock Market is “CZR.”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owns, leases, brands or manages an aggregate of 53 domestic properties in 18 states with approximately 50,500 slot machines, video lottery terminals and e-tables, approximately 2,700 table games and approximately 45,000 hotel rooms as of March 31, 2024. In addition, the Company has other properties in North America that are authorized to use the brands and marks of Caesars Entertainment, Inc., as well as other non-gaming properties. The Company’s primary source of revenue is generated by its casino properties’ gaming operations, which includes retail and online sports betting and online gaming, and the Company utilizes its hotels, restaurants, bars, entertainment, racing, retail shops and other services to attract customers to its properties.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operations for retail and online sports betting, iGaming, horse racing and online poker are included under the Caesars Digital segment. The Company operates the Caesars Sportsbook app, the Caesars Racebook app and the recently launched Caesars Palace Online Casino app. The Company operates retail and online sports wagering in 31 jurisdictions in North America, 26 of which offer online sports betting, and operates iGaming in five jurisdictions in North America as of March 31, 2024. The Company expects to continue to grow its operations in the Caesars Digital segment as new jurisdictions legalize retail and online sports betting and iGaming.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2. Basis of Presentation and Significant Accounting Policies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Financial Statements of the Company have been prepared in accordance with accounting principles generally accepted in the United States (“GAAP”) for interim financial information with the instructions for Form 10-Q and Article 10 of Regulation S-X. Accordingly, they do not include all of the information and notes required by GAAP for complete financial statements. In the opinion of management, the accompanying unaudited Financial Statements contain all adjustments, all of which are normal and recurring, considered necessary for a fair presentation. The results of operations for these interim periods are not necessarily indicative of the operating results for other quarters, for the full year or any future period.</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presentation of financial information herein for the periods after our completed divestiture of Rio All-Suite Hotel &amp; Casino in the third quarter of 2023 is not fully comparable to the periods prior to such divestiture.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of Subsidiaries and Variable Interest Entities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include the accounts of Caesars Entertainment, Inc. and its subsidiaries after elimination of all intercompany accounts and transactions.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consolidate all subsidiaries in which we have a controlling financial interest and variable interest entities (“VIEs”) for which we or one of our consolidated subsidiaries is the primary beneficiary. Control generally equates to ownership percentage, whereby (i) affiliates that are more than 50% owned are consolidated; (ii) investments in affiliates of 50% or less but greater than 20% are generally accounted for using the equity method where we have determined that we have significant influence over the entities; and (iii) investments in affiliates of 20% or less are generally accounted for as investments in equity securities.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consider ourselves the primary beneficiary of a VIE when we have both the power to direct the activities that most significantly affect the results of the VIE and the right to receive benefits or the obligation to absorb losses of the entity that could be potentially significant to the VIE. We review investments for VIE consideration if a reconsideration event occurs to determine if the investment qualifies, or continues to qualify, as a VIE. If we determine an investment qualifies, or no longer qualifies, as a VIE, there may be a material effect to our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certain of its financial assets and liabilities at fair value, on a recurring basis, which is the price that would be received to sell an asset or paid to transfer a liability in an orderly transaction between market participants. Levels of the hierarchy prioritize the inputs used to measure fair value and include:</w:t>
      </w:r>
    </w:p>
    <w:p>
      <w:pPr>
        <w:spacing w:after="0" w:line="12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such as quoted prices in active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212529"/>
        </w:rPr>
      </w:pPr>
      <w:r>
        <w:rPr>
          <w:rFonts w:ascii="Times New Roman" w:cs="Times New Roman" w:eastAsia="Times New Roman" w:hAnsi="Times New Roman"/>
          <w:sz w:val="18"/>
          <w:szCs w:val="18"/>
          <w:color w:val="auto"/>
        </w:rPr>
        <w:t>Level 2: Inputs other than quoted prices in active markets that are either directly or indirectly observable.</w:t>
      </w:r>
    </w:p>
    <w:p>
      <w:pPr>
        <w:spacing w:after="0" w:line="171" w:lineRule="exact"/>
        <w:rPr>
          <w:rFonts w:ascii="Times New Roman" w:cs="Times New Roman" w:eastAsia="Times New Roman" w:hAnsi="Times New Roman"/>
          <w:sz w:val="18"/>
          <w:szCs w:val="18"/>
          <w:i w:val="1"/>
          <w:iCs w:val="1"/>
          <w:color w:val="212529"/>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reflect the Company’s own assumptions, as there is little, if any, related market activity.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equivalents include investments in money market funds that can be redeemed immediately at the current net asset value per share. A money market fund is a mutual fund whose investments are primarily in short-term debt securities designed to maximize current income with liquidity and capital preservation, usually maintaining per share net asset value at a constant amount, such as one dollar. The carrying amounts approximate the fair value because of the short maturity of those instruments (Level 1). Cash and cash equivalents also include cash maintained for gaming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cash includes cash equivalents held in certificates of deposit accounts or money market type funds, that are not subject to remeasurement on a recurring basis, which are restricted under certain operating agreements or restricted for future capital expenditures in the normal course of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Marketable securities consist primarily of trading securities held by the Company’s deferred compensation plans. The estimated fair values of the Company’s marketable securities are determined on an individual asset basis based upon quoted prices of identical assets available in active markets (Level</w:t>
      </w:r>
    </w:p>
    <w:p>
      <w:pPr>
        <w:ind w:firstLine="8"/>
        <w:spacing w:after="0" w:line="260" w:lineRule="auto"/>
        <w:tabs>
          <w:tab w:leader="none" w:pos="21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represent the amounts the Company would expect to receive if the Company sold these marketable securities. As of both March 31, 2024 and December 31, 2023, the Company held $2 million in Level 1 securities.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enter into derivative instruments to hedge the risk of fluctuations in interest rates, foreign exchange rates or pricing for other commodities. These agreements are designated as cash flow hedges. As of March 31, 2024 and December 31, 2023, the Company did not hold any cash flow hedges or any derivative financial instruments for trading purposes.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costs are expensed in the period the advertising first occurs. Advertising costs for the three months ended March 31, 2024 and 2023 were $64 million and $68 million, respectively, and are included within operating expenses. Advertising costs related to the Caesars Digital segment are primarily recorded in Casino expense.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18"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659"/>
              <w:spacing w:after="0" w:line="161"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659"/>
              <w:spacing w:after="0" w:line="161"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r>
      <w:tr>
        <w:trPr>
          <w:trHeight w:val="213"/>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Capitalized interest</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6"/>
        </w:trPr>
        <w:tc>
          <w:tcPr>
            <w:tcW w:w="2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4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2"/>
        </w:trPr>
        <w:tc>
          <w:tcPr>
            <w:tcW w:w="20" w:type="dxa"/>
            <w:vAlign w:val="bottom"/>
          </w:tcPr>
          <w:p>
            <w:pPr>
              <w:spacing w:after="0"/>
              <w:rPr>
                <w:sz w:val="18"/>
                <w:szCs w:val="18"/>
                <w:color w:val="auto"/>
              </w:rPr>
            </w:pPr>
          </w:p>
        </w:tc>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 interest expense, net</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Pronouncements to Be Implemented in Future Periods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requires disaggregated information about an entity’s effective tax rate reconciliation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on income taxes paid. These updates apply to all entities subject to income taxes and will be effective for annual periods beginning after December 15, 2024. Early adoption is permitted. Updates will be applied on a prospective basis with the option to apply the standard retrospectively. We do not expect the amendments in this update to have a material impact on our Financial Statements.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w:t>
      </w:r>
      <w:r>
        <w:rPr>
          <w:rFonts w:ascii="Times New Roman" w:cs="Times New Roman" w:eastAsia="Times New Roman" w:hAnsi="Times New Roman"/>
          <w:sz w:val="18"/>
          <w:szCs w:val="18"/>
          <w:i w:val="1"/>
          <w:iCs w:val="1"/>
          <w:color w:val="auto"/>
        </w:rPr>
        <w:t>Segment Reporting: Improvements to Reportable Segment Disclosures,</w:t>
      </w:r>
      <w:r>
        <w:rPr>
          <w:rFonts w:ascii="Times New Roman" w:cs="Times New Roman" w:eastAsia="Times New Roman" w:hAnsi="Times New Roman"/>
          <w:sz w:val="18"/>
          <w:szCs w:val="18"/>
          <w:color w:val="auto"/>
        </w:rPr>
        <w:t>” which requires public entities to disclose information about their reportable segments’ significant expenses on an interim and annual basis. This guidance is effective for years beginning after December 15, 2023, and interim periods within years beginning after December 15, 2024. Early adoption is permitted. Amendments in this update should be applied retrospectively to all prior periods presented in the financial statements. We do not expect the amendments in this update to have a material impact on our Financial Statements.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Simplification Initiative,” </w:t>
      </w:r>
      <w:r>
        <w:rPr>
          <w:rFonts w:ascii="Times New Roman" w:cs="Times New Roman" w:eastAsia="Times New Roman" w:hAnsi="Times New Roman"/>
          <w:sz w:val="18"/>
          <w:szCs w:val="18"/>
          <w:color w:val="auto"/>
        </w:rPr>
        <w:t>to clarify or improve disclosure and presentation requirements on a variety of topics and align the requirements in the FASB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 codification with the Securities and Exchange Commission regulations. This guidance is effective for the Company no later than June 30, 2027. We do not expect the amendments in this update to have a material impact on our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3. Property and Equipment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Pr>
          <w:p>
            <w:pPr>
              <w:spacing w:after="0"/>
              <w:rPr>
                <w:sz w:val="17"/>
                <w:szCs w:val="17"/>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0" w:type="dxa"/>
            <w:vAlign w:val="bottom"/>
          </w:tcPr>
          <w:p>
            <w:pPr>
              <w:spacing w:after="0"/>
              <w:rPr>
                <w:sz w:val="17"/>
                <w:szCs w:val="17"/>
                <w:color w:val="auto"/>
              </w:rPr>
            </w:pPr>
          </w:p>
        </w:tc>
        <w:tc>
          <w:tcPr>
            <w:tcW w:w="16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w:t>
            </w:r>
          </w:p>
        </w:tc>
      </w:tr>
      <w:tr>
        <w:trPr>
          <w:trHeight w:val="213"/>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Buildings, riverboats, and leasehold and land improvements</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13,543</w:t>
            </w: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Furniture, fixtures, and equipment</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2,409</w:t>
            </w:r>
          </w:p>
        </w:tc>
      </w:tr>
      <w:tr>
        <w:trPr>
          <w:trHeight w:val="213"/>
        </w:trPr>
        <w:tc>
          <w:tcPr>
            <w:tcW w:w="20" w:type="dxa"/>
            <w:vAlign w:val="bottom"/>
            <w:tcBorders>
              <w:bottom w:val="single" w:sz="8" w:color="CCEEFF"/>
            </w:tcBorders>
          </w:tcPr>
          <w:p>
            <w:pPr>
              <w:spacing w:after="0"/>
              <w:rPr>
                <w:sz w:val="18"/>
                <w:szCs w:val="18"/>
                <w:color w:val="auto"/>
              </w:rPr>
            </w:pPr>
          </w:p>
        </w:tc>
        <w:tc>
          <w:tcPr>
            <w:tcW w:w="7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w:t>
            </w:r>
          </w:p>
        </w:tc>
      </w:tr>
      <w:tr>
        <w:trPr>
          <w:trHeight w:val="212"/>
        </w:trPr>
        <w:tc>
          <w:tcPr>
            <w:tcW w:w="2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18,802</w:t>
            </w:r>
          </w:p>
        </w:tc>
      </w:tr>
      <w:tr>
        <w:trPr>
          <w:trHeight w:val="213"/>
        </w:trPr>
        <w:tc>
          <w:tcPr>
            <w:tcW w:w="20" w:type="dxa"/>
            <w:vAlign w:val="bottom"/>
            <w:tcBorders>
              <w:bottom w:val="single" w:sz="8" w:color="CCEEFF"/>
            </w:tcBorders>
          </w:tcPr>
          <w:p>
            <w:pPr>
              <w:spacing w:after="0"/>
              <w:rPr>
                <w:sz w:val="18"/>
                <w:szCs w:val="18"/>
                <w:color w:val="auto"/>
              </w:rPr>
            </w:pPr>
          </w:p>
        </w:tc>
        <w:tc>
          <w:tcPr>
            <w:tcW w:w="7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(4,046)</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4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property and equipment, net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portion of our property and equipment is subject to various operating leases for which we are the lessor. Leased property includes our hotel rooms, convention space and retail space through various short-term and long-term operating leases.</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Depreciation Expense</w:t>
      </w:r>
    </w:p>
    <w:p>
      <w:pPr>
        <w:spacing w:after="0" w:line="29"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00" w:type="dxa"/>
            <w:vAlign w:val="bottom"/>
            <w:tcBorders>
              <w:top w:val="single" w:sz="8" w:color="auto"/>
            </w:tcBorders>
          </w:tcPr>
          <w:p>
            <w:pPr>
              <w:jc w:val="right"/>
              <w:ind w:right="139"/>
              <w:spacing w:after="0" w:line="161" w:lineRule="exact"/>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659"/>
              <w:spacing w:after="0" w:line="161"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expense</w:t>
            </w:r>
          </w:p>
        </w:tc>
        <w:tc>
          <w:tcPr>
            <w:tcW w:w="1300" w:type="dxa"/>
            <w:vAlign w:val="bottom"/>
            <w:shd w:val="clear" w:color="auto" w:fill="CCEEFF"/>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117" w:right="339" w:bottom="1440" w:gutter="0" w:footer="0" w:header="0"/>
        </w:sectPr>
      </w:pP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calculated using the straight-line method over the shorter of the estimated useful life of the asset or the related 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4. Goodwill and Intangible Assets, net</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Changes in Carrying Value of Goodwill and Other Intangible Assets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Non-Amortizing Intangible Assets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68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Amortizing Intangible</w:t>
            </w:r>
          </w:p>
        </w:tc>
        <w:tc>
          <w:tcPr>
            <w:tcW w:w="280" w:type="dxa"/>
            <w:vAlign w:val="bottom"/>
          </w:tcPr>
          <w:p>
            <w:pPr>
              <w:spacing w:after="0"/>
              <w:rPr>
                <w:sz w:val="12"/>
                <w:szCs w:val="12"/>
                <w:color w:val="auto"/>
              </w:rPr>
            </w:pPr>
          </w:p>
        </w:tc>
        <w:tc>
          <w:tcPr>
            <w:tcW w:w="14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360" w:type="dxa"/>
            <w:vAlign w:val="bottom"/>
          </w:tcPr>
          <w:p>
            <w:pPr>
              <w:spacing w:after="0"/>
              <w:rPr>
                <w:sz w:val="12"/>
                <w:szCs w:val="12"/>
                <w:color w:val="auto"/>
              </w:rPr>
            </w:pPr>
          </w:p>
        </w:tc>
        <w:tc>
          <w:tcPr>
            <w:tcW w:w="124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Pr>
          <w:p>
            <w:pPr>
              <w:spacing w:after="0"/>
              <w:rPr>
                <w:sz w:val="14"/>
                <w:szCs w:val="14"/>
                <w:color w:val="auto"/>
              </w:rPr>
            </w:pPr>
          </w:p>
        </w:tc>
        <w:tc>
          <w:tcPr>
            <w:tcW w:w="1340" w:type="dxa"/>
            <w:vAlign w:val="bottom"/>
            <w:gridSpan w:val="2"/>
          </w:tcPr>
          <w:p>
            <w:pPr>
              <w:ind w:left="240"/>
              <w:spacing w:after="0" w:line="142" w:lineRule="exact"/>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December 31, 2023</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946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Amortization expense</w:t>
            </w:r>
          </w:p>
        </w:tc>
        <w:tc>
          <w:tcPr>
            <w:tcW w:w="340" w:type="dxa"/>
            <w:vAlign w:val="bottom"/>
          </w:tcPr>
          <w:p>
            <w:pPr>
              <w:spacing w:after="0"/>
              <w:rPr>
                <w:sz w:val="18"/>
                <w:szCs w:val="18"/>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March 31, 2024</w:t>
            </w: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910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Gross Carrying Value and Accumulated Amortization of Intangible Assets Other Than Goodwill</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Useful Life</w:t>
            </w:r>
          </w:p>
        </w:tc>
        <w:tc>
          <w:tcPr>
            <w:tcW w:w="122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60" w:type="dxa"/>
            <w:vAlign w:val="bottom"/>
          </w:tcPr>
          <w:p>
            <w:pPr>
              <w:spacing w:after="0"/>
              <w:rPr>
                <w:sz w:val="13"/>
                <w:szCs w:val="13"/>
                <w:color w:val="auto"/>
              </w:rPr>
            </w:pPr>
          </w:p>
        </w:tc>
        <w:tc>
          <w:tcPr>
            <w:tcW w:w="128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3"/>
                <w:szCs w:val="13"/>
                <w:color w:val="auto"/>
              </w:rPr>
            </w:pPr>
          </w:p>
        </w:tc>
        <w:tc>
          <w:tcPr>
            <w:tcW w:w="1040" w:type="dxa"/>
            <w:vAlign w:val="bottom"/>
          </w:tcPr>
          <w:p>
            <w:pPr>
              <w:jc w:val="right"/>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100" w:type="dxa"/>
            <w:vAlign w:val="bottom"/>
          </w:tcPr>
          <w:p>
            <w:pPr>
              <w:spacing w:after="0"/>
              <w:rPr>
                <w:sz w:val="13"/>
                <w:szCs w:val="13"/>
                <w:color w:val="auto"/>
              </w:rPr>
            </w:pPr>
          </w:p>
        </w:tc>
        <w:tc>
          <w:tcPr>
            <w:tcW w:w="112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3"/>
                <w:szCs w:val="13"/>
                <w:color w:val="auto"/>
              </w:rPr>
            </w:pPr>
          </w:p>
        </w:tc>
        <w:tc>
          <w:tcPr>
            <w:tcW w:w="1040" w:type="dxa"/>
            <w:vAlign w:val="bottom"/>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w w:val="98"/>
              </w:rPr>
              <w:t>Net Carrying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2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4"/>
                <w:szCs w:val="14"/>
                <w:color w:val="auto"/>
              </w:rPr>
            </w:pPr>
          </w:p>
        </w:tc>
        <w:tc>
          <w:tcPr>
            <w:tcW w:w="12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Pr>
          <w:p>
            <w:pPr>
              <w:spacing w:after="0"/>
              <w:rPr>
                <w:sz w:val="14"/>
                <w:szCs w:val="14"/>
                <w:color w:val="auto"/>
              </w:rPr>
            </w:pPr>
          </w:p>
        </w:tc>
        <w:tc>
          <w:tcPr>
            <w:tcW w:w="1040" w:type="dxa"/>
            <w:vAlign w:val="bottom"/>
          </w:tcPr>
          <w:p>
            <w:pPr>
              <w:jc w:val="right"/>
              <w:ind w:right="199"/>
              <w:spacing w:after="0" w:line="142" w:lineRule="exact"/>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99"/>
              <w:spacing w:after="0" w:line="142" w:lineRule="exact"/>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Pr>
          <w:p>
            <w:pPr>
              <w:spacing w:after="0"/>
              <w:rPr>
                <w:sz w:val="14"/>
                <w:szCs w:val="14"/>
                <w:color w:val="auto"/>
              </w:rPr>
            </w:pPr>
          </w:p>
        </w:tc>
        <w:tc>
          <w:tcPr>
            <w:tcW w:w="1040" w:type="dxa"/>
            <w:vAlign w:val="bottom"/>
          </w:tcPr>
          <w:p>
            <w:pPr>
              <w:jc w:val="right"/>
              <w:ind w:right="219"/>
              <w:spacing w:after="0" w:line="142" w:lineRule="exact"/>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Amortizing intangible assets</w:t>
            </w: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Customer relationships</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3 - 7 years</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Gaming rights and other</w:t>
            </w: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10 - 34 years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Trademarks</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15 years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Reacquired rights</w:t>
            </w:r>
          </w:p>
        </w:tc>
        <w:tc>
          <w:tcPr>
            <w:tcW w:w="1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24 years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Technology</w:t>
            </w:r>
          </w:p>
        </w:tc>
        <w:tc>
          <w:tcPr>
            <w:tcW w:w="126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6 years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77"/>
        </w:trPr>
        <w:tc>
          <w:tcPr>
            <w:tcW w:w="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Non-amortizing intangible assets other than Goodwill</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Trademarks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Gaming rights</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Caesars Rewards</w:t>
            </w:r>
          </w:p>
        </w:tc>
        <w:tc>
          <w:tcPr>
            <w:tcW w:w="1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60" w:type="dxa"/>
            <w:vAlign w:val="bottom"/>
            <w:gridSpan w:val="10"/>
          </w:tcPr>
          <w:p>
            <w:pPr>
              <w:ind w:left="220"/>
              <w:spacing w:after="0"/>
              <w:rPr>
                <w:sz w:val="20"/>
                <w:szCs w:val="20"/>
                <w:color w:val="auto"/>
              </w:rPr>
            </w:pPr>
            <w:r>
              <w:rPr>
                <w:rFonts w:ascii="Times New Roman" w:cs="Times New Roman" w:eastAsia="Times New Roman" w:hAnsi="Times New Roman"/>
                <w:sz w:val="16"/>
                <w:szCs w:val="16"/>
                <w:color w:val="auto"/>
              </w:rPr>
              <w:t>Total amortizing and non-amortizing intangible assets other than Goodwill, net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expense with respect to intangible assets totaled $36 million for both the three months ended March 31, 2024 and 2023, which is included in Depreciation and amortization in the Statements of Operations.</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Estimated Five-Year Amortization</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8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6"/>
                <w:szCs w:val="16"/>
                <w:b w:val="1"/>
                <w:bCs w:val="1"/>
                <w:color w:val="auto"/>
              </w:rPr>
              <w:t>Remaining 2024</w:t>
            </w:r>
          </w:p>
        </w:tc>
        <w:tc>
          <w:tcPr>
            <w:tcW w:w="240" w:type="dxa"/>
            <w:vAlign w:val="bottom"/>
          </w:tcPr>
          <w:p>
            <w:pPr>
              <w:spacing w:after="0"/>
              <w:rPr>
                <w:sz w:val="13"/>
                <w:szCs w:val="13"/>
                <w:color w:val="auto"/>
              </w:rPr>
            </w:pPr>
          </w:p>
        </w:tc>
        <w:tc>
          <w:tcPr>
            <w:tcW w:w="900" w:type="dxa"/>
            <w:vAlign w:val="bottom"/>
          </w:tcPr>
          <w:p>
            <w:pPr>
              <w:jc w:val="right"/>
              <w:ind w:right="33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39"/>
              <w:spacing w:after="0" w:line="142" w:lineRule="exact"/>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19"/>
              <w:spacing w:after="0" w:line="142" w:lineRule="exact"/>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jc w:val="right"/>
              <w:ind w:right="339"/>
              <w:spacing w:after="0" w:line="142" w:lineRule="exact"/>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39"/>
              <w:spacing w:after="0" w:line="142" w:lineRule="exact"/>
              <w:rPr>
                <w:sz w:val="20"/>
                <w:szCs w:val="20"/>
                <w:color w:val="auto"/>
              </w:rPr>
            </w:pPr>
            <w:r>
              <w:rPr>
                <w:rFonts w:ascii="Times New Roman" w:cs="Times New Roman" w:eastAsia="Times New Roman" w:hAnsi="Times New Roman"/>
                <w:sz w:val="16"/>
                <w:szCs w:val="16"/>
                <w:b w:val="1"/>
                <w:bCs w:val="1"/>
                <w:color w:val="auto"/>
              </w:rPr>
              <w:t>2029</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Estimated annual amortization expense</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5. Litigation, Commitments and Contingencies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party to various legal proceedings, which have arisen in the normal course of our business. Such proceedings can be costly, time consuming and unpredictable and, therefore, no assurance can be given that the final outcome of such proceedings will not materially impact our consolidated financial condition or results of operations. Estimated losses are accrued for these proceedings when the loss is probable and can be estimated. While we maintain insurance coverage that we believe is adequate to mitigate the risks of such proceedings, no assurance can be given that the amount or scope of existing insurance coverage will be sufficient to cover losses arising from such matters. The current liability for the estimated losses associated with these proceedings is not material to our consolidated financial condition and those estimated losses are not expected to have a material impact on our results of operations.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117" w:right="339" w:bottom="1440" w:gutter="0" w:footer="0" w:header="0"/>
        </w:sectPr>
      </w:pP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Commitments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Commitments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Harrah’s New Orleans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2020, the Company and the State of Louisiana, by and through the Louisiana Gaming Control Board, entered into an Amended and Restated Casino Operating Contract. Additionally, the Company, New Orleans Building Corporation and the City entered into a Second Amended and Restated Lease Agreement. Based on these amendments related to Harrah’s New Orleans, the Company was required to make a capital investment of $325 million on or around Harrah’s New Orleans by July 15, 2024. The capital investment involves the rebranding of the property to Caesars New Orleans which includes a renovation and full interior and exterior redesign, updated casino floor, new culinary experiences and a new 340-room hotel tower. The project has a current capital plan of approximately $430 million, and as of March 31, 2024, total capital expenditures have been $329 million since the project began.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Sports Sponsorship/Partnership Obligations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22222"/>
        </w:rPr>
        <w:t xml:space="preserve">The Company has agreements with certain professional sports leagues and teams, sporting event facilities and media companies for tickets, suites, advertising, marketing, promotional and sponsorship opportunities including communication with partner customer databases. Some of the agreements provide Caesars with exclusivity to access the aforementioned rights within the casino and/or sports betting category. As of </w:t>
      </w:r>
      <w:r>
        <w:rPr>
          <w:rFonts w:ascii="Times New Roman" w:cs="Times New Roman" w:eastAsia="Times New Roman" w:hAnsi="Times New Roman"/>
          <w:sz w:val="18"/>
          <w:szCs w:val="18"/>
          <w:color w:val="000000"/>
        </w:rPr>
        <w:t>March 31, 2024 and</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22222"/>
        </w:rPr>
        <w:t>, obligations related to these agreements were $566 million and $605 million, respectively, with contracts extending through 2040.</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These obligations include leasing of event suites that are generally considered short-term leases for which the Company does not record a right of use asset or lease liability. The Company recognizes expenses in the period services are received in accordance with the various agreements. In addition, assets or liabilities may be recorded related to the timing of payments as required by the respective agreement.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Self-Insurance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self-insured for workers compensation and other risk insurance, as well as health insurance and general liability. The Company’s total estimated self-insurance liability as of March 31, 2024 and December 31, 2023, was $218 million and $200 million, respectively, which is included in Accrued other liabilities in our Balance Sheets.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22222"/>
        </w:rPr>
        <w:t>The assumptions utilized by our actuaries are subject to significant uncertainty and if outcomes differ from these assumptions or events develop or progress in a negative manner, the Company could experience a material adverse effect and additional liabilities may be recorded in the future.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6. Long-Term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Final</w:t>
            </w: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Rates</w:t>
            </w:r>
          </w:p>
        </w:tc>
        <w:tc>
          <w:tcPr>
            <w:tcW w:w="120" w:type="dxa"/>
            <w:vAlign w:val="bottom"/>
          </w:tcPr>
          <w:p>
            <w:pPr>
              <w:spacing w:after="0"/>
              <w:rPr>
                <w:sz w:val="13"/>
                <w:szCs w:val="13"/>
                <w:color w:val="auto"/>
              </w:rPr>
            </w:pPr>
          </w:p>
        </w:tc>
        <w:tc>
          <w:tcPr>
            <w:tcW w:w="1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Face Value</w:t>
            </w:r>
          </w:p>
        </w:tc>
        <w:tc>
          <w:tcPr>
            <w:tcW w:w="300" w:type="dxa"/>
            <w:vAlign w:val="bottom"/>
          </w:tcPr>
          <w:p>
            <w:pPr>
              <w:spacing w:after="0"/>
              <w:rPr>
                <w:sz w:val="13"/>
                <w:szCs w:val="13"/>
                <w:color w:val="auto"/>
              </w:rPr>
            </w:pPr>
          </w:p>
        </w:tc>
        <w:tc>
          <w:tcPr>
            <w:tcW w:w="15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Book Value</w:t>
            </w:r>
          </w:p>
        </w:tc>
        <w:tc>
          <w:tcPr>
            <w:tcW w:w="160" w:type="dxa"/>
            <w:vAlign w:val="bottom"/>
          </w:tcPr>
          <w:p>
            <w:pPr>
              <w:spacing w:after="0"/>
              <w:rPr>
                <w:sz w:val="13"/>
                <w:szCs w:val="13"/>
                <w:color w:val="auto"/>
              </w:rPr>
            </w:pP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Book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w w:val="99"/>
              </w:rPr>
              <w:t>Maturity</w:t>
            </w: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Secured Debt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CEI Revolving Credit Facility</w:t>
            </w: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variable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CEI Term Loan A</w:t>
            </w: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variable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CEI Term Loan B</w:t>
            </w: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variable</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CEI Term Loan B-1</w:t>
            </w: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2031</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variable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CEI Senior Secured Notes due 2030</w:t>
            </w: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CEI Senior Secured Notes due 2032</w:t>
            </w: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2032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CEI Senior Secured Notes due 2025</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CRC Senior Secured Notes</w:t>
            </w:r>
          </w:p>
        </w:tc>
        <w:tc>
          <w:tcPr>
            <w:tcW w:w="9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Unsecured Debt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CEI Senior Notes due 2027</w:t>
            </w: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8.125%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CEI Senior Notes due 2029</w:t>
            </w: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4.625%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Special Improvement District Bonds</w:t>
            </w: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2037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70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6"/>
                <w:szCs w:val="16"/>
                <w:color w:val="auto"/>
              </w:rPr>
              <w:t>Long-term notes and other payables</w:t>
            </w: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debt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800" w:type="dxa"/>
            <w:vAlign w:val="bottom"/>
            <w:gridSpan w:val="7"/>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Deferred finance charges associated with the CEI Revolving Credit Facility</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0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Long-term debt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12,342</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12,171</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Unamortized discounts and deferred finance charges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Fair value</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Annual Estimated Debt Service Requirements as of March 31, 2024</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3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3"/>
                <w:szCs w:val="13"/>
                <w:color w:val="auto"/>
              </w:rPr>
            </w:pPr>
          </w:p>
        </w:tc>
        <w:tc>
          <w:tcPr>
            <w:tcW w:w="1020" w:type="dxa"/>
            <w:vAlign w:val="bottom"/>
          </w:tcPr>
          <w:p>
            <w:pPr>
              <w:jc w:val="right"/>
              <w:ind w:right="339"/>
              <w:spacing w:after="0" w:line="139"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6"/>
                <w:szCs w:val="16"/>
                <w:b w:val="1"/>
                <w:bCs w:val="1"/>
                <w:color w:val="auto"/>
              </w:rPr>
              <w:t>Thereafter</w:t>
            </w:r>
          </w:p>
        </w:tc>
        <w:tc>
          <w:tcPr>
            <w:tcW w:w="220" w:type="dxa"/>
            <w:vAlign w:val="bottom"/>
          </w:tcPr>
          <w:p>
            <w:pPr>
              <w:spacing w:after="0"/>
              <w:rPr>
                <w:sz w:val="13"/>
                <w:szCs w:val="13"/>
                <w:color w:val="auto"/>
              </w:rPr>
            </w:pPr>
          </w:p>
        </w:tc>
        <w:tc>
          <w:tcPr>
            <w:tcW w:w="820" w:type="dxa"/>
            <w:vAlign w:val="bottom"/>
          </w:tcPr>
          <w:p>
            <w:pPr>
              <w:jc w:val="right"/>
              <w:ind w:right="259"/>
              <w:spacing w:after="0" w:line="139"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Annual maturities of long-term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12,436</w:t>
            </w:r>
          </w:p>
        </w:tc>
      </w:tr>
      <w:tr>
        <w:trPr>
          <w:trHeight w:val="213"/>
        </w:trPr>
        <w:tc>
          <w:tcPr>
            <w:tcW w:w="2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Estimated interest payments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4,990</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2"/>
            <w:shd w:val="clear" w:color="auto" w:fill="CCEEFF"/>
          </w:tcPr>
          <w:p>
            <w:pPr>
              <w:ind w:left="200"/>
              <w:spacing w:after="0" w:line="213" w:lineRule="exact"/>
              <w:rPr>
                <w:sz w:val="20"/>
                <w:szCs w:val="20"/>
                <w:color w:val="auto"/>
              </w:rPr>
            </w:pPr>
            <w:r>
              <w:rPr>
                <w:rFonts w:ascii="Times New Roman" w:cs="Times New Roman" w:eastAsia="Times New Roman" w:hAnsi="Times New Roman"/>
                <w:sz w:val="16"/>
                <w:szCs w:val="16"/>
                <w:color w:val="auto"/>
              </w:rPr>
              <w:t xml:space="preserve">Total debt service obligation </w:t>
            </w:r>
            <w:r>
              <w:rPr>
                <w:rFonts w:ascii="Times New Roman" w:cs="Times New Roman" w:eastAsia="Times New Roman" w:hAnsi="Times New Roman"/>
                <w:sz w:val="21"/>
                <w:szCs w:val="21"/>
                <w:i w:val="1"/>
                <w:iCs w:val="1"/>
                <w:color w:val="auto"/>
                <w:vertAlign w:val="superscript"/>
              </w:rPr>
              <w:t>(a)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57" w:lineRule="exact"/>
        <w:rPr>
          <w:sz w:val="20"/>
          <w:szCs w:val="20"/>
          <w:color w:val="auto"/>
        </w:rPr>
      </w:pPr>
    </w:p>
    <w:p>
      <w:pPr>
        <w:ind w:left="340" w:hanging="332"/>
        <w:spacing w:after="0" w:line="222" w:lineRule="auto"/>
        <w:tabs>
          <w:tab w:leader="none" w:pos="327" w:val="left"/>
        </w:tabs>
        <w:numPr>
          <w:ilvl w:val="0"/>
          <w:numId w:val="5"/>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Debt principal payments are estimated amounts based on contractual maturity and scheduled repayment dates. Interest payments are estimated based on the forward-looking SOFR curve, where applicable. Actual payments may differ from these estimates.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Portion of Long-Term Debt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portion of long-term debt as of March 31, 2024 includes the principal payments on the term loans, other unsecured borrowings, and special improvement district bonds that are contractually due within 12 months. The Company may, from time to time, seek to repurchase or prepay its outstanding indebtedness. Any such purchases or repayments may be funded by existing cash balances or the incurrence of debt. The amount and timing of any repurchase will be based on business and market conditions, capital availability, compliance with debt covenants and other considerations.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Discounts or Premiums and Deferred Finance Charges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Debt discounts or premiums and deferred finance charges incurred in connection with the issuance of debt are amortized to interest expense based on the related debt agreements primarily using the effective interest method. Unamortized discounts are written off and included in our gain or loss calculations to the extent we extinguish debt prior to the original maturity or scheduled payment dates.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debt has been calculated primarily based on the borrowing rates available as of March 31, 2024 and based on market quotes of our publicly traded debt. We classify the fair value of debt within Level 1 and Level 2 in the fair value hierarchy.</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117" w:right="339" w:bottom="1440" w:gutter="0" w:footer="0" w:header="0"/>
        </w:sectPr>
      </w:pP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Outstanding Debt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CEI Term Loans and CEI Revolving Credit Facility</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CEI is party to a credit agreement, dated as of July 20, 2020, with JPMorgan Chase Bank, N.A., as administrative agent, U.S. Bank National Association, as collateral agent, and certain banks and other financial institutions and lenders party thereto (the “CEI Credit Agreement”), which, as amended, provides for the CEI Revolving Credit Facility in an aggregate principal amount of $2.25 billion (the “CEI Revolving Credit Facility”) and will mature on January 31, 2028. The CEI Revolving Credit Facility includes a letter of credit sub-facility of $388 million and contains reserves of $40 million which are available only for certain permitted uses.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5, 2022, Caesars entered into an amendment to the CEI Credit Agreement pursuant to which the Company incurred a senior secured term loan in an aggregate principal amount of $750 million (the “CEI Term Loan A”) as a new term loan under the credit agreement and made certain other amendments to the CEI Credit Agreement. The CEI Term Loan A will mature on January 31, 2028, subject to a springing maturity in the event certain other long-term debt of Caesars is not extended or repaid. The CEI Term Loan A requires scheduled quarterly payments in amounts equal to 1.25% of the original aggregate principal amount of the CEI Term Loan A, with the balance payable at maturity. The Company may make voluntary prepayments of the CEI Term Loan A at any time prior to maturity at par.</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Borrowings under the CEI Revolving Credit Facility and the CEI Term Loan A bear interest, paid monthly or quarterly, at a rate equal to, at the Company’s option, either (a) a forward-looking term rate based on Secured Overnight Financing Rate (“Term SOFR”) for the applicable interest period plus an adjustment of 0.10% per annum (“Adjusted Term SOFR”), subject to a floor of 0% or (b) a base rate (the “Base Rate”) determined by reference to the highest of (i) the rate of interest per annum last quoted by The Wall Street Journal as the “Prime Rate” in the United States, (ii) the federal funds rate plus 0.50% per annum and (iii) the one-month Adjusted Term SOFR plus 1.00% per annum, in each case, plus an applicable margin. Such applicable margin is</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2.25% per annum in the case of any Adjusted Term SOFR loan and 1.25% per annum in the case of any Base Rate loan, subject to three 0.25% step-downs based on the Company’s net total leverage ratio. In addition, on a quarterly basis, the Company is required to pay each lender under the CEI Revolving Credit Facility a commitment fee in respect of any unused commitments under the CEI Revolving Credit Facility in the amount of 0.35% per annum of the principal amount of the unused commitments of such lender, subject to three 0.05% step-downs based on the Company’s net total leverage ratio.</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6, 2023, Caesars entered into an Incremental Assumption Agreement No. 2 pursuant to which the Company incurred a new senior secured term loan facility in an aggregate principal amount of $2.5 billion (the “CEI Term Loan B”) as a new term loan under the CEI Credit Agreement. The CEI Term Loan B requires scheduled quarterly principal payments in amounts equal to 0.25% of the original aggregate principal amount of the CEI Term Loan B, with the balance payable at maturity. Borrowings under the CEI Term Loan B bear interest, paid monthly, at a rate equal to, at the Company’s option, either (a) a forward-looking term rate based on the Adjusted Term SOFR, subject to a floor of 0.50% or (b) a base rate (the “TLB Base Rate”) determined by reference to the highest of (i) the Prime Rate in the United States, (ii) the federal funds rate plus 0.50% per annum and (iii) the one-month Adjusted Term SOFR plus 1.00% per annum, in each case, plus an applicable margin. Such applicable margin is 3.25% per annum in the case of any Adjusted Term SOFR loan and 2.25% per annum in the case of any TLB Base Rate loan, subject to one 0.25% step-down based on the Company’s net total leverage ratio. The CEI Term Loan B was issued at a price of 99.0% of the principal amount and will mature on February 6, 2030.</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On February 6, 2024, the Company entered into an Incremental Assumption Agreement No. 3 pursuant to which the Company incurred a new senior secured incremental term loan in an aggregate principal amount of $2.9 billion (the “CEI Term Loan B-1”) under the CEI Credit Agreement. The CEI Term Loan B-1 requires quarterly principal payments in amounts equal to 0.25% of the original aggregate principal amount of the CEI Term Loan B-1, with the balance payable at maturity. Borrowings under the CEI Term Loan B-1 bear interest at a rate equal to, at the Company’s option, either (a) a forward-looking term rate based on the Term SOFR, subject to a floor of 0.50% or (b) a base rate (the “TLB-1 Base Rate”) determined by reference to the highest of (i) the “Prime Rate” in the United States, (ii) the federal funds rate plus 0.50% per annum and (iii) the one-month Term SOFR plus 1.00% per annum, in each case, plus an applicable margin. Such applicable margin is 2.75% per annum in the case of any Term SOFR loan and 1.75% per annum in the case of any TLB-1 Base Rate loan. The CEI Term Loan B-1 was issued at a price of 99.75% of the principal amount and will mature on February 6, 2031.</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The net proceeds from the CEI Term Loan B-1 and the net proceeds from the issuance of the CEI Senior Secured Notes due 2032 (as described below), together with borrowings under the CEI Revolving Credit Facility, were used to tender, redeem, repurchase, defease, and/or satisfy and discharge any and all of the principal amounts, including accrued and unpaid interest, related expenses and fees of both the 5.75% Senior Secured Notes due 2025 (the “CRC Senior Secured Notes”) and the 6.25%</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Senior Secured Notes due 2025 (the “CEI Senior Secured Notes due 2025”). As a result of these transactions, the Company recognized $48 million of loss on early extinguishment of debt.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the Company utilized and fully repaid the CEI Revolving Credit Facility. Such activity is presented in the financing section in the Statements of Cash Flows. As of March 31, 2024, the Company had $2.1 billion of available borrowing capacity under the CEI Revolving Credit Facility, after consideration of $70 million in outstanding letters of credit, $46 million committed for regulatory purposes, and the reserves described above.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CEI Senior Secured Notes due 2030</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6, 2023, the Company issued $2.0 billion in aggregate principal amount of 7.00% senior secured notes (the “CEI Senior Secured Notes due 2030”) pursuant to an indenture by and among the Company, the subsidiary guarantors party thereto from time to time, U.S. Bank Trust Company, National Association, as trustee, and U.S. Bank National Association, as collateral agent. The CEI Senior Secured Notes due 2030 rank equally with all existing and future first-priority lien obligations of the Company and the subsidiary guarantors. The CEI Senior Secured Notes due 2030 will mature on February 15, 2030, with interest payable semi-annually on February 15 and August 15 of each year.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CEI Senior Secured Notes due 2032</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6, 2024, the Company issued $1.5 billion in aggregate principal amount of 6.50% senior secured notes due 2032 (the “CEI Senior Secured Notes due 2032”) pursuant to an indenture by and among the Company, the subsidiary guarantors party thereto, U.S. Bank Trust Company, National Association, as trustee, and U.S. Bank National Association, as collateral agent. The CEI Senior Secured Notes due 2032 rank equally with all existing and future first-priority lien obligations of the Company and the subsidiary guarantors. The CEI Senior Secured Notes due 2032 will mature on February 15, 2032, with interest payable semi-annually on February 15 and August 15 of each year, commencing August 15, 2024.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CEI Senior Secured Notes due 2025</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July 6, 2020, Colt Merger Sub, Inc. (the “Escrow Issuer”) issued $3.4 billion in aggregate principal amount of the CEI Senior Secured Notes due 2025 pursuant to an indenture dated July 6, 2020, by and among the Escrow Issuer, U.S. Bank National Association, as trustee, and U.S. Bank National Association, as collateral agent. The CEI Senior Secured Notes due 2025 ranked equally with all existing and future first-priority lien obligations of the Company and the subsidiary guarantors. The CEI Senior Secured Notes due 2025 were scheduled to mature on July 1, 2025, with interest payable semi-annually on January 1 and July 1 of each year. On April 5, 2023, the Company purchased $1 million in principal amount of the CEI Senior Secured Notes due 2025. </w:t>
      </w:r>
      <w:r>
        <w:rPr>
          <w:rFonts w:ascii="Times New Roman" w:cs="Times New Roman" w:eastAsia="Times New Roman" w:hAnsi="Times New Roman"/>
          <w:sz w:val="18"/>
          <w:szCs w:val="18"/>
          <w:color w:val="212529"/>
        </w:rPr>
        <w:t>On February 6, 2024, the Company fully tendered, redeemed, repurchased, defeased, and/or satisfied and discharged any and all of the 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amounts, including accrued and unpaid interest, related expenses and fees.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CRC Senior Secured Notes due 2025</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July 6, 2020, the Escrow Issuer issued $1.0 billion in aggregate principal amount of the CRC Senior Secured Notes due 2025 pursuant to an indenture, dated July 6, 2020, by and among the Escrow Issuer, U.S. Bank National Association, as trustee and Credit Suisse AG, Cayman Islands Branch, as collateral agent. The CRC Senior Secured Notes ranked equally with all existing and future first priority lien obligations of CRC, CRC Finco, Inc. and the subsidiary guarantors. The CRC Senior Secured Notes were scheduled to mature on July 1, 2025, with interest payable semi-annually on January 1 and July 1 of each year. </w:t>
      </w:r>
      <w:r>
        <w:rPr>
          <w:rFonts w:ascii="Times New Roman" w:cs="Times New Roman" w:eastAsia="Times New Roman" w:hAnsi="Times New Roman"/>
          <w:sz w:val="18"/>
          <w:szCs w:val="18"/>
          <w:color w:val="212529"/>
        </w:rPr>
        <w:t>On February 6, 2024, the Company fully tendered, redeemed, repurchased, defeased, and/or satisfied and discharged any and all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principal amounts, including accrued and unpaid interest, related expenses and fees.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CEI Senior Notes due 2027</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6, 2020, the Escrow Issuer issued $1.8 billion in aggregate principal amount of 8.125% Senior Notes due 2027 pursuant to an indenture, dated July 6, 2020 (the “CEI Senior Notes due 2027”), by and between the Escrow Issuer and U.S. Bank National Association, as trustee. The CEI Senior Notes due 2027 rank equally with all existing and future senior unsecured indebtedness of the Company and the subsidiary guarantors. The CEI Senior Notes due 2027 will mature on July 1, 2027, with interest payable semi-annually on January 1 and July 1 of each year.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CEI Senior Notes due 2029</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24, 2021, the Company issued $1.2 billion in aggregate principal amount of 4.625% Senior Notes due 2029 (the “CEI Senior Notes due 2029”) pursuant to an indenture dated as of September 24, 2021, between the Company and U.S. Bank National Association, as trustee. The CEI Senior Notes due 2029 rank equally with all existing and future senior unsecured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indebtedness of the Company and the subsidiary guarantors. The CEI Senior Notes due 2029 will mature on October 15, 2029, with interest payable semi-annually on April 15 and October 15 of each 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Covenant Compliance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CEI Revolving Credit Facility, the CEI Term Loan A, the CEI Term Loan B, the CEI Term Loan B-1, and the indentures governing the CEI Senior Secured Notes due 2030, the CEI Senior Secured Notes due 2032, the CEI Senior Notes due 2027, and the CEI Senior Notes due 2029 contain covenants which are standard and customary for these types of agreements. These include negative covenants, which, subject to certain exceptions and baskets, limit the Company’s and its subsidiaries’ ability to (among other items) incur additional indebtedness, make investments, make restricted payments, including dividends, grant liens, sell assets and make acquisitions.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CEI Revolving Credit Facility and the CEI Term Loan A include a maximum net total leverage ratio financial covenant of 7.25:1 until December 31, 2024 and 6.50:1 from and after December 31, 2024. In addition, the CEI Revolving Credit Facility and the CEI Term Loan A include a minimum fixed charge coverage ratio financial covenant of 1.75:1 until December 31, 2024 and 2.0:1 from and after December 31, 2024. From and after the repayment of the CEI Term Loan A, the financial covenants applicable to the CEI Revolving Credit Facility will be tested solely to the extent that certain testing conditions are satisfied. Failure to comply with such covenants could result in an acceleration of the maturity of indebtedness outstanding under the relevant debt document.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 Company was in compliance with all of the applicable financial covenants described above.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Guarantees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CEI Revolving Credit Facility, the CEI Term Loan A, the CEI Term Loan B, the CEI Term Loan B-1, the CEI Senior Secured Notes due 2030 and the CEI Senior Secured Notes due 2032 are guaranteed on a senior secured basis by each existing and future material wholly-owned domestic subsidiary of the Company and are secured by substantially all of the existing and future property and assets of the Company and its subsidiary guarantors (subject to certain exceptions). The CEI Senior Notes due 2027 and the CEI Senior Notes due 2029 are guaranteed on a senior unsecured basis by such subsidiaries.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7. Revenue Recognition</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Company’s Statements of Operations present net revenue disaggregated by type or nature of the good or service. A summary of net revenues disaggregated by type of revenue and reportable segment is presented below. Refer to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 xml:space="preserve"> for additional information on the Company’s reportable segments.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Las Vegas</w:t>
            </w:r>
          </w:p>
        </w:tc>
        <w:tc>
          <w:tcPr>
            <w:tcW w:w="22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Regional</w:t>
            </w:r>
          </w:p>
        </w:tc>
        <w:tc>
          <w:tcPr>
            <w:tcW w:w="10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Caesars Digital</w:t>
            </w:r>
          </w:p>
        </w:tc>
        <w:tc>
          <w:tcPr>
            <w:tcW w:w="120" w:type="dxa"/>
            <w:vAlign w:val="bottom"/>
          </w:tcPr>
          <w:p>
            <w:pPr>
              <w:spacing w:after="0"/>
              <w:rPr>
                <w:sz w:val="13"/>
                <w:szCs w:val="13"/>
                <w:color w:val="auto"/>
              </w:rPr>
            </w:pPr>
          </w:p>
        </w:tc>
        <w:tc>
          <w:tcPr>
            <w:tcW w:w="126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Managed and</w:t>
            </w:r>
          </w:p>
        </w:tc>
        <w:tc>
          <w:tcPr>
            <w:tcW w:w="120" w:type="dxa"/>
            <w:vAlign w:val="bottom"/>
          </w:tcPr>
          <w:p>
            <w:pPr>
              <w:spacing w:after="0"/>
              <w:rPr>
                <w:sz w:val="13"/>
                <w:szCs w:val="13"/>
                <w:color w:val="auto"/>
              </w:rPr>
            </w:pPr>
          </w:p>
        </w:tc>
        <w:tc>
          <w:tcPr>
            <w:tcW w:w="12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28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6"/>
                <w:szCs w:val="16"/>
                <w:b w:val="1"/>
                <w:bCs w:val="1"/>
                <w:color w:val="auto"/>
              </w:rPr>
              <w:t>Branded</w:t>
            </w:r>
          </w:p>
        </w:tc>
        <w:tc>
          <w:tcPr>
            <w:tcW w:w="120" w:type="dxa"/>
            <w:vAlign w:val="bottom"/>
          </w:tcPr>
          <w:p>
            <w:pPr>
              <w:spacing w:after="0"/>
              <w:rPr>
                <w:sz w:val="14"/>
                <w:szCs w:val="14"/>
                <w:color w:val="auto"/>
              </w:rPr>
            </w:pPr>
          </w:p>
        </w:tc>
        <w:tc>
          <w:tcPr>
            <w:tcW w:w="1260" w:type="dxa"/>
            <w:vAlign w:val="bottom"/>
            <w:gridSpan w:val="2"/>
          </w:tcPr>
          <w:p>
            <w:pPr>
              <w:ind w:left="320"/>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Casino</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Food and beverage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Hotel</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02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revenues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Las Vegas</w:t>
            </w:r>
          </w:p>
        </w:tc>
        <w:tc>
          <w:tcPr>
            <w:tcW w:w="22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Regional</w:t>
            </w:r>
          </w:p>
        </w:tc>
        <w:tc>
          <w:tcPr>
            <w:tcW w:w="10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Caesars Digital</w:t>
            </w:r>
          </w:p>
        </w:tc>
        <w:tc>
          <w:tcPr>
            <w:tcW w:w="120" w:type="dxa"/>
            <w:vAlign w:val="bottom"/>
          </w:tcPr>
          <w:p>
            <w:pPr>
              <w:spacing w:after="0"/>
              <w:rPr>
                <w:sz w:val="13"/>
                <w:szCs w:val="13"/>
                <w:color w:val="auto"/>
              </w:rPr>
            </w:pPr>
          </w:p>
        </w:tc>
        <w:tc>
          <w:tcPr>
            <w:tcW w:w="126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Managed and</w:t>
            </w:r>
          </w:p>
        </w:tc>
        <w:tc>
          <w:tcPr>
            <w:tcW w:w="120" w:type="dxa"/>
            <w:vAlign w:val="bottom"/>
          </w:tcPr>
          <w:p>
            <w:pPr>
              <w:spacing w:after="0"/>
              <w:rPr>
                <w:sz w:val="13"/>
                <w:szCs w:val="13"/>
                <w:color w:val="auto"/>
              </w:rPr>
            </w:pPr>
          </w:p>
        </w:tc>
        <w:tc>
          <w:tcPr>
            <w:tcW w:w="126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28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6"/>
                <w:szCs w:val="16"/>
                <w:b w:val="1"/>
                <w:bCs w:val="1"/>
                <w:color w:val="auto"/>
              </w:rPr>
              <w:t>Branded</w:t>
            </w:r>
          </w:p>
        </w:tc>
        <w:tc>
          <w:tcPr>
            <w:tcW w:w="120" w:type="dxa"/>
            <w:vAlign w:val="bottom"/>
          </w:tcPr>
          <w:p>
            <w:pPr>
              <w:spacing w:after="0"/>
              <w:rPr>
                <w:sz w:val="14"/>
                <w:szCs w:val="14"/>
                <w:color w:val="auto"/>
              </w:rPr>
            </w:pPr>
          </w:p>
        </w:tc>
        <w:tc>
          <w:tcPr>
            <w:tcW w:w="12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Casino</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Food and beverage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Hotel</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revenues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Net</w:t>
      </w: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Pr>
          <w:p>
            <w:pPr>
              <w:spacing w:after="0"/>
              <w:rPr>
                <w:sz w:val="16"/>
                <w:szCs w:val="16"/>
                <w:color w:val="auto"/>
              </w:rPr>
            </w:pPr>
          </w:p>
        </w:tc>
        <w:tc>
          <w:tcPr>
            <w:tcW w:w="1660" w:type="dxa"/>
            <w:vAlign w:val="bottom"/>
            <w:gridSpan w:val="2"/>
          </w:tcPr>
          <w:p>
            <w:pPr>
              <w:ind w:left="140"/>
              <w:spacing w:after="0" w:line="171" w:lineRule="exact"/>
              <w:rPr>
                <w:sz w:val="20"/>
                <w:szCs w:val="20"/>
                <w:color w:val="auto"/>
              </w:rPr>
            </w:pPr>
            <w:r>
              <w:rPr>
                <w:rFonts w:ascii="Times New Roman" w:cs="Times New Roman" w:eastAsia="Times New Roman" w:hAnsi="Times New Roman"/>
                <w:sz w:val="16"/>
                <w:szCs w:val="16"/>
                <w:b w:val="1"/>
                <w:bCs w:val="1"/>
                <w:color w:val="auto"/>
              </w:rPr>
              <w:t>March 31, 2024</w:t>
            </w:r>
          </w:p>
        </w:tc>
        <w:tc>
          <w:tcPr>
            <w:tcW w:w="180" w:type="dxa"/>
            <w:vAlign w:val="bottom"/>
          </w:tcPr>
          <w:p>
            <w:pPr>
              <w:spacing w:after="0"/>
              <w:rPr>
                <w:sz w:val="16"/>
                <w:szCs w:val="16"/>
                <w:color w:val="auto"/>
              </w:rPr>
            </w:pPr>
          </w:p>
        </w:tc>
        <w:tc>
          <w:tcPr>
            <w:tcW w:w="1620" w:type="dxa"/>
            <w:vAlign w:val="bottom"/>
          </w:tcPr>
          <w:p>
            <w:pPr>
              <w:jc w:val="right"/>
              <w:ind w:right="159"/>
              <w:spacing w:after="0" w:line="171" w:lineRule="exact"/>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Casino</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213"/>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Food and beverage and hotel</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46"/>
        </w:trPr>
        <w:tc>
          <w:tcPr>
            <w:tcW w:w="20" w:type="dxa"/>
            <w:vAlign w:val="bottom"/>
            <w:shd w:val="clear" w:color="auto" w:fill="CCEEFF"/>
          </w:tcPr>
          <w:p>
            <w:pPr>
              <w:spacing w:after="0"/>
              <w:rPr>
                <w:sz w:val="21"/>
                <w:szCs w:val="21"/>
                <w:color w:val="auto"/>
              </w:rPr>
            </w:pPr>
          </w:p>
        </w:tc>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207"/>
        </w:trPr>
        <w:tc>
          <w:tcPr>
            <w:tcW w:w="20" w:type="dxa"/>
            <w:vAlign w:val="bottom"/>
          </w:tcPr>
          <w:p>
            <w:pPr>
              <w:spacing w:after="0"/>
              <w:rPr>
                <w:sz w:val="17"/>
                <w:szCs w:val="17"/>
                <w:color w:val="auto"/>
              </w:rPr>
            </w:pPr>
          </w:p>
        </w:tc>
        <w:tc>
          <w:tcPr>
            <w:tcW w:w="75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w:t>
            </w: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and Contract-Related Liabilities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records contract or contract-related liabilities related to differences between the timing of cash receipts from the customer and the recognition of revenue. The Company generally has three types of liabilities related to contracts with customers: (1) outstanding chip liability, which represents the amounts owed in exchange for gaming chips held by customers, (2) Caesars Rewards player loyalty program obligations, which represent the deferred allocation of revenue relating to reward credits granted to Caesars Rewards members based on certain types of customer spend, including online and retail gaming, hotel, dining, retail shopping, and player loyalty program incentives earned, and (3) customer deposits and other deferred revenue, which primarily represents funds deposited by customers related to gaming play and advance payments received for goods and services yet to be provided (such as advance ticket sales, deposits on rooms and convention space, unpaid wagers, iGaming deposits, or future sports bets). These liabilities are generally expected to be recognized as revenue within one year of being purchased, earned, or deposited and are recorded within Accrued other liabilities on the Company’s Balance Sheets. Liabilities expected to be recognized as revenue beyond one year of being purchased, earned, or deposited are recorded within Other long-term liabilities on the Company’s Balance Sheets.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contract and contract-related liabilities: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3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Outstanding Chip Liability</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4"/>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Caesars Rewards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Customer Deposits and Other</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60" w:type="dxa"/>
            <w:vAlign w:val="bottom"/>
            <w:tcBorders>
              <w:bottom w:val="single" w:sz="8" w:color="auto"/>
            </w:tcBorders>
            <w:gridSpan w:val="4"/>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Borders>
              <w:bottom w:val="single" w:sz="8" w:color="auto"/>
            </w:tcBorders>
            <w:gridSpan w:val="4"/>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Deferred Revenue</w:t>
            </w:r>
          </w:p>
        </w:tc>
        <w:tc>
          <w:tcPr>
            <w:tcW w:w="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9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920" w:type="dxa"/>
            <w:vAlign w:val="bottom"/>
          </w:tcPr>
          <w:p>
            <w:pPr>
              <w:jc w:val="right"/>
              <w:ind w:right="3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7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1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9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FF0FC"/>
            </w:tcBorders>
          </w:tcPr>
          <w:p>
            <w:pPr>
              <w:spacing w:after="0"/>
              <w:rPr>
                <w:sz w:val="2"/>
                <w:szCs w:val="2"/>
                <w:color w:val="auto"/>
              </w:rPr>
            </w:pPr>
          </w:p>
        </w:tc>
        <w:tc>
          <w:tcPr>
            <w:tcW w:w="760" w:type="dxa"/>
            <w:vAlign w:val="bottom"/>
            <w:tcBorders>
              <w:top w:val="single" w:sz="8" w:color="auto"/>
              <w:bottom w:val="single" w:sz="8" w:color="CFF0FC"/>
            </w:tcBorders>
          </w:tcPr>
          <w:p>
            <w:pPr>
              <w:spacing w:after="0"/>
              <w:rPr>
                <w:sz w:val="2"/>
                <w:szCs w:val="2"/>
                <w:color w:val="auto"/>
              </w:rPr>
            </w:pPr>
          </w:p>
        </w:tc>
        <w:tc>
          <w:tcPr>
            <w:tcW w:w="218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2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January 1</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693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693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FF0FC"/>
            </w:tcBorders>
          </w:tcPr>
          <w:p>
            <w:pPr>
              <w:spacing w:after="0"/>
              <w:rPr>
                <w:sz w:val="18"/>
                <w:szCs w:val="18"/>
                <w:color w:val="auto"/>
              </w:rPr>
            </w:pPr>
          </w:p>
        </w:tc>
        <w:tc>
          <w:tcPr>
            <w:tcW w:w="29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6"/>
                <w:szCs w:val="16"/>
                <w:color w:val="auto"/>
              </w:rPr>
              <w:t>Balance at March 31</w:t>
            </w:r>
          </w:p>
        </w:tc>
        <w:tc>
          <w:tcPr>
            <w:tcW w:w="9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637</w:t>
            </w:r>
          </w:p>
        </w:tc>
        <w:tc>
          <w:tcPr>
            <w:tcW w:w="0" w:type="dxa"/>
            <w:vAlign w:val="bottom"/>
          </w:tcPr>
          <w:p>
            <w:pPr>
              <w:spacing w:after="0"/>
              <w:rPr>
                <w:sz w:val="1"/>
                <w:szCs w:val="1"/>
                <w:color w:val="auto"/>
              </w:rPr>
            </w:pPr>
          </w:p>
        </w:tc>
      </w:tr>
      <w:tr>
        <w:trPr>
          <w:trHeight w:val="237"/>
        </w:trPr>
        <w:tc>
          <w:tcPr>
            <w:tcW w:w="20" w:type="dxa"/>
            <w:vAlign w:val="bottom"/>
            <w:tcBorders>
              <w:bottom w:val="single" w:sz="8" w:color="CFF0FC"/>
            </w:tcBorders>
            <w:shd w:val="clear" w:color="auto" w:fill="CFF0FC"/>
          </w:tcPr>
          <w:p>
            <w:pPr>
              <w:spacing w:after="0"/>
              <w:rPr>
                <w:sz w:val="20"/>
                <w:szCs w:val="20"/>
                <w:color w:val="auto"/>
              </w:rPr>
            </w:pPr>
          </w:p>
        </w:tc>
        <w:tc>
          <w:tcPr>
            <w:tcW w:w="2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Increase / (decrease)</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6"/>
              </w:rPr>
              <w:t>(3)</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1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Lodging Arrangements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Lodging arrangements are considered short-term and generally consist of lease and nonlease components. The lease component is the predominant component of the arrangement and consists of the fees charged for lodging. The nonlease components primarily consist of resort fees and other miscellaneous items. As the timing and pattern of transfer of both the lease and nonlease components are over the course of the lease term, we have elected to combine the revenue generated from lease and nonlease components into a single lease component based on the predominant component in the arrangement. During the three months ended March 31, 2024 and 2023, we recognized approximately $493 million and $503 million, respectively, which is included in Hotel revenues in the Statements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Conventions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Convention arrangements are considered short-term and generally consist of lease and nonlease components. The lease component is the predominant component of the arrangement and consists of fees charged for the use of meeting space. The nonlease components primarily consist of food and beverage and audio/visual services. Revenue from conventions is included in Food and beverage revenue in the Statements of Operations and during the three months ended March 31, 2024 and 2023, lease revenue related to conventions was approximately $13 million and $14 million,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Real Estate Operating Leases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Real estate lease revenue is included in Other revenue in the Statements of Operations. During the three months ended March 31, 2024 and 2023, we recognized approximately $35 million and $37 million,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Real estate lease revenue includes $13 million and $14 million of variable rental income for the three months ended March 31, 2024 and 2023, respectively.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8. Earnings per Share</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reconciliation of the numerators and denominators of the basic and diluted net income (loss) per share computations for the three months ended March 31, 2024 and 2023:</w:t>
      </w:r>
    </w:p>
    <w:p>
      <w:pPr>
        <w:spacing w:after="0" w:line="151"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39"/>
              <w:spacing w:after="0" w:line="161"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39"/>
              <w:spacing w:after="0" w:line="161"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2080" w:type="dxa"/>
            <w:vAlign w:val="bottom"/>
            <w:tcBorders>
              <w:top w:val="single" w:sz="8" w:color="auto"/>
              <w:bottom w:val="single" w:sz="8" w:color="CCEEFF"/>
            </w:tcBorders>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Caesars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3"/>
        </w:trPr>
        <w:tc>
          <w:tcPr>
            <w:tcW w:w="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Shares outstanding:</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r>
      <w:tr>
        <w:trPr>
          <w:trHeight w:val="213"/>
        </w:trPr>
        <w:tc>
          <w:tcPr>
            <w:tcW w:w="20" w:type="dxa"/>
            <w:vAlign w:val="bottom"/>
          </w:tcPr>
          <w:p>
            <w:pPr>
              <w:spacing w:after="0"/>
              <w:rPr>
                <w:sz w:val="18"/>
                <w:szCs w:val="18"/>
                <w:color w:val="auto"/>
              </w:rPr>
            </w:pPr>
          </w:p>
        </w:tc>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r>
      <w:tr>
        <w:trPr>
          <w:trHeight w:val="219"/>
        </w:trPr>
        <w:tc>
          <w:tcPr>
            <w:tcW w:w="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5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loss per common share attributable to common stockholders – basic:</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(0.63)</w:t>
            </w:r>
          </w:p>
        </w:tc>
      </w:tr>
      <w:tr>
        <w:trPr>
          <w:trHeight w:val="219"/>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common share attributable to common stockholders – diluted:</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(0.63)</w:t>
            </w: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period in which the Company generated a net loss from continuing operations, the Weighted average shares outstanding - basic was used in calculating Diluted loss per share because using diluted shares would have been anti-dilutive to loss per share.</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Weighted-Average Number of Anti-Dilutive Shares Excluded from the Calculation of Earnings per Share</w:t>
      </w:r>
    </w:p>
    <w:p>
      <w:pPr>
        <w:spacing w:after="0" w:line="243"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560" w:type="dxa"/>
            <w:vAlign w:val="bottom"/>
            <w:tcBorders>
              <w:top w:val="single" w:sz="8" w:color="auto"/>
            </w:tcBorders>
          </w:tcPr>
          <w:p>
            <w:pPr>
              <w:jc w:val="right"/>
              <w:ind w:right="539"/>
              <w:spacing w:after="0" w:line="161"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539"/>
              <w:spacing w:after="0" w:line="161"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72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7"/>
        </w:trPr>
        <w:tc>
          <w:tcPr>
            <w:tcW w:w="20" w:type="dxa"/>
            <w:vAlign w:val="bottom"/>
            <w:shd w:val="clear" w:color="auto" w:fill="CCEEFF"/>
          </w:tcPr>
          <w:p>
            <w:pPr>
              <w:spacing w:after="0"/>
              <w:rPr>
                <w:sz w:val="17"/>
                <w:szCs w:val="17"/>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awards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2"/>
        </w:trPr>
        <w:tc>
          <w:tcPr>
            <w:tcW w:w="20" w:type="dxa"/>
            <w:vAlign w:val="bottom"/>
          </w:tcPr>
          <w:p>
            <w:pPr>
              <w:spacing w:after="0"/>
              <w:rPr>
                <w:sz w:val="18"/>
                <w:szCs w:val="18"/>
                <w:color w:val="auto"/>
              </w:rPr>
            </w:pP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 anti-dilutive common stock</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9. Stock-Based Compensation and Stockholders’ Equity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Awards</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maintains long-term incentive plans which allow for granting stock-based compensation awards to directors, employees, officers, and consultants or advisers who render services to the Company or its subsidiaries, based on Company Common Stock, including stock options, restricted stock, restricted stock units (“RSUs”), performance stock units (“PSUs”), market-based performance stock units (“MSUs”), stock appreciation rights, and other stock-based awards or dividend equivalents. Forfeitures are recognized in the period in which they occur.</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in the accompanying Statements of Operations totaled $25 million and $27 million during the three months ended March 31, 2024 and 2023, respectively. These amounts are included in Corporate expense in the Company’s Statements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Equity Incentive Plan (“2015 Plan”)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as part of the annual incentive program, the Company granted 1.7 million RSUs to eligible participants with an aggregate fair value of $78 million and a ratable vesting period of one to three years. Each RSU represents the right to receive payment in respect of one share of the Company’s Common Stock.</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the Company also granted 107 thousand PSUs that are scheduled to cliff vest over a period of one to three years. On the vesting date, recipients will receive between 0% and 200% of the target number of PSUs granted, in the form of Company Common Stock, based on the achievement of specified performance and service conditions. The fair value of the PSUs is based on the market price of our common stock when a mutual understanding of the key terms and conditions of the awards between the Company and recipient is achieved. The awards are remeasured each period until such an understanding is reached. The aggregate value of PSUs granted during the quarter was $4.7 million as of March 31, 2024.</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during the three months ended March 31, 2024, the Company granted 429 thousand MSUs that are scheduled to cliff vest over a period of one to three years. On the vesting date, recipients will receive between 0% and 200% of the target number of MSUs granted, in the form of Company Common Stock, based on the achievement of specified market and service conditions. The grant date fair value of the MSUs was determined using a Monte-Carlo simulation model. Key assumptions for the Monte-Carlo simulation model are the risk-free interest rate, expected volatility, expected dividends and correlation coefficient. The effect of market conditions is considered in determining the grant date fair value, which is not subsequently revised based on actual performance. The aggregate value of MSUs granted during the three months ended March 31, 2024 was $25 million.</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there were no grants of stock options. In addition, during the three months ended March 31, 2024, 799 thousand, 99 thousand and 19 thousand of RSUs, PSUs and MSUs, respectively, vested under the 2015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at End of Period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60" w:type="dxa"/>
            <w:vAlign w:val="bottom"/>
          </w:tcPr>
          <w:p>
            <w:pPr>
              <w:spacing w:after="0"/>
              <w:rPr>
                <w:sz w:val="18"/>
                <w:szCs w:val="18"/>
                <w:color w:val="auto"/>
              </w:rPr>
            </w:pPr>
          </w:p>
        </w:tc>
        <w:tc>
          <w:tcPr>
            <w:tcW w:w="3220" w:type="dxa"/>
            <w:vAlign w:val="bottom"/>
            <w:gridSpan w:val="4"/>
          </w:tcPr>
          <w:p>
            <w:pPr>
              <w:ind w:left="10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160" w:type="dxa"/>
            <w:vAlign w:val="bottom"/>
            <w:gridSpan w:val="3"/>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2"/>
        </w:trPr>
        <w:tc>
          <w:tcPr>
            <w:tcW w:w="4860" w:type="dxa"/>
            <w:vAlign w:val="bottom"/>
          </w:tcPr>
          <w:p>
            <w:pPr>
              <w:spacing w:after="0"/>
              <w:rPr>
                <w:sz w:val="18"/>
                <w:szCs w:val="18"/>
                <w:color w:val="auto"/>
              </w:rPr>
            </w:pPr>
          </w:p>
        </w:tc>
        <w:tc>
          <w:tcPr>
            <w:tcW w:w="1620" w:type="dxa"/>
            <w:vAlign w:val="bottom"/>
            <w:tcBorders>
              <w:top w:val="single" w:sz="8" w:color="auto"/>
            </w:tcBorders>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1500" w:type="dxa"/>
            <w:vAlign w:val="bottom"/>
            <w:tcBorders>
              <w:top w:val="single" w:sz="8" w:color="auto"/>
            </w:tcBorders>
          </w:tcPr>
          <w:p>
            <w:pPr>
              <w:jc w:val="right"/>
              <w:ind w:right="279"/>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Wtd-Avg </w:t>
            </w:r>
            <w:r>
              <w:rPr>
                <w:rFonts w:ascii="Times New Roman" w:cs="Times New Roman" w:eastAsia="Times New Roman" w:hAnsi="Times New Roman"/>
                <w:sz w:val="21"/>
                <w:szCs w:val="21"/>
                <w:b w:val="1"/>
                <w:bCs w:val="1"/>
                <w:i w:val="1"/>
                <w:iCs w:val="1"/>
                <w:color w:val="auto"/>
                <w:vertAlign w:val="superscript"/>
              </w:rPr>
              <w:t>(a)</w:t>
            </w:r>
          </w:p>
        </w:tc>
        <w:tc>
          <w:tcPr>
            <w:tcW w:w="100" w:type="dxa"/>
            <w:vAlign w:val="bottom"/>
          </w:tcPr>
          <w:p>
            <w:pPr>
              <w:spacing w:after="0"/>
              <w:rPr>
                <w:sz w:val="18"/>
                <w:szCs w:val="18"/>
                <w:color w:val="auto"/>
              </w:rPr>
            </w:pPr>
          </w:p>
        </w:tc>
        <w:tc>
          <w:tcPr>
            <w:tcW w:w="1620" w:type="dxa"/>
            <w:vAlign w:val="bottom"/>
            <w:tcBorders>
              <w:top w:val="single" w:sz="8" w:color="auto"/>
            </w:tcBorders>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1540" w:type="dxa"/>
            <w:vAlign w:val="bottom"/>
            <w:tcBorders>
              <w:top w:val="single" w:sz="8" w:color="auto"/>
            </w:tcBorders>
          </w:tcPr>
          <w:p>
            <w:pPr>
              <w:jc w:val="right"/>
              <w:ind w:right="299"/>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Wtd-Avg </w:t>
            </w:r>
            <w:r>
              <w:rPr>
                <w:rFonts w:ascii="Times New Roman" w:cs="Times New Roman" w:eastAsia="Times New Roman" w:hAnsi="Times New Roman"/>
                <w:sz w:val="21"/>
                <w:szCs w:val="21"/>
                <w:b w:val="1"/>
                <w:bCs w:val="1"/>
                <w:i w:val="1"/>
                <w:iCs w:val="1"/>
                <w:color w:val="auto"/>
                <w:vertAlign w:val="superscript"/>
              </w:rPr>
              <w:t>(a)</w:t>
            </w:r>
          </w:p>
        </w:tc>
      </w:tr>
      <w:tr>
        <w:trPr>
          <w:trHeight w:val="209"/>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2,813,633</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50.48</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1,922,419</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60.11</w:t>
            </w: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Performance stock units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358,615</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43.74</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328,230</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w:t>
            </w: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Market-based stock units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1,134,413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872,019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85.11</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57" w:lineRule="exact"/>
        <w:rPr>
          <w:sz w:val="20"/>
          <w:szCs w:val="20"/>
          <w:color w:val="auto"/>
        </w:rPr>
      </w:pPr>
    </w:p>
    <w:p>
      <w:pPr>
        <w:ind w:left="340" w:hanging="332"/>
        <w:spacing w:after="0" w:line="222" w:lineRule="auto"/>
        <w:tabs>
          <w:tab w:leader="none" w:pos="327" w:val="left"/>
        </w:tabs>
        <w:numPr>
          <w:ilvl w:val="0"/>
          <w:numId w:val="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Represents the weighted-average grant date fair value for RSUs, weighted-average grant date fair value for PSUs where the grant date has been achieved, the price of CEI common stock as of the balance sheet date for PSUs where a grant date has not been achieved, and the grant date fair value of the MSUs determined using the Monte-Carlo simulation model.</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Accumulated other comprehensive income (loss) by component, net of tax, for the three months ended March 31, 2024 and 2023 are shown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Unrealized Net Gains</w:t>
            </w:r>
          </w:p>
        </w:tc>
        <w:tc>
          <w:tcPr>
            <w:tcW w:w="12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on Derivative</w:t>
            </w:r>
          </w:p>
        </w:tc>
        <w:tc>
          <w:tcPr>
            <w:tcW w:w="120" w:type="dxa"/>
            <w:vAlign w:val="bottom"/>
          </w:tcPr>
          <w:p>
            <w:pPr>
              <w:spacing w:after="0"/>
              <w:rPr>
                <w:sz w:val="14"/>
                <w:szCs w:val="14"/>
                <w:color w:val="auto"/>
              </w:rPr>
            </w:pPr>
          </w:p>
        </w:tc>
        <w:tc>
          <w:tcPr>
            <w:tcW w:w="15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7"/>
              </w:rPr>
              <w:t>Translation</w:t>
            </w:r>
          </w:p>
        </w:tc>
        <w:tc>
          <w:tcPr>
            <w:tcW w:w="11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4"/>
                <w:szCs w:val="14"/>
                <w:color w:val="auto"/>
              </w:rPr>
            </w:pPr>
          </w:p>
        </w:tc>
        <w:tc>
          <w:tcPr>
            <w:tcW w:w="142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6"/>
                <w:szCs w:val="16"/>
                <w:b w:val="1"/>
                <w:bCs w:val="1"/>
                <w:color w:val="auto"/>
              </w:rPr>
              <w:t>Instruments</w:t>
            </w:r>
          </w:p>
        </w:tc>
        <w:tc>
          <w:tcPr>
            <w:tcW w:w="120" w:type="dxa"/>
            <w:vAlign w:val="bottom"/>
          </w:tcPr>
          <w:p>
            <w:pPr>
              <w:spacing w:after="0"/>
              <w:rPr>
                <w:sz w:val="14"/>
                <w:szCs w:val="14"/>
                <w:color w:val="auto"/>
              </w:rPr>
            </w:pPr>
          </w:p>
        </w:tc>
        <w:tc>
          <w:tcPr>
            <w:tcW w:w="15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6"/>
                <w:szCs w:val="16"/>
                <w:b w:val="1"/>
                <w:bCs w:val="1"/>
                <w:color w:val="auto"/>
              </w:rPr>
              <w:t>Adjustments</w:t>
            </w:r>
          </w:p>
        </w:tc>
        <w:tc>
          <w:tcPr>
            <w:tcW w:w="11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December 31, 2022</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2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9"/>
              </w:rPr>
              <w:t>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484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other comprehensive income, net of tax</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color w:val="auto"/>
                <w:w w:val="99"/>
              </w:rPr>
              <w:t>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Balances as of March 31, 2023</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center"/>
              <w:ind w:left="99"/>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Balances as of December 31, 2023</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comprehensive loss before reclassifications</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8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Total other comprehensive loss, net of tax</w:t>
            </w:r>
          </w:p>
        </w:tc>
        <w:tc>
          <w:tcPr>
            <w:tcW w:w="2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March 31, 2024</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2018, the Company’s Board of Directors authorized a $150 million common stock repurchase program (the “Share Repurchase Program”) pursuant to which the Company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the Company is required to repurchase under the Share Repurchase Program.</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has acquired 223,823 shares of common stock under the Share Repurchase Program at an aggregate value of $9 million and an average of $40.80 per share. No shares were repurchased during the three months ended March 31, 2024 and 2023.</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10. Income Taxes</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utilized a discrete effective tax rate method, as allowed by ASC 740-270 “Income Taxes, Interim Reporting,” to calculate taxes for the three months ended March 31, 2024 and 2023. The Company determined that small changes in estimated “ordinary” income would result in significant changes in the estimated annual effective tax rate (“AETR”), and therefore, the AETR method would not provide a reliable estimate.</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Allocation</w:t>
      </w:r>
    </w:p>
    <w:p>
      <w:pPr>
        <w:spacing w:after="0" w:line="29"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599"/>
              <w:spacing w:after="0" w:line="161"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599"/>
              <w:spacing w:after="0" w:line="161"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continuing operations before income taxes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(127)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(185)</w:t>
            </w:r>
          </w:p>
        </w:tc>
      </w:tr>
      <w:tr>
        <w:trPr>
          <w:trHeight w:val="213"/>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380" w:type="dxa"/>
            <w:vAlign w:val="bottom"/>
          </w:tcPr>
          <w:p>
            <w:pPr>
              <w:spacing w:after="0"/>
              <w:rPr>
                <w:sz w:val="18"/>
                <w:szCs w:val="18"/>
                <w:color w:val="auto"/>
              </w:rPr>
            </w:pPr>
          </w:p>
        </w:tc>
        <w:tc>
          <w:tcPr>
            <w:tcW w:w="1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Effective tax rate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26.5 %</w:t>
            </w: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classifies accruals for uncertain tax positions within Other long-term liabilities on the Balance Sheets, separate from any related income tax payable or deferred income taxes. Reserve amounts relate to any potential income tax liabilities resulting from uncertain tax positions as well as potential interest or penalties associated with those liabilities.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assesses the available positive and negative evidence to estimate if sufficient future taxable income will be generated to use existing deferred tax assets. During the second quarter of 2023, the Company evaluated its forecasted adjusted taxable income and objectively verifiable evidence and placed substantial weight on its 2022 and 2023 quarterly earnings, adjusted for non-recurring items, including the interest expense disallowed under current tax law. Accordingly, the Company determined it was more likely than not that a portion of the federal and state deferred tax assets will be realized and, as a result, during the second quarter of 2023, the Company reversed the valuation allowance related to these deferred tax assets and recorded an income tax benefit of $940 million. The Company is still carrying a valuation allowance on certain federal and state deferred tax assets that are not more likely than not to be realized in the future. The Company has assessed the changes to the valuation allowance, including realization of the disallowed interest expense deferred tax asset, using the integrated approach.</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income tax provision for the three months ended March 31, 2024 differed from the expected income tax benefit based on the federal tax rate of 21% primarily due to an increase in federal and state valuation allowances against the deferred tax assets for excess business interest expense.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income tax benefit for the three months ended March 31, 2023 differed from the expected income tax benefit based on the federal tax rate of 21% primarily due to state deferred tax benefits generated from net operating losses becoming available due to elections to treat certain subsidiary corporations as disregarded entities for income tax purposes.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including its subsidiaries, files tax returns with federal, state, and foreign jurisdictions. The Company does not have tax sharing agreements with the other members within its consolidated group. The Company is subject to exam by various state and foreign tax authorities. With few exceptions, the Company is no longer subject to US federal or state and local tax assessments by tax authorities for years before 2020, and it is possible that the amount of the liability for unrecognized tax benefits could change during the next 12 months.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11. Related Party and Affiliate Transactions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S. &amp; Y. Associates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owns the entire parcel on which Eldorado Resort Casino Reno is located, except for approximately 30,000 square feet which is leased from C. S. &amp; Y. Associates (“CSY”) (the “CSY Lease”). CSY is a general partnership in which a trust has an approximate 27% interest. The Company’s Executive Chairman of the Board, Gary L. Carano, and his siblings are direct or indirect beneficiaries of the trust. The CSY Lease expires on June 30, 2057. Annual rent pursuant to the CSY Lease is currently $0.6 million, paid monthly. Annual rent is subject to periodic rent escalations of 1 to 2 percent through the term of the lease. Commensurate with its interest, the trust receives directly from the Company approximately 27% of the rent paid by the Company. As of March 31, 2024 and December 31, 2023, there were no amounts due to or from CSY.</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b w:val="1"/>
          <w:bCs w:val="1"/>
          <w:i w:val="1"/>
          <w:iCs w:val="1"/>
          <w:color w:val="auto"/>
        </w:rPr>
        <w:t>VA Holdco, LLC</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2023, the Company entered into a joint venture, CVA Holdco, LLC, with EBCI and an additional minority partner, to construct, own and operate a gaming facility in Danville, Virginia (“Caesars Virginia”). Caesars Virginia opened in a temporary facility on May 15, 2023 which will be replaced by a permanent facility that is currently under construction and is estimated to open in December 2024. As the managing member, the Company will operate the business and manage the development, construction, financing, marketing, leasing, maintenance and day-to-day operation of the various phases of the project. While the Company holds a 49.5% variable interest in the joint venture, it is the primary beneficiary; as such, the joint venture’s operations are included in the Financial Statements, with a minority interest recorded reflecting the operations attributed to the other partners. The Company participates ratably, based on ownership percentage, with the partners in the profits and losses of the joint venture. As of March 31, 2024, the Company has received $116 million in contributions for the project. Subsequent to March 31, 2024, Caesars Virginia, LLC, a subsidiary of CVA Holdco, LLC, entered into a five-year term loan and revolving credit facility agreement totaling $425 million on April 26, 2024.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Pompano Joint Venture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2018, the Company entered into a joint venture with Cordish Companies (“Cordish”) to plan and develop a mixed-use entertainment and hospitality destination expected to be located on unused land adjacent to the casino and racetrack at the Company’s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the Company’s input and will submit it for the Company’s review and approval. While the Company holds a 50% variable interest in the joint venture, it is not the primary beneficiary; as such, the investment in the joint venture is accounted for using the equity method and is recorded in Investment in and advances to unconsolidated affiliates on the Balance Sheet. The Company participates evenly with Cordish in the profits and losses of the joint venture, which are included in Transaction and other costs, net on the Statements of Operations.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2024, the Company has contributed a total of $7 million in cash contributions since inception of the joint venture, which includes capital calls totaling $3 million in October 2023 that the Company elected to participate in. Additionally, the Company has contributed approximately 209 acres of land with a total fair value of approximately $69 million. The Company has no further obligation to contribute additional real estate or cash. During the year ended December 31, 2023, the Company recorded $64 million of income related to the investment, primarily due to the joint venture’s gain on the sale of a land parcel. As of both March 31, 2024 and December 31, 2023, the Company’s investment in the joint venture was $147 million and is recorded in Investments in and advances to unconsolidated affiliates on the Balance Sheets.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12. Segment Information</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executive decision maker of the Company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The Company’s principal operating activities occur in four reportable segments. The reportable segments are based on the similar characteristics of the operating segments with the way management assesses these results and allocates resources, which is a consolidated view that adjusts for the effect of certain transactions between these reportable segments within Caesars: (1) Las Vegas, (2) Regional, (3) Caesars Digital, and (4) Managed and Branded, in addition to Corporate and Other.</w:t>
      </w:r>
    </w:p>
    <w:p>
      <w:pPr>
        <w:spacing w:after="0" w:line="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See table below for a summary of these segments. Also, see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for a discussion of any impairment of intangible assets or long-lived assets related to certain segments, when applicable.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properties (listed by segment in which each property is reported) as of March 31,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b w:val="1"/>
                <w:bCs w:val="1"/>
                <w:color w:val="auto"/>
              </w:rPr>
              <w:t>Las Vegas</w:t>
            </w:r>
          </w:p>
        </w:tc>
        <w:tc>
          <w:tcPr>
            <w:tcW w:w="80" w:type="dxa"/>
            <w:vAlign w:val="bottom"/>
            <w:tcBorders>
              <w:bottom w:val="single" w:sz="8" w:color="CCEEFF"/>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Regional</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Managed and Branded</w:t>
            </w:r>
          </w:p>
        </w:tc>
      </w:tr>
      <w:tr>
        <w:trPr>
          <w:trHeight w:val="21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Caesars Palace Las Vegas</w:t>
            </w:r>
          </w:p>
        </w:tc>
        <w:tc>
          <w:tcPr>
            <w:tcW w:w="80" w:type="dxa"/>
            <w:vAlign w:val="bottom"/>
            <w:shd w:val="clear" w:color="auto" w:fill="CCEEFF"/>
          </w:tcPr>
          <w:p>
            <w:pPr>
              <w:spacing w:after="0"/>
              <w:rPr>
                <w:sz w:val="18"/>
                <w:szCs w:val="18"/>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Caesars Atlantic City</w:t>
            </w:r>
          </w:p>
        </w:tc>
        <w:tc>
          <w:tcPr>
            <w:tcW w:w="46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Harveys Lake Tahoe</w:t>
            </w:r>
          </w:p>
        </w:tc>
        <w:tc>
          <w:tcPr>
            <w:tcW w:w="2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Managed</w:t>
            </w:r>
          </w:p>
        </w:tc>
      </w:tr>
      <w:tr>
        <w:trPr>
          <w:trHeight w:val="21"/>
        </w:trPr>
        <w:tc>
          <w:tcPr>
            <w:tcW w:w="2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r>
      <w:tr>
        <w:trPr>
          <w:trHeight w:val="256"/>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Cromwell</w:t>
            </w:r>
          </w:p>
        </w:tc>
        <w:tc>
          <w:tcPr>
            <w:tcW w:w="80" w:type="dxa"/>
            <w:vAlign w:val="bottom"/>
          </w:tcPr>
          <w:p>
            <w:pPr>
              <w:spacing w:after="0"/>
              <w:rPr>
                <w:sz w:val="22"/>
                <w:szCs w:val="22"/>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Caesars Virginia </w:t>
            </w:r>
            <w:r>
              <w:rPr>
                <w:rFonts w:ascii="Times New Roman" w:cs="Times New Roman" w:eastAsia="Times New Roman" w:hAnsi="Times New Roman"/>
                <w:sz w:val="21"/>
                <w:szCs w:val="21"/>
                <w:i w:val="1"/>
                <w:iCs w:val="1"/>
                <w:color w:val="auto"/>
                <w:vertAlign w:val="superscript"/>
              </w:rPr>
              <w:t>(a)</w:t>
            </w:r>
          </w:p>
        </w:tc>
        <w:tc>
          <w:tcPr>
            <w:tcW w:w="460" w:type="dxa"/>
            <w:vAlign w:val="bottom"/>
          </w:tcPr>
          <w:p>
            <w:pPr>
              <w:spacing w:after="0"/>
              <w:rPr>
                <w:sz w:val="22"/>
                <w:szCs w:val="22"/>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Horseshoe Baltimore</w:t>
            </w:r>
          </w:p>
        </w:tc>
        <w:tc>
          <w:tcPr>
            <w:tcW w:w="20" w:type="dxa"/>
            <w:vAlign w:val="bottom"/>
          </w:tcPr>
          <w:p>
            <w:pPr>
              <w:spacing w:after="0"/>
              <w:rPr>
                <w:sz w:val="22"/>
                <w:szCs w:val="22"/>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Harrah’s Ak-Chin</w:t>
            </w:r>
          </w:p>
        </w:tc>
      </w:tr>
      <w:tr>
        <w:trPr>
          <w:trHeight w:val="257"/>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Flamingo Las Vegas</w:t>
            </w:r>
          </w:p>
        </w:tc>
        <w:tc>
          <w:tcPr>
            <w:tcW w:w="80" w:type="dxa"/>
            <w:vAlign w:val="bottom"/>
            <w:shd w:val="clear" w:color="auto" w:fill="CCEEFF"/>
          </w:tcPr>
          <w:p>
            <w:pPr>
              <w:spacing w:after="0"/>
              <w:rPr>
                <w:sz w:val="22"/>
                <w:szCs w:val="22"/>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Circus Circus Reno</w:t>
            </w:r>
          </w:p>
        </w:tc>
        <w:tc>
          <w:tcPr>
            <w:tcW w:w="460" w:type="dxa"/>
            <w:vAlign w:val="bottom"/>
            <w:shd w:val="clear" w:color="auto" w:fill="CCEEFF"/>
          </w:tcPr>
          <w:p>
            <w:pPr>
              <w:spacing w:after="0"/>
              <w:rPr>
                <w:sz w:val="22"/>
                <w:szCs w:val="22"/>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Horseshoe Black Hawk</w:t>
            </w:r>
          </w:p>
        </w:tc>
        <w:tc>
          <w:tcPr>
            <w:tcW w:w="20" w:type="dxa"/>
            <w:vAlign w:val="bottom"/>
            <w:shd w:val="clear" w:color="auto" w:fill="CCEEFF"/>
          </w:tcPr>
          <w:p>
            <w:pPr>
              <w:spacing w:after="0"/>
              <w:rPr>
                <w:sz w:val="22"/>
                <w:szCs w:val="22"/>
                <w:color w:val="auto"/>
              </w:rPr>
            </w:pPr>
          </w:p>
        </w:tc>
        <w:tc>
          <w:tcPr>
            <w:tcW w:w="2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Harrah’s Cherokee</w:t>
            </w:r>
          </w:p>
        </w:tc>
      </w:tr>
      <w:tr>
        <w:trPr>
          <w:trHeight w:val="25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Harrah’s Las Vegas</w:t>
            </w:r>
          </w:p>
        </w:tc>
        <w:tc>
          <w:tcPr>
            <w:tcW w:w="80" w:type="dxa"/>
            <w:vAlign w:val="bottom"/>
          </w:tcPr>
          <w:p>
            <w:pPr>
              <w:spacing w:after="0"/>
              <w:rPr>
                <w:sz w:val="22"/>
                <w:szCs w:val="22"/>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Eldorado Gaming Scioto Downs</w:t>
            </w:r>
          </w:p>
        </w:tc>
        <w:tc>
          <w:tcPr>
            <w:tcW w:w="460" w:type="dxa"/>
            <w:vAlign w:val="bottom"/>
          </w:tcPr>
          <w:p>
            <w:pPr>
              <w:spacing w:after="0"/>
              <w:rPr>
                <w:sz w:val="22"/>
                <w:szCs w:val="22"/>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Horseshoe Bossier City</w:t>
            </w:r>
          </w:p>
        </w:tc>
        <w:tc>
          <w:tcPr>
            <w:tcW w:w="20" w:type="dxa"/>
            <w:vAlign w:val="bottom"/>
          </w:tcPr>
          <w:p>
            <w:pPr>
              <w:spacing w:after="0"/>
              <w:rPr>
                <w:sz w:val="22"/>
                <w:szCs w:val="22"/>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Harrah’s Cherokee Valley River</w:t>
            </w:r>
          </w:p>
        </w:tc>
      </w:tr>
      <w:tr>
        <w:trPr>
          <w:trHeight w:val="26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Horseshoe Las Vegas</w:t>
            </w:r>
          </w:p>
        </w:tc>
        <w:tc>
          <w:tcPr>
            <w:tcW w:w="80" w:type="dxa"/>
            <w:vAlign w:val="bottom"/>
            <w:shd w:val="clear" w:color="auto" w:fill="CCEEFF"/>
          </w:tcPr>
          <w:p>
            <w:pPr>
              <w:spacing w:after="0"/>
              <w:rPr>
                <w:sz w:val="22"/>
                <w:szCs w:val="22"/>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Eldorado Resort Casino Reno</w:t>
            </w:r>
          </w:p>
        </w:tc>
        <w:tc>
          <w:tcPr>
            <w:tcW w:w="460" w:type="dxa"/>
            <w:vAlign w:val="bottom"/>
            <w:shd w:val="clear" w:color="auto" w:fill="CCEEFF"/>
          </w:tcPr>
          <w:p>
            <w:pPr>
              <w:spacing w:after="0"/>
              <w:rPr>
                <w:sz w:val="22"/>
                <w:szCs w:val="22"/>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Horseshoe Council Bluffs</w:t>
            </w:r>
          </w:p>
        </w:tc>
        <w:tc>
          <w:tcPr>
            <w:tcW w:w="20" w:type="dxa"/>
            <w:vAlign w:val="bottom"/>
            <w:shd w:val="clear" w:color="auto" w:fill="CCEEFF"/>
          </w:tcPr>
          <w:p>
            <w:pPr>
              <w:spacing w:after="0"/>
              <w:rPr>
                <w:sz w:val="22"/>
                <w:szCs w:val="22"/>
                <w:color w:val="auto"/>
              </w:rPr>
            </w:pPr>
          </w:p>
        </w:tc>
        <w:tc>
          <w:tcPr>
            <w:tcW w:w="2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Harrah’s Resort Southern California</w:t>
            </w:r>
          </w:p>
        </w:tc>
      </w:tr>
      <w:tr>
        <w:trPr>
          <w:trHeight w:val="25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LINQ Hotel &amp; Casino</w:t>
            </w:r>
          </w:p>
        </w:tc>
        <w:tc>
          <w:tcPr>
            <w:tcW w:w="80" w:type="dxa"/>
            <w:vAlign w:val="bottom"/>
          </w:tcPr>
          <w:p>
            <w:pPr>
              <w:spacing w:after="0"/>
              <w:rPr>
                <w:sz w:val="22"/>
                <w:szCs w:val="22"/>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Grand Victoria Casino</w:t>
            </w:r>
          </w:p>
        </w:tc>
        <w:tc>
          <w:tcPr>
            <w:tcW w:w="460" w:type="dxa"/>
            <w:vAlign w:val="bottom"/>
          </w:tcPr>
          <w:p>
            <w:pPr>
              <w:spacing w:after="0"/>
              <w:rPr>
                <w:sz w:val="22"/>
                <w:szCs w:val="22"/>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Horseshoe Hammond</w:t>
            </w:r>
          </w:p>
        </w:tc>
        <w:tc>
          <w:tcPr>
            <w:tcW w:w="20" w:type="dxa"/>
            <w:vAlign w:val="bottom"/>
          </w:tcPr>
          <w:p>
            <w:pPr>
              <w:spacing w:after="0"/>
              <w:rPr>
                <w:sz w:val="22"/>
                <w:szCs w:val="22"/>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Caesars Windsor</w:t>
            </w:r>
          </w:p>
        </w:tc>
      </w:tr>
      <w:tr>
        <w:trPr>
          <w:trHeight w:val="239"/>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Paris Las Vegas</w:t>
            </w:r>
          </w:p>
        </w:tc>
        <w:tc>
          <w:tcPr>
            <w:tcW w:w="8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Harrah’s Atlantic City</w:t>
            </w:r>
          </w:p>
        </w:tc>
        <w:tc>
          <w:tcPr>
            <w:tcW w:w="460" w:type="dxa"/>
            <w:vAlign w:val="bottom"/>
            <w:tcBorders>
              <w:bottom w:val="single" w:sz="8" w:color="CCEEFF"/>
            </w:tcBorders>
            <w:shd w:val="clear" w:color="auto" w:fill="CCEEFF"/>
          </w:tcPr>
          <w:p>
            <w:pPr>
              <w:spacing w:after="0"/>
              <w:rPr>
                <w:sz w:val="20"/>
                <w:szCs w:val="20"/>
                <w:color w:val="auto"/>
              </w:rPr>
            </w:pPr>
          </w:p>
        </w:tc>
        <w:tc>
          <w:tcPr>
            <w:tcW w:w="29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Horseshoe Indianapolis</w:t>
            </w:r>
          </w:p>
        </w:tc>
        <w:tc>
          <w:tcPr>
            <w:tcW w:w="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w w:val="97"/>
              </w:rPr>
              <w:t>Branded</w:t>
            </w:r>
          </w:p>
        </w:tc>
        <w:tc>
          <w:tcPr>
            <w:tcW w:w="2200" w:type="dxa"/>
            <w:vAlign w:val="bottom"/>
            <w:tcBorders>
              <w:bottom w:val="single" w:sz="8" w:color="CCEEFF"/>
            </w:tcBorders>
            <w:gridSpan w:val="2"/>
            <w:shd w:val="clear" w:color="auto" w:fill="CCEEFF"/>
          </w:tcPr>
          <w:p>
            <w:pPr>
              <w:spacing w:after="0"/>
              <w:rPr>
                <w:sz w:val="20"/>
                <w:szCs w:val="20"/>
                <w:color w:val="auto"/>
              </w:rPr>
            </w:pPr>
          </w:p>
        </w:tc>
      </w:tr>
      <w:tr>
        <w:trPr>
          <w:trHeight w:val="257"/>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Planet Hollywood Resort &amp; Casino</w:t>
            </w:r>
          </w:p>
        </w:tc>
        <w:tc>
          <w:tcPr>
            <w:tcW w:w="80" w:type="dxa"/>
            <w:vAlign w:val="bottom"/>
          </w:tcPr>
          <w:p>
            <w:pPr>
              <w:spacing w:after="0"/>
              <w:rPr>
                <w:sz w:val="22"/>
                <w:szCs w:val="22"/>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Harrah’s Columbus Nebraska </w:t>
            </w:r>
            <w:r>
              <w:rPr>
                <w:rFonts w:ascii="Times New Roman" w:cs="Times New Roman" w:eastAsia="Times New Roman" w:hAnsi="Times New Roman"/>
                <w:sz w:val="21"/>
                <w:szCs w:val="21"/>
                <w:i w:val="1"/>
                <w:iCs w:val="1"/>
                <w:color w:val="auto"/>
                <w:vertAlign w:val="superscript"/>
              </w:rPr>
              <w:t>(b)</w:t>
            </w:r>
          </w:p>
        </w:tc>
        <w:tc>
          <w:tcPr>
            <w:tcW w:w="460" w:type="dxa"/>
            <w:vAlign w:val="bottom"/>
          </w:tcPr>
          <w:p>
            <w:pPr>
              <w:spacing w:after="0"/>
              <w:rPr>
                <w:sz w:val="22"/>
                <w:szCs w:val="22"/>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Horseshoe Lake Charles</w:t>
            </w:r>
          </w:p>
        </w:tc>
        <w:tc>
          <w:tcPr>
            <w:tcW w:w="20" w:type="dxa"/>
            <w:vAlign w:val="bottom"/>
          </w:tcPr>
          <w:p>
            <w:pPr>
              <w:spacing w:after="0"/>
              <w:rPr>
                <w:sz w:val="22"/>
                <w:szCs w:val="22"/>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Caesars Republic Scottsdale</w:t>
            </w:r>
          </w:p>
        </w:tc>
      </w:tr>
      <w:tr>
        <w:trPr>
          <w:trHeight w:val="257"/>
        </w:trPr>
        <w:tc>
          <w:tcPr>
            <w:tcW w:w="2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Harrah’s Council Bluffs</w:t>
            </w:r>
          </w:p>
        </w:tc>
        <w:tc>
          <w:tcPr>
            <w:tcW w:w="460" w:type="dxa"/>
            <w:vAlign w:val="bottom"/>
            <w:shd w:val="clear" w:color="auto" w:fill="CCEEFF"/>
          </w:tcPr>
          <w:p>
            <w:pPr>
              <w:spacing w:after="0"/>
              <w:rPr>
                <w:sz w:val="22"/>
                <w:szCs w:val="22"/>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Horseshoe St. Louis</w:t>
            </w:r>
          </w:p>
        </w:tc>
        <w:tc>
          <w:tcPr>
            <w:tcW w:w="20" w:type="dxa"/>
            <w:vAlign w:val="bottom"/>
            <w:shd w:val="clear" w:color="auto" w:fill="CCEEFF"/>
          </w:tcPr>
          <w:p>
            <w:pPr>
              <w:spacing w:after="0"/>
              <w:rPr>
                <w:sz w:val="22"/>
                <w:szCs w:val="22"/>
                <w:color w:val="auto"/>
              </w:rPr>
            </w:pPr>
          </w:p>
        </w:tc>
        <w:tc>
          <w:tcPr>
            <w:tcW w:w="2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Caesars Southern Indiana</w:t>
            </w:r>
          </w:p>
        </w:tc>
      </w:tr>
      <w:tr>
        <w:trPr>
          <w:trHeight w:val="254"/>
        </w:trPr>
        <w:tc>
          <w:tcPr>
            <w:tcW w:w="26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b w:val="1"/>
                <w:bCs w:val="1"/>
                <w:color w:val="auto"/>
              </w:rPr>
              <w:t>Caesars Digital</w:t>
            </w:r>
          </w:p>
        </w:tc>
        <w:tc>
          <w:tcPr>
            <w:tcW w:w="80" w:type="dxa"/>
            <w:vAlign w:val="bottom"/>
            <w:tcBorders>
              <w:bottom w:val="single" w:sz="8" w:color="CCEEFF"/>
            </w:tcBorders>
          </w:tcPr>
          <w:p>
            <w:pPr>
              <w:spacing w:after="0"/>
              <w:rPr>
                <w:sz w:val="22"/>
                <w:szCs w:val="22"/>
                <w:color w:val="auto"/>
              </w:rPr>
            </w:pPr>
          </w:p>
        </w:tc>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Harrah’s Gulf Coast</w:t>
            </w:r>
          </w:p>
        </w:tc>
        <w:tc>
          <w:tcPr>
            <w:tcW w:w="460" w:type="dxa"/>
            <w:vAlign w:val="bottom"/>
            <w:tcBorders>
              <w:bottom w:val="single" w:sz="8" w:color="CCEEFF"/>
            </w:tcBorders>
          </w:tcPr>
          <w:p>
            <w:pPr>
              <w:spacing w:after="0"/>
              <w:rPr>
                <w:sz w:val="22"/>
                <w:szCs w:val="22"/>
                <w:color w:val="auto"/>
              </w:rPr>
            </w:pPr>
          </w:p>
        </w:tc>
        <w:tc>
          <w:tcPr>
            <w:tcW w:w="29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6"/>
                <w:szCs w:val="16"/>
                <w:color w:val="auto"/>
              </w:rPr>
              <w:t>Horseshoe Tunica</w:t>
            </w:r>
          </w:p>
        </w:tc>
        <w:tc>
          <w:tcPr>
            <w:tcW w:w="20" w:type="dxa"/>
            <w:vAlign w:val="bottom"/>
            <w:tcBorders>
              <w:bottom w:val="single" w:sz="8" w:color="CCEEFF"/>
            </w:tcBorders>
          </w:tcPr>
          <w:p>
            <w:pPr>
              <w:spacing w:after="0"/>
              <w:rPr>
                <w:sz w:val="22"/>
                <w:szCs w:val="22"/>
                <w:color w:val="auto"/>
              </w:rPr>
            </w:pPr>
          </w:p>
        </w:tc>
        <w:tc>
          <w:tcPr>
            <w:tcW w:w="27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Harrah’s Northern California</w:t>
            </w:r>
          </w:p>
        </w:tc>
      </w:tr>
      <w:tr>
        <w:trPr>
          <w:trHeight w:val="23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Caesars Digital</w:t>
            </w:r>
          </w:p>
        </w:tc>
        <w:tc>
          <w:tcPr>
            <w:tcW w:w="80" w:type="dxa"/>
            <w:vAlign w:val="bottom"/>
            <w:shd w:val="clear" w:color="auto" w:fill="CCEEFF"/>
          </w:tcPr>
          <w:p>
            <w:pPr>
              <w:spacing w:after="0"/>
              <w:rPr>
                <w:sz w:val="20"/>
                <w:szCs w:val="20"/>
                <w:color w:val="auto"/>
              </w:rPr>
            </w:pPr>
          </w:p>
        </w:tc>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Harrah’s Hoosier Park Racing &amp; Casino</w:t>
            </w: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Isle Casino Bettendorf</w:t>
            </w: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r>
      <w:tr>
        <w:trPr>
          <w:trHeight w:val="253"/>
        </w:trPr>
        <w:tc>
          <w:tcPr>
            <w:tcW w:w="2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Harrah’s Joliet</w:t>
            </w:r>
          </w:p>
        </w:tc>
        <w:tc>
          <w:tcPr>
            <w:tcW w:w="460" w:type="dxa"/>
            <w:vAlign w:val="bottom"/>
          </w:tcPr>
          <w:p>
            <w:pPr>
              <w:spacing w:after="0"/>
              <w:rPr>
                <w:sz w:val="22"/>
                <w:szCs w:val="22"/>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Isle of Capri Casino Boonville</w:t>
            </w: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260"/>
        </w:trPr>
        <w:tc>
          <w:tcPr>
            <w:tcW w:w="2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Harrah’s Lake Tahoe</w:t>
            </w:r>
          </w:p>
        </w:tc>
        <w:tc>
          <w:tcPr>
            <w:tcW w:w="460" w:type="dxa"/>
            <w:vAlign w:val="bottom"/>
            <w:shd w:val="clear" w:color="auto" w:fill="CCEEFF"/>
          </w:tcPr>
          <w:p>
            <w:pPr>
              <w:spacing w:after="0"/>
              <w:rPr>
                <w:sz w:val="22"/>
                <w:szCs w:val="22"/>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Isle of Capri Casino Lula</w:t>
            </w:r>
          </w:p>
        </w:tc>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r>
      <w:tr>
        <w:trPr>
          <w:trHeight w:val="253"/>
        </w:trPr>
        <w:tc>
          <w:tcPr>
            <w:tcW w:w="2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Harrah’s Laughlin</w:t>
            </w:r>
          </w:p>
        </w:tc>
        <w:tc>
          <w:tcPr>
            <w:tcW w:w="460" w:type="dxa"/>
            <w:vAlign w:val="bottom"/>
          </w:tcPr>
          <w:p>
            <w:pPr>
              <w:spacing w:after="0"/>
              <w:rPr>
                <w:sz w:val="22"/>
                <w:szCs w:val="22"/>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Isle Casino Waterloo</w:t>
            </w: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259"/>
        </w:trPr>
        <w:tc>
          <w:tcPr>
            <w:tcW w:w="2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Harrah’s Metropolis</w:t>
            </w:r>
          </w:p>
        </w:tc>
        <w:tc>
          <w:tcPr>
            <w:tcW w:w="460" w:type="dxa"/>
            <w:vAlign w:val="bottom"/>
            <w:shd w:val="clear" w:color="auto" w:fill="CCEEFF"/>
          </w:tcPr>
          <w:p>
            <w:pPr>
              <w:spacing w:after="0"/>
              <w:rPr>
                <w:sz w:val="22"/>
                <w:szCs w:val="22"/>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Lady Luck Casino - Black Hawk</w:t>
            </w:r>
          </w:p>
        </w:tc>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r>
      <w:tr>
        <w:trPr>
          <w:trHeight w:val="254"/>
        </w:trPr>
        <w:tc>
          <w:tcPr>
            <w:tcW w:w="2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Harrah’s New Orleans</w:t>
            </w:r>
          </w:p>
        </w:tc>
        <w:tc>
          <w:tcPr>
            <w:tcW w:w="460" w:type="dxa"/>
            <w:vAlign w:val="bottom"/>
          </w:tcPr>
          <w:p>
            <w:pPr>
              <w:spacing w:after="0"/>
              <w:rPr>
                <w:sz w:val="22"/>
                <w:szCs w:val="22"/>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Silver Legacy Resort Casino</w:t>
            </w: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259"/>
        </w:trPr>
        <w:tc>
          <w:tcPr>
            <w:tcW w:w="2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Harrah’s North Kansas City</w:t>
            </w:r>
          </w:p>
        </w:tc>
        <w:tc>
          <w:tcPr>
            <w:tcW w:w="460" w:type="dxa"/>
            <w:vAlign w:val="bottom"/>
            <w:shd w:val="clear" w:color="auto" w:fill="CCEEFF"/>
          </w:tcPr>
          <w:p>
            <w:pPr>
              <w:spacing w:after="0"/>
              <w:rPr>
                <w:sz w:val="22"/>
                <w:szCs w:val="22"/>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Trop Casino Greenville</w:t>
            </w:r>
          </w:p>
        </w:tc>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r>
      <w:tr>
        <w:trPr>
          <w:trHeight w:val="254"/>
        </w:trPr>
        <w:tc>
          <w:tcPr>
            <w:tcW w:w="2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Harrah’s Philadelphia</w:t>
            </w:r>
          </w:p>
        </w:tc>
        <w:tc>
          <w:tcPr>
            <w:tcW w:w="460" w:type="dxa"/>
            <w:vAlign w:val="bottom"/>
          </w:tcPr>
          <w:p>
            <w:pPr>
              <w:spacing w:after="0"/>
              <w:rPr>
                <w:sz w:val="22"/>
                <w:szCs w:val="22"/>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Tropicana Atlantic City</w:t>
            </w: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259"/>
        </w:trPr>
        <w:tc>
          <w:tcPr>
            <w:tcW w:w="2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Harrah’s Pompano Beach</w:t>
            </w:r>
          </w:p>
        </w:tc>
        <w:tc>
          <w:tcPr>
            <w:tcW w:w="460" w:type="dxa"/>
            <w:vAlign w:val="bottom"/>
            <w:shd w:val="clear" w:color="auto" w:fill="CCEEFF"/>
          </w:tcPr>
          <w:p>
            <w:pPr>
              <w:spacing w:after="0"/>
              <w:rPr>
                <w:sz w:val="22"/>
                <w:szCs w:val="22"/>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Tropicana Laughlin Hotel &amp; Casino</w:t>
            </w:r>
          </w:p>
        </w:tc>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8"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Temporary gaming facility opened on May 15, 2023. The construction of the permanent facility of Caesars Virginia is expected to be completed in December 2024.</w:t>
      </w:r>
    </w:p>
    <w:p>
      <w:pPr>
        <w:spacing w:after="0" w:line="43" w:lineRule="exact"/>
        <w:rPr>
          <w:rFonts w:ascii="Times New Roman" w:cs="Times New Roman" w:eastAsia="Times New Roman" w:hAnsi="Times New Roman"/>
          <w:sz w:val="19"/>
          <w:szCs w:val="19"/>
          <w:i w:val="1"/>
          <w:iCs w:val="1"/>
          <w:color w:val="auto"/>
          <w:vertAlign w:val="superscript"/>
        </w:rPr>
      </w:pPr>
    </w:p>
    <w:p>
      <w:pPr>
        <w:ind w:left="320" w:hanging="312"/>
        <w:spacing w:after="0"/>
        <w:tabs>
          <w:tab w:leader="none" w:pos="320" w:val="left"/>
        </w:tabs>
        <w:numPr>
          <w:ilvl w:val="0"/>
          <w:numId w:val="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Temporary gaming facility opened on June 12, 2023 and closed on March 20, 2024 in anticipation of the permanent facility opening in May 2024.</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properties operate off-track betting locations, including Harrah’s Hoosier Park Racing &amp; Casino, which operates Winner’s Circle Indianapolis and Winner’s Circle New Haven, and Horseshoe Indianapolis, which operates Winner’s Circle Clarksville. The LINQ Promenade is an open-air dining, entertainment, and retail promenade located on the east side of the Las Vegas Strip next to The LINQ Hotel &amp; Casino (the “LINQ”) that features the High Roller, a 550-foot observation wheel, and the Fly LINQ Zipline attraction. We also own the CAESARS FORUM convention center, which is a 550,000 square feet conference center with 300,000 square feet of flexible meeting space, two of the largest pillarless ballrooms in the world and direct access to the LINQ.</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Other includes certain unallocated corporate overhead costs and other adjustments, including eliminations of transactions among segments, to reconcile to the Company’s consolidated results.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certain operating data for the Company’s four reportable segments, in addition to Corporate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196"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Las Vegas:</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Net revenues</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Adjusted EBITDA</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r>
      <w:tr>
        <w:trPr>
          <w:trHeight w:val="214"/>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Regional:</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8"/>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revenues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Adjusted EBITDA</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Caesars Digital:</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Net revenues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Adjusted EBITDA</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4"/>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Managed and Branded:</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8"/>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revenues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Adjusted EBITDA</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Corporate and Other:</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Net revenues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Adjusted EBITDA</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Net Income (Loss) Attributable to Caesars to Adjusted EBITDA by Segment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presented as a measure of the Company’s performance. Adjusted EBITDA is defined as revenues less certain operating expenses and is comprised of net income (loss) before (i) interest income and interest expense, net of interest capitalized, (ii) income tax (benefit) provision, (iii) depreciation and amortization, and (iv) certain items that we do not consider indicative of our ongoing operating performance at an operating property level.</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evaluating Adjusted EBITDA you should be aware that, in the future, we may incur expenses that are the same or similar to some of the adjustments in this presentation. The presentation of Adjusted EBITDA should not be construed as an inference that future results will be unaffected by unusual or unexpected items.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is a financial measure commonly used in our industry and should not be construed as an alternative to net income (loss) as an indicator of operating performance or as an alternative to cash flow provided by operating activities as a measure of liquidity (as determined in accordance with GAAP). Adjusted EBITDA may not be comparable to similarly titled measures reported by other companies within the industry. Adjusted EBITDA is included because management uses Adjusted EBITDA to measure performance and allocate resources, and believes that Adjusted EBITDA provides investors with additional information consistent with that used by management.</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0"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639"/>
              <w:spacing w:after="0" w:line="161"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619"/>
              <w:spacing w:after="0" w:line="161"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Caesars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3"/>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Other income </w:t>
            </w:r>
            <w:r>
              <w:rPr>
                <w:rFonts w:ascii="Times New Roman" w:cs="Times New Roman" w:eastAsia="Times New Roman" w:hAnsi="Times New Roman"/>
                <w:sz w:val="21"/>
                <w:szCs w:val="21"/>
                <w:i w:val="1"/>
                <w:iCs w:val="1"/>
                <w:color w:val="auto"/>
                <w:vertAlign w:val="superscript"/>
              </w:rPr>
              <w:t>(a)</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3"/>
        </w:trPr>
        <w:tc>
          <w:tcPr>
            <w:tcW w:w="20" w:type="dxa"/>
            <w:vAlign w:val="bottom"/>
            <w:shd w:val="clear" w:color="auto" w:fill="CCEEFF"/>
          </w:tcPr>
          <w:p>
            <w:pPr>
              <w:spacing w:after="0"/>
              <w:rPr>
                <w:sz w:val="21"/>
                <w:szCs w:val="21"/>
                <w:color w:val="auto"/>
              </w:rPr>
            </w:pPr>
          </w:p>
        </w:tc>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13"/>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r>
      <w:tr>
        <w:trPr>
          <w:trHeight w:val="219"/>
        </w:trPr>
        <w:tc>
          <w:tcPr>
            <w:tcW w:w="2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Transaction costs and other, net </w:t>
            </w:r>
            <w:r>
              <w:rPr>
                <w:rFonts w:ascii="Times New Roman" w:cs="Times New Roman" w:eastAsia="Times New Roman" w:hAnsi="Times New Roman"/>
                <w:sz w:val="21"/>
                <w:szCs w:val="21"/>
                <w:i w:val="1"/>
                <w:iCs w:val="1"/>
                <w:color w:val="auto"/>
                <w:vertAlign w:val="superscript"/>
              </w:rPr>
              <w:t>(b)</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3"/>
        </w:trPr>
        <w:tc>
          <w:tcPr>
            <w:tcW w:w="2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2"/>
        </w:trPr>
        <w:tc>
          <w:tcPr>
            <w:tcW w:w="20" w:type="dxa"/>
            <w:vAlign w:val="bottom"/>
          </w:tcPr>
          <w:p>
            <w:pPr>
              <w:spacing w:after="0"/>
              <w:rPr>
                <w:sz w:val="18"/>
                <w:szCs w:val="18"/>
                <w:color w:val="auto"/>
              </w:rPr>
            </w:pPr>
          </w:p>
        </w:tc>
        <w:tc>
          <w:tcPr>
            <w:tcW w:w="76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Adjusted EBITDA</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9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EBITDA by Segment:</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Las Vegas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r>
      <w:tr>
        <w:trPr>
          <w:trHeight w:val="213"/>
        </w:trPr>
        <w:tc>
          <w:tcPr>
            <w:tcW w:w="20" w:type="dxa"/>
            <w:vAlign w:val="bottom"/>
          </w:tcPr>
          <w:p>
            <w:pPr>
              <w:spacing w:after="0"/>
              <w:rPr>
                <w:sz w:val="18"/>
                <w:szCs w:val="18"/>
                <w:color w:val="auto"/>
              </w:rPr>
            </w:pPr>
          </w:p>
        </w:tc>
        <w:tc>
          <w:tcPr>
            <w:tcW w:w="76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Regional</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r>
      <w:tr>
        <w:trPr>
          <w:trHeight w:val="219"/>
        </w:trPr>
        <w:tc>
          <w:tcPr>
            <w:tcW w:w="2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Caesars Digital</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20" w:type="dxa"/>
            <w:vAlign w:val="bottom"/>
          </w:tcPr>
          <w:p>
            <w:pPr>
              <w:spacing w:after="0"/>
              <w:rPr>
                <w:sz w:val="18"/>
                <w:szCs w:val="18"/>
                <w:color w:val="auto"/>
              </w:rPr>
            </w:pPr>
          </w:p>
        </w:tc>
        <w:tc>
          <w:tcPr>
            <w:tcW w:w="76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Managed and Branded</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9"/>
        </w:trPr>
        <w:tc>
          <w:tcPr>
            <w:tcW w:w="2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Corporate and Other</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57" w:lineRule="exact"/>
        <w:rPr>
          <w:sz w:val="20"/>
          <w:szCs w:val="20"/>
          <w:color w:val="auto"/>
        </w:rPr>
      </w:pPr>
    </w:p>
    <w:p>
      <w:pPr>
        <w:ind w:left="320" w:hanging="312"/>
        <w:spacing w:after="0"/>
        <w:tabs>
          <w:tab w:leader="none" w:pos="320" w:val="left"/>
        </w:tabs>
        <w:numPr>
          <w:ilvl w:val="0"/>
          <w:numId w:val="8"/>
        </w:numPr>
        <w:rPr>
          <w:rFonts w:ascii="Calibri" w:cs="Calibri" w:eastAsia="Calibri" w:hAnsi="Calibri"/>
          <w:sz w:val="9"/>
          <w:szCs w:val="9"/>
          <w:i w:val="1"/>
          <w:iCs w:val="1"/>
          <w:color w:val="auto"/>
        </w:rPr>
      </w:pPr>
      <w:r>
        <w:rPr>
          <w:rFonts w:ascii="Times New Roman" w:cs="Times New Roman" w:eastAsia="Times New Roman" w:hAnsi="Times New Roman"/>
          <w:sz w:val="14"/>
          <w:szCs w:val="14"/>
          <w:i w:val="1"/>
          <w:iCs w:val="1"/>
          <w:color w:val="auto"/>
        </w:rPr>
        <w:t>Other income for the three months ended March 31, 2024 primarily represents a change in estimate of our disputed claims liability.</w:t>
      </w:r>
    </w:p>
    <w:p>
      <w:pPr>
        <w:spacing w:after="0" w:line="55" w:lineRule="exact"/>
        <w:rPr>
          <w:rFonts w:ascii="Calibri" w:cs="Calibri" w:eastAsia="Calibri" w:hAnsi="Calibri"/>
          <w:sz w:val="9"/>
          <w:szCs w:val="9"/>
          <w:i w:val="1"/>
          <w:iCs w:val="1"/>
          <w:color w:val="auto"/>
        </w:rPr>
      </w:pPr>
    </w:p>
    <w:p>
      <w:pPr>
        <w:ind w:left="340" w:hanging="332"/>
        <w:spacing w:after="0" w:line="305" w:lineRule="auto"/>
        <w:tabs>
          <w:tab w:leader="none" w:pos="337" w:val="left"/>
        </w:tabs>
        <w:numPr>
          <w:ilvl w:val="0"/>
          <w:numId w:val="8"/>
        </w:numPr>
        <w:rPr>
          <w:rFonts w:ascii="Calibri" w:cs="Calibri" w:eastAsia="Calibri" w:hAnsi="Calibri"/>
          <w:sz w:val="9"/>
          <w:szCs w:val="9"/>
          <w:i w:val="1"/>
          <w:iCs w:val="1"/>
          <w:color w:val="auto"/>
        </w:rPr>
      </w:pPr>
      <w:r>
        <w:rPr>
          <w:rFonts w:ascii="Times New Roman" w:cs="Times New Roman" w:eastAsia="Times New Roman" w:hAnsi="Times New Roman"/>
          <w:sz w:val="14"/>
          <w:szCs w:val="14"/>
          <w:i w:val="1"/>
          <w:iCs w:val="1"/>
          <w:color w:val="auto"/>
        </w:rPr>
        <w:t>Transaction costs and other, net primarily includes costs related to non-cash losses on the write down and disposal of assets, professional services for transaction and integration costs, various contract exit or termination costs, pre-opening costs in connection with our temporary facility openings, and non-cash changes in equity method investments.</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Total Assets - By Segment</w:t>
      </w: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Pr>
          <w:p>
            <w:pPr>
              <w:spacing w:after="0"/>
              <w:rPr>
                <w:sz w:val="16"/>
                <w:szCs w:val="16"/>
                <w:color w:val="auto"/>
              </w:rPr>
            </w:pPr>
          </w:p>
        </w:tc>
        <w:tc>
          <w:tcPr>
            <w:tcW w:w="1720" w:type="dxa"/>
            <w:vAlign w:val="bottom"/>
            <w:gridSpan w:val="2"/>
          </w:tcPr>
          <w:p>
            <w:pPr>
              <w:ind w:left="160"/>
              <w:spacing w:after="0" w:line="171" w:lineRule="exact"/>
              <w:rPr>
                <w:sz w:val="20"/>
                <w:szCs w:val="20"/>
                <w:color w:val="auto"/>
              </w:rPr>
            </w:pPr>
            <w:r>
              <w:rPr>
                <w:rFonts w:ascii="Times New Roman" w:cs="Times New Roman" w:eastAsia="Times New Roman" w:hAnsi="Times New Roman"/>
                <w:sz w:val="16"/>
                <w:szCs w:val="16"/>
                <w:b w:val="1"/>
                <w:bCs w:val="1"/>
                <w:color w:val="auto"/>
              </w:rPr>
              <w:t>March 31, 2024</w:t>
            </w:r>
          </w:p>
        </w:tc>
        <w:tc>
          <w:tcPr>
            <w:tcW w:w="180" w:type="dxa"/>
            <w:vAlign w:val="bottom"/>
          </w:tcPr>
          <w:p>
            <w:pPr>
              <w:spacing w:after="0"/>
              <w:rPr>
                <w:sz w:val="16"/>
                <w:szCs w:val="16"/>
                <w:color w:val="auto"/>
              </w:rPr>
            </w:pPr>
          </w:p>
        </w:tc>
        <w:tc>
          <w:tcPr>
            <w:tcW w:w="1680" w:type="dxa"/>
            <w:vAlign w:val="bottom"/>
          </w:tcPr>
          <w:p>
            <w:pPr>
              <w:jc w:val="right"/>
              <w:ind w:right="199"/>
              <w:spacing w:after="0" w:line="171" w:lineRule="exact"/>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Las Vegas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24,230</w:t>
            </w:r>
          </w:p>
        </w:tc>
      </w:tr>
      <w:tr>
        <w:trPr>
          <w:trHeight w:val="240"/>
        </w:trPr>
        <w:tc>
          <w:tcPr>
            <w:tcW w:w="20" w:type="dxa"/>
            <w:vAlign w:val="bottom"/>
          </w:tcPr>
          <w:p>
            <w:pPr>
              <w:spacing w:after="0"/>
              <w:rPr>
                <w:sz w:val="20"/>
                <w:szCs w:val="20"/>
                <w:color w:val="auto"/>
              </w:rPr>
            </w:pPr>
          </w:p>
        </w:tc>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15,291</w:t>
            </w:r>
          </w:p>
        </w:tc>
      </w:tr>
      <w:tr>
        <w:trPr>
          <w:trHeight w:val="246"/>
        </w:trPr>
        <w:tc>
          <w:tcPr>
            <w:tcW w:w="20" w:type="dxa"/>
            <w:vAlign w:val="bottom"/>
            <w:shd w:val="clear" w:color="auto" w:fill="CCEEFF"/>
          </w:tcPr>
          <w:p>
            <w:pPr>
              <w:spacing w:after="0"/>
              <w:rPr>
                <w:sz w:val="21"/>
                <w:szCs w:val="21"/>
                <w:color w:val="auto"/>
              </w:rPr>
            </w:pPr>
          </w:p>
        </w:tc>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Caesars Digital</w:t>
            </w: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w:t>
            </w:r>
          </w:p>
        </w:tc>
      </w:tr>
      <w:tr>
        <w:trPr>
          <w:trHeight w:val="240"/>
        </w:trPr>
        <w:tc>
          <w:tcPr>
            <w:tcW w:w="20" w:type="dxa"/>
            <w:vAlign w:val="bottom"/>
          </w:tcPr>
          <w:p>
            <w:pPr>
              <w:spacing w:after="0"/>
              <w:rPr>
                <w:sz w:val="20"/>
                <w:szCs w:val="20"/>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Managed and Branded</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Corporate and Other </w:t>
            </w:r>
            <w:r>
              <w:rPr>
                <w:rFonts w:ascii="Times New Roman" w:cs="Times New Roman" w:eastAsia="Times New Roman" w:hAnsi="Times New Roman"/>
                <w:sz w:val="21"/>
                <w:szCs w:val="21"/>
                <w:i w:val="1"/>
                <w:iCs w:val="1"/>
                <w:color w:val="auto"/>
                <w:vertAlign w:val="superscript"/>
              </w:rPr>
              <w:t>(a)</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(7,474)</w:t>
            </w:r>
          </w:p>
        </w:tc>
      </w:tr>
      <w:tr>
        <w:trPr>
          <w:trHeight w:val="207"/>
        </w:trPr>
        <w:tc>
          <w:tcPr>
            <w:tcW w:w="20" w:type="dxa"/>
            <w:vAlign w:val="bottom"/>
          </w:tcPr>
          <w:p>
            <w:pPr>
              <w:spacing w:after="0"/>
              <w:rPr>
                <w:sz w:val="17"/>
                <w:szCs w:val="17"/>
                <w:color w:val="auto"/>
              </w:rPr>
            </w:pPr>
          </w:p>
        </w:tc>
        <w:tc>
          <w:tcPr>
            <w:tcW w:w="7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33,059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33,366</w:t>
            </w: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8"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Includes eliminations of transactions among segments, to reconcile to the Company’s consolidated results.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b w:val="1"/>
          <w:bCs w:val="1"/>
          <w:color w:val="BF2115"/>
        </w:rPr>
        <w:t>Item 2. Management’s Discussion and Analysis of Financial Condition and Results of Operations</w:t>
      </w:r>
    </w:p>
    <w:p>
      <w:pPr>
        <w:spacing w:after="0" w:line="1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position and operating results of Caesars Entertainment, Inc., a Delaware corporation, and its consolidated subsidiaries, which may be referred to as the “Company,” “CEI,” “Caesars,” “we,” “our,” or “us,” for the three months ended March 31, 2024 and 2023 should be read in conjunction with the unaudited consolidated condensed financial statements and the notes thereto and other financial information included elsewhere in this Form 10-Q as well as our Annual Report on Form 10-K for the fiscal year ended December 31, 2023 (the “2023 Annual Report”). Capitalized terms used but not defined in this Form 10-Q have the same meanings as in the 2023 Annual Report.</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We refer to (i) our Consolidated Condensed Financial Statements as our “Financial Statements,” (ii) our Consolidated Condensed Balance Sheets as our “Balance Sheets,” (iii) our Consolidated Condensed Statements of Operations and Consolidated Condensed Statements of Comprehensive Income (Loss) as our “Statements of Operations,” and (iv) our Consolidated Condensed Statements of Cash Flows as our “Statements of Cash Flows.” References to numbered “Notes” refer to “Notes to Consolidated Condensed Financial Statements” included in Item 1, “Unaudited Financial Statements,” unless otherwise noted.</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statements in this discussion regarding our expectations of our future performance, liquidity and capital resources, and other non-historical statements are forward-looking statements. These forward-looking statements are subject to numerous risks and uncertainties. Our actual results may differ materially from those contained in or implied by any forward-looking statements. See “Cautionary Statements Regarding Forward-Looking Information” in this report.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Objective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intended to be a narrative explanation of the financial statements and other statistical data that should be read in conjunction with the accompanying financial statements to enhance an investor’s understanding of our financial condition, changes in financial condition and results of operations. Our objectives are: (i) to provide a narrative explanation of our financial statements that will enable investors to see the Company through the eyes of management; (ii) to enhance the overall financial disclosure and provide the context within which financial information should be analyzed; and (iii) to provide information about the quality of, and potential variability of, our earnings and cash flows so that investors can ascertain the likelihood of whether past performance is indicative of future performance.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geographically diversified gaming and hospitality company that was founded in 1973 by the Carano family with the opening of the Eldorado Hotel Casino in Reno, Nevada. Beginning in 2005, we grew through a series of acquisitions, including the acquisition of MTR Gaming Group, Inc. in 2014, Isle of Capri Casinos, Inc. in 2017, Tropicana Entertainment, Inc. in 2018, Caesars Entertainment Corporation in 2020 and William Hill PLC in 2021. Our ticker symbol on the NASDAQ Stock Market is “CZR.”</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own, lease, brand, or manage an aggregate of 53 domestic properties in 18 states with approximately 50,500 slot machines, video lottery terminals and e-tables, approximately 2,700 table games and approximately 45,000 hotel rooms as of March 31, 2024. In addition, we have other properties in North America that are authorized to use the brands and marks of Caesars Entertainment, Inc. Our primary source of revenue is generated by our casino properties’ gaming operations, our retail and online sports betting, and online gaming, and we utilize our hotels, restaurants, bars, entertainment, racing, retail shops and other services to attract customers to our properties.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we owned 22 of our casinos and leased 24 casinos in the U.S. We lease 18 casinos from VICI Properties L.P., a Delaware limited partnership (“VICI”), pursuant to a regional lease, a Las Vegas lease and a Joliet lease (the “VICI Leases”). In addition, we lease six casinos from GLP Capital, L.P., the operating partnership of Gaming and Leisure Properties, Inc. (“GLPI”) pursuant to a Master Lease (as amended, the “GLPI Master Lease”) and a Lumière lease associated with our Horseshoe St. Louis property (together with the GLPI Master Lease, the “GLPI Leases”).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We operate and conduct retail and online sports wagering across 31 jurisdictions in North America, 26 of which offer online sports betting. Additionally, we operate iGaming in five jurisdictions in North America. The map below illustrates Caesars Digital’s presence as of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80010</wp:posOffset>
            </wp:positionV>
            <wp:extent cx="5863590" cy="45091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63590" cy="4509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2022, we partnered with NYRABets LLC, the official online wagering platform of the New York Racing Association, Inc., and have launched the Caesars Racebook app within 21 states as of March 31, 2024. The Caesars Racebook app provides access for pari-mutuel wagering at over 300 racetracks around the world as well as livestreaming of races. Wagers placed can earn credits towards our Caesars Rewards loyalty program or points which can be redeemed for free wagering credits.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in the process of expanding our Caesars Digital footprint into other states in the near term with our Caesars Sportsbook, Caesars Racebook and iGaming mobile apps as jurisdictions legalize or provide necessary approvals. No customers under 21 years old are allowed to wager on any of our Caesars Sportsbook, Caesars Racebook and iGaming mobile apps.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and Partnerships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Pompano Joint Venture</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2018, we entered into a joint venture with Cordish Companies (“Cordish”) to plan and develop a mixed-use entertainment and hospitality destination expected to be located on unused land adjacent to the casino and racetrack at our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our input and will submit it for our review and approval. While we hold a 50% variable interest in the joint venture, we are not the primary beneficiary; as such, the investment in the joint venture is accounted for using the equity method. We participate evenly with Cordish in the profits and losses of the joint venture, which are included in Transaction and other costs, net on the Statements of Operations.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1309" w:right="339" w:bottom="1440" w:gutter="0" w:footer="0" w:header="0"/>
        </w:sectPr>
      </w:pP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26" w:name="page27"/>
    <w:bookmarkEnd w:id="26"/>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2024, we have contributed a total of $7 million in cash contributions since inception of the joint venture, which include capital calls totaling $3 million in October 2023 that we elected to participate in. Additionally, we have contributed approximately 209 acres of land with a total fair value of approximately $69 million. We have no further obligation to contribute additional real estate or cash. During the year ended December 31, 2023, we recorded $64 million of income related to the investment, primarily due to the joint venture’s gain on the sale of a land parcel. As of both March 31, 2024 and December 31, 2023, our investment in the joint venture was $147 million and is recorded in Investments in and advances to unconsolidated affiliates on the Balance Sheets.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Segment results in this MD&amp;A are presented consistent with the way our management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Our principal operating activities occur in four reportable segments: (1) Las Vegas, (2) Regional, (3) Caesars Digital, and (4) Managed and Branded, in addition to Corporate and Other.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presentation of financial information herein for the periods after our completed divestiture of Rio All-Suite Hotel &amp; Casino (“Rio”) in the third quarter of 2023 is not fully comparable to the periods prior to such divestiture.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MD&amp;A is intended to provide information to assist in better understanding and evaluating our financial condition and results of operations. Our historical operating results may not be indicative of our future results of operations because of the factors described in the preceding paragraph and the changing competitive landscape in each of our markets, including changes in market and societal trends, as well as by factors discussed elsewhere herein. We recommend that you read this MD&amp;A in conjunction with our unaudited Financial Statements and the notes to those statements included in this Quarterly Report on Form 10-Q.</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Key Performance Metrics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 of revenue is generated by our gaming operations, our retail and online sports betting, as well as our online gaming. Additionally, we utilize our hotels, restaurants, bars, entertainment venues, retail shops, racing and other services to attract customers to our properties. Our operating results are highly dependent on the volume and quality of customers staying at, or visiting, our properties and using our sports betting and iGaming applications.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Key performance metrics include volume indicators such as drop or handle, which refer to amounts wagered by our customers. The amount of volume we retain, which is not fully controllable by us, is recognized as casino revenues and is referred to as our win or hold. Slot win percentage is typically in the range of approximately 9% to 11% of slot handle for both the Las Vegas and Regional segments. Table game hold percentage is typically in the range of approximately 16% to 23% of table game drop in both the Las Vegas and Regional segments. Sports betting hold is typically in the range of 5% to 10% and iGaming hold typically ranges from 3% to 5%. In addition, hotel occupancy, which is the average percentage of available hotel rooms occupied during a period, is a key indicator for our hotel business in the Las Vegas segment. See “Results of Operations” section below. Complimentary and discounted rooms are treated as occupied rooms in our calculation of hotel occupancy. The key metrics we utilize to measure our profitability and performance are Adjusted EBITDA and Adjusted EBITDA margin.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Factors Impacting Financial Results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summary highlights the significant factors impacting our financial results for the three months ended March 31, 2024 and 2023:</w:t>
      </w:r>
    </w:p>
    <w:p>
      <w:pPr>
        <w:spacing w:after="0" w:line="169" w:lineRule="exact"/>
        <w:rPr>
          <w:sz w:val="20"/>
          <w:szCs w:val="20"/>
          <w:color w:val="auto"/>
        </w:rPr>
      </w:pPr>
    </w:p>
    <w:p>
      <w:pPr>
        <w:jc w:val="both"/>
        <w:ind w:left="660" w:hanging="328"/>
        <w:spacing w:after="0" w:line="261" w:lineRule="auto"/>
        <w:tabs>
          <w:tab w:leader="none" w:pos="655" w:val="left"/>
        </w:tabs>
        <w:numPr>
          <w:ilvl w:val="0"/>
          <w:numId w:val="10"/>
        </w:numPr>
        <w:rPr>
          <w:rFonts w:ascii="Times New Roman" w:cs="Times New Roman" w:eastAsia="Times New Roman" w:hAnsi="Times New Roman"/>
          <w:sz w:val="18"/>
          <w:szCs w:val="18"/>
          <w:b w:val="1"/>
          <w:bCs w:val="1"/>
          <w:i w:val="1"/>
          <w:iCs w:val="1"/>
          <w:color w:val="212529"/>
        </w:rPr>
      </w:pPr>
      <w:r>
        <w:rPr>
          <w:rFonts w:ascii="Times New Roman" w:cs="Times New Roman" w:eastAsia="Times New Roman" w:hAnsi="Times New Roman"/>
          <w:sz w:val="18"/>
          <w:szCs w:val="18"/>
          <w:i w:val="1"/>
          <w:iCs w:val="1"/>
          <w:color w:val="auto"/>
        </w:rPr>
        <w:t xml:space="preserve">New Developments – </w:t>
      </w:r>
      <w:r>
        <w:rPr>
          <w:rFonts w:ascii="Times New Roman" w:cs="Times New Roman" w:eastAsia="Times New Roman" w:hAnsi="Times New Roman"/>
          <w:sz w:val="18"/>
          <w:szCs w:val="18"/>
          <w:color w:val="212529"/>
        </w:rPr>
        <w:t>During the construction of the permanent facilities for Caesars Virginia and Harrah’s Columbus Nebraska, we opened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529"/>
        </w:rPr>
        <w:t>temporary gaming facilities during the second quarter of 2023. Caesars Virginia’s temporary facility opened on May 15, 2023 and the permanent facility is scheduled to open in December 2024. Harrah’s Columbus Nebraska’s temporary facility was opened on June 12, 2023 through March 20, 2024 when it was closed in anticipation of the permanent facility opening in May 2024.</w:t>
      </w:r>
    </w:p>
    <w:p>
      <w:pPr>
        <w:spacing w:after="0" w:line="125" w:lineRule="exact"/>
        <w:rPr>
          <w:rFonts w:ascii="Times New Roman" w:cs="Times New Roman" w:eastAsia="Times New Roman" w:hAnsi="Times New Roman"/>
          <w:sz w:val="18"/>
          <w:szCs w:val="18"/>
          <w:b w:val="1"/>
          <w:bCs w:val="1"/>
          <w:i w:val="1"/>
          <w:iCs w:val="1"/>
          <w:color w:val="212529"/>
        </w:rPr>
      </w:pPr>
    </w:p>
    <w:p>
      <w:pPr>
        <w:jc w:val="both"/>
        <w:ind w:left="660" w:hanging="328"/>
        <w:spacing w:after="0" w:line="261" w:lineRule="auto"/>
        <w:tabs>
          <w:tab w:leader="none" w:pos="655" w:val="left"/>
        </w:tabs>
        <w:numPr>
          <w:ilvl w:val="0"/>
          <w:numId w:val="10"/>
        </w:numPr>
        <w:rPr>
          <w:rFonts w:ascii="Times New Roman" w:cs="Times New Roman" w:eastAsia="Times New Roman" w:hAnsi="Times New Roman"/>
          <w:sz w:val="18"/>
          <w:szCs w:val="18"/>
          <w:b w:val="1"/>
          <w:bCs w:val="1"/>
          <w:i w:val="1"/>
          <w:iCs w:val="1"/>
          <w:color w:val="212529"/>
        </w:rPr>
      </w:pPr>
      <w:r>
        <w:rPr>
          <w:rFonts w:ascii="Times New Roman" w:cs="Times New Roman" w:eastAsia="Times New Roman" w:hAnsi="Times New Roman"/>
          <w:sz w:val="18"/>
          <w:szCs w:val="18"/>
          <w:i w:val="1"/>
          <w:iCs w:val="1"/>
          <w:color w:val="212529"/>
        </w:rPr>
        <w:t xml:space="preserve">Caesars Sportsbook, Caesars Racebook and iGaming mobile apps </w:t>
      </w:r>
      <w:r>
        <w:rPr>
          <w:rFonts w:ascii="Times New Roman" w:cs="Times New Roman" w:eastAsia="Times New Roman" w:hAnsi="Times New Roman"/>
          <w:sz w:val="18"/>
          <w:szCs w:val="18"/>
          <w:color w:val="000000"/>
        </w:rPr>
        <w:t>– We continue to launch Caesars Sportsbook and Caesars Racebook in new</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000000"/>
        </w:rPr>
        <w:t>jurisdictions, and our online and mobile iGaming application, Caesars Palace Online Casino, launched in the summer of 2023. As new states and jurisdictions have legalized sports betting, we have made varying degrees of upfront investments which have been executed through marketing campaigns and promotional incentives to</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7" w:name="page28"/>
    <w:bookmarkEnd w:id="27"/>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acquire new customers and establish our presence in the new state or jurisdiction. During the three months ended March 31, 2024 and 2023, we increased our promotional spend with the launch of Caesars Sportsbook in North Carolina in March 2024 and Ohio and Massachusetts in January and March 2023, respectively. We adjust our level of investment during the launch period in new jurisdictions based, in part, on prior experience and do not expect such investment to continue at elevated levels subsequent to the initial launch periods.</w:t>
      </w:r>
    </w:p>
    <w:p>
      <w:pPr>
        <w:spacing w:after="0" w:line="124" w:lineRule="exact"/>
        <w:rPr>
          <w:sz w:val="20"/>
          <w:szCs w:val="20"/>
          <w:color w:val="auto"/>
        </w:rPr>
      </w:pPr>
    </w:p>
    <w:p>
      <w:pPr>
        <w:jc w:val="both"/>
        <w:ind w:left="660" w:hanging="328"/>
        <w:spacing w:after="0" w:line="267" w:lineRule="auto"/>
        <w:tabs>
          <w:tab w:leader="none" w:pos="655" w:val="left"/>
        </w:tabs>
        <w:numPr>
          <w:ilvl w:val="0"/>
          <w:numId w:val="11"/>
        </w:numPr>
        <w:rPr>
          <w:rFonts w:ascii="Times New Roman" w:cs="Times New Roman" w:eastAsia="Times New Roman" w:hAnsi="Times New Roman"/>
          <w:sz w:val="18"/>
          <w:szCs w:val="18"/>
          <w:b w:val="1"/>
          <w:bCs w:val="1"/>
          <w:i w:val="1"/>
          <w:iCs w:val="1"/>
          <w:color w:val="212529"/>
        </w:rPr>
      </w:pPr>
      <w:r>
        <w:rPr>
          <w:rFonts w:ascii="Times New Roman" w:cs="Times New Roman" w:eastAsia="Times New Roman" w:hAnsi="Times New Roman"/>
          <w:sz w:val="18"/>
          <w:szCs w:val="18"/>
          <w:i w:val="1"/>
          <w:iCs w:val="1"/>
          <w:color w:val="auto"/>
        </w:rPr>
        <w:t xml:space="preserve">Debt Transactions – </w:t>
      </w:r>
      <w:r>
        <w:rPr>
          <w:rFonts w:ascii="Times New Roman" w:cs="Times New Roman" w:eastAsia="Times New Roman" w:hAnsi="Times New Roman"/>
          <w:sz w:val="18"/>
          <w:szCs w:val="18"/>
          <w:color w:val="212529"/>
        </w:rPr>
        <w:t>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2024 and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529"/>
        </w:rPr>
        <w:t>we refinanced $4.4 billion of debt for both periods. See Liquidity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529"/>
        </w:rPr>
        <w:t xml:space="preserve">and </w:t>
      </w:r>
      <w:r>
        <w:rPr>
          <w:rFonts w:ascii="Times New Roman" w:cs="Times New Roman" w:eastAsia="Times New Roman" w:hAnsi="Times New Roman"/>
          <w:sz w:val="18"/>
          <w:szCs w:val="18"/>
          <w:color w:val="000000"/>
        </w:rPr>
        <w:t>Capital Resources below for 2024 transaction.</w:t>
      </w:r>
      <w:r>
        <w:rPr>
          <w:rFonts w:ascii="Times New Roman" w:cs="Times New Roman" w:eastAsia="Times New Roman" w:hAnsi="Times New Roman"/>
          <w:sz w:val="18"/>
          <w:szCs w:val="18"/>
          <w:color w:val="212529"/>
        </w:rPr>
        <w:t xml:space="preserve"> As a result of these transactions, we recorded l</w:t>
      </w:r>
      <w:r>
        <w:rPr>
          <w:rFonts w:ascii="Times New Roman" w:cs="Times New Roman" w:eastAsia="Times New Roman" w:hAnsi="Times New Roman"/>
          <w:sz w:val="18"/>
          <w:szCs w:val="18"/>
          <w:color w:val="000000"/>
        </w:rPr>
        <w:t>oss on early extinguishment of debt on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Statements of Operations of $48 million and $197 million, for the three months ended March 31, 2024 and 2023, respectively.</w:t>
      </w:r>
    </w:p>
    <w:p>
      <w:pPr>
        <w:spacing w:after="0" w:line="119" w:lineRule="exact"/>
        <w:rPr>
          <w:rFonts w:ascii="Times New Roman" w:cs="Times New Roman" w:eastAsia="Times New Roman" w:hAnsi="Times New Roman"/>
          <w:sz w:val="18"/>
          <w:szCs w:val="18"/>
          <w:b w:val="1"/>
          <w:bCs w:val="1"/>
          <w:i w:val="1"/>
          <w:iCs w:val="1"/>
          <w:color w:val="212529"/>
        </w:rPr>
      </w:pPr>
    </w:p>
    <w:p>
      <w:pPr>
        <w:jc w:val="both"/>
        <w:ind w:left="660" w:hanging="328"/>
        <w:spacing w:after="0" w:line="267" w:lineRule="auto"/>
        <w:tabs>
          <w:tab w:leader="none" w:pos="655" w:val="left"/>
        </w:tabs>
        <w:numPr>
          <w:ilvl w:val="0"/>
          <w:numId w:val="11"/>
        </w:numPr>
        <w:rPr>
          <w:rFonts w:ascii="Times New Roman" w:cs="Times New Roman" w:eastAsia="Times New Roman" w:hAnsi="Times New Roman"/>
          <w:sz w:val="18"/>
          <w:szCs w:val="18"/>
          <w:b w:val="1"/>
          <w:bCs w:val="1"/>
          <w:color w:val="212529"/>
        </w:rPr>
      </w:pPr>
      <w:r>
        <w:rPr>
          <w:rFonts w:ascii="Times New Roman" w:cs="Times New Roman" w:eastAsia="Times New Roman" w:hAnsi="Times New Roman"/>
          <w:sz w:val="18"/>
          <w:szCs w:val="18"/>
          <w:i w:val="1"/>
          <w:iCs w:val="1"/>
          <w:color w:val="auto"/>
        </w:rPr>
        <w:t xml:space="preserve">Economic Factors Impacting Discretionary Spending – </w:t>
      </w:r>
      <w:r>
        <w:rPr>
          <w:rFonts w:ascii="Times New Roman" w:cs="Times New Roman" w:eastAsia="Times New Roman" w:hAnsi="Times New Roman"/>
          <w:sz w:val="18"/>
          <w:szCs w:val="18"/>
          <w:color w:val="212529"/>
        </w:rPr>
        <w:t>Gaming and other leisure activities we offer represent discretionary expenditures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529"/>
        </w:rPr>
        <w:t>may be sensitive to economic downturns which impacts our customer mix differently. W</w:t>
      </w:r>
      <w:r>
        <w:rPr>
          <w:rFonts w:ascii="Times New Roman" w:cs="Times New Roman" w:eastAsia="Times New Roman" w:hAnsi="Times New Roman"/>
          <w:sz w:val="18"/>
          <w:szCs w:val="18"/>
          <w:color w:val="000000"/>
        </w:rPr>
        <w:t>e also monitor recent trends, including higher inflation,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interest rates, and global hostilities, and the related effects on travel, our customers, and our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highlights the results of our operations:</w:t>
      </w:r>
    </w:p>
    <w:p>
      <w:pPr>
        <w:spacing w:after="0" w:line="21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679"/>
              <w:spacing w:after="0" w:line="161"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679"/>
              <w:spacing w:after="0" w:line="161"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Las Vegas</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1,028</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1,131</w:t>
            </w: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Regional</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1,365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1,389</w:t>
            </w:r>
          </w:p>
        </w:tc>
      </w:tr>
      <w:tr>
        <w:trPr>
          <w:trHeight w:val="213"/>
        </w:trPr>
        <w:tc>
          <w:tcPr>
            <w:tcW w:w="20" w:type="dxa"/>
            <w:vAlign w:val="bottom"/>
          </w:tcPr>
          <w:p>
            <w:pPr>
              <w:spacing w:after="0"/>
              <w:rPr>
                <w:sz w:val="18"/>
                <w:szCs w:val="18"/>
                <w:color w:val="auto"/>
              </w:rPr>
            </w:pPr>
          </w:p>
        </w:tc>
        <w:tc>
          <w:tcPr>
            <w:tcW w:w="74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Caesars Digital</w:t>
            </w:r>
          </w:p>
        </w:tc>
        <w:tc>
          <w:tcPr>
            <w:tcW w:w="42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238</w:t>
            </w: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Managed and Branded</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69</w:t>
            </w:r>
          </w:p>
        </w:tc>
      </w:tr>
      <w:tr>
        <w:trPr>
          <w:trHeight w:val="243"/>
        </w:trPr>
        <w:tc>
          <w:tcPr>
            <w:tcW w:w="20" w:type="dxa"/>
            <w:vAlign w:val="bottom"/>
            <w:tcBorders>
              <w:bottom w:val="single" w:sz="8" w:color="CCEEFF"/>
            </w:tcBorders>
          </w:tcPr>
          <w:p>
            <w:pPr>
              <w:spacing w:after="0"/>
              <w:rPr>
                <w:sz w:val="21"/>
                <w:szCs w:val="21"/>
                <w:color w:val="auto"/>
              </w:rPr>
            </w:pPr>
          </w:p>
        </w:tc>
        <w:tc>
          <w:tcPr>
            <w:tcW w:w="74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 xml:space="preserve">Corporate and Other </w:t>
            </w:r>
            <w:r>
              <w:rPr>
                <w:rFonts w:ascii="Times New Roman" w:cs="Times New Roman" w:eastAsia="Times New Roman" w:hAnsi="Times New Roman"/>
                <w:sz w:val="21"/>
                <w:szCs w:val="21"/>
                <w:i w:val="1"/>
                <w:iCs w:val="1"/>
                <w:color w:val="auto"/>
                <w:vertAlign w:val="superscript"/>
              </w:rPr>
              <w:t>(a)</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74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2,742</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(136)</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Adjusted EBITDA </w:t>
            </w:r>
            <w:r>
              <w:rPr>
                <w:rFonts w:ascii="Times New Roman" w:cs="Times New Roman" w:eastAsia="Times New Roman" w:hAnsi="Times New Roman"/>
                <w:sz w:val="21"/>
                <w:szCs w:val="21"/>
                <w:b w:val="1"/>
                <w:bCs w:val="1"/>
                <w:i w:val="1"/>
                <w:iCs w:val="1"/>
                <w:color w:val="auto"/>
                <w:vertAlign w:val="superscript"/>
              </w:rPr>
              <w:t>(b)</w:t>
            </w:r>
            <w:r>
              <w:rPr>
                <w:rFonts w:ascii="Times New Roman" w:cs="Times New Roman" w:eastAsia="Times New Roman" w:hAnsi="Times New Roman"/>
                <w:sz w:val="16"/>
                <w:szCs w:val="16"/>
                <w:b w:val="1"/>
                <w:bCs w:val="1"/>
                <w:color w:val="auto"/>
              </w:rPr>
              <w:t>:</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Las Vegas</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533</w:t>
            </w: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Regional</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448</w:t>
            </w:r>
          </w:p>
        </w:tc>
      </w:tr>
      <w:tr>
        <w:trPr>
          <w:trHeight w:val="213"/>
        </w:trPr>
        <w:tc>
          <w:tcPr>
            <w:tcW w:w="20" w:type="dxa"/>
            <w:vAlign w:val="bottom"/>
          </w:tcPr>
          <w:p>
            <w:pPr>
              <w:spacing w:after="0"/>
              <w:rPr>
                <w:sz w:val="18"/>
                <w:szCs w:val="18"/>
                <w:color w:val="auto"/>
              </w:rPr>
            </w:pPr>
          </w:p>
        </w:tc>
        <w:tc>
          <w:tcPr>
            <w:tcW w:w="74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Caesars Digital</w:t>
            </w:r>
          </w:p>
        </w:tc>
        <w:tc>
          <w:tcPr>
            <w:tcW w:w="42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Managed and Branded</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r>
      <w:tr>
        <w:trPr>
          <w:trHeight w:val="243"/>
        </w:trPr>
        <w:tc>
          <w:tcPr>
            <w:tcW w:w="20" w:type="dxa"/>
            <w:vAlign w:val="bottom"/>
            <w:tcBorders>
              <w:bottom w:val="single" w:sz="8" w:color="CCEEFF"/>
            </w:tcBorders>
          </w:tcPr>
          <w:p>
            <w:pPr>
              <w:spacing w:after="0"/>
              <w:rPr>
                <w:sz w:val="21"/>
                <w:szCs w:val="21"/>
                <w:color w:val="auto"/>
              </w:rPr>
            </w:pPr>
          </w:p>
        </w:tc>
        <w:tc>
          <w:tcPr>
            <w:tcW w:w="74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 xml:space="preserve">Corporate and Other </w:t>
            </w:r>
            <w:r>
              <w:rPr>
                <w:rFonts w:ascii="Times New Roman" w:cs="Times New Roman" w:eastAsia="Times New Roman" w:hAnsi="Times New Roman"/>
                <w:sz w:val="21"/>
                <w:szCs w:val="21"/>
                <w:i w:val="1"/>
                <w:iCs w:val="1"/>
                <w:color w:val="auto"/>
                <w:vertAlign w:val="superscript"/>
              </w:rPr>
              <w:t>(a)</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(38)</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74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853</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margin</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0"/>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EBITDA margin</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33.9 %</w:t>
            </w: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57" w:lineRule="exact"/>
        <w:rPr>
          <w:sz w:val="20"/>
          <w:szCs w:val="20"/>
          <w:color w:val="auto"/>
        </w:rPr>
      </w:pPr>
    </w:p>
    <w:p>
      <w:pPr>
        <w:ind w:left="340" w:right="20" w:hanging="332"/>
        <w:spacing w:after="0" w:line="222" w:lineRule="auto"/>
        <w:tabs>
          <w:tab w:leader="none" w:pos="327" w:val="left"/>
        </w:tabs>
        <w:numPr>
          <w:ilvl w:val="0"/>
          <w:numId w:val="12"/>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Corporate and Other includes revenues related to certain licensing arrangements and various revenue sharing agreements. Corporate and Other Adjusted EBITDA includes corporate overhead costs, which consist of certain expenses, such as: payroll, professional fees and other general and administrative expenses.</w:t>
      </w:r>
    </w:p>
    <w:p>
      <w:pPr>
        <w:spacing w:after="0" w:line="40" w:lineRule="exact"/>
        <w:rPr>
          <w:rFonts w:ascii="Times New Roman" w:cs="Times New Roman" w:eastAsia="Times New Roman" w:hAnsi="Times New Roman"/>
          <w:sz w:val="19"/>
          <w:szCs w:val="19"/>
          <w:i w:val="1"/>
          <w:iCs w:val="1"/>
          <w:color w:val="auto"/>
          <w:vertAlign w:val="superscript"/>
        </w:rPr>
      </w:pPr>
    </w:p>
    <w:p>
      <w:pPr>
        <w:ind w:left="340" w:hanging="332"/>
        <w:spacing w:after="0" w:line="305" w:lineRule="auto"/>
        <w:tabs>
          <w:tab w:leader="none" w:pos="327" w:val="left"/>
        </w:tabs>
        <w:numPr>
          <w:ilvl w:val="0"/>
          <w:numId w:val="12"/>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See the “Supplemental Unaudited Presentation of Consolidated Adjusted Earnings Before Interest, Taxes, Depreciation and Amortization (“Adjusted EBITDA”) for the three months ended March 31, 2024 and 2023” discussion later in this MD&amp;A for a definition of Adjusted EBITDA and a reconciliation of net income (loss) to Adjusted EBITDA.</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Consolidated comparison of the three months ended March 31, 2024 and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Revenues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2180" w:type="dxa"/>
            <w:vAlign w:val="bottom"/>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89"/>
              </w:rPr>
              <w:t>31,</w:t>
            </w: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56"/>
        </w:trPr>
        <w:tc>
          <w:tcPr>
            <w:tcW w:w="20" w:type="dxa"/>
            <w:vAlign w:val="bottom"/>
          </w:tcPr>
          <w:p>
            <w:pPr>
              <w:spacing w:after="0"/>
              <w:rPr>
                <w:sz w:val="13"/>
                <w:szCs w:val="13"/>
                <w:color w:val="auto"/>
              </w:rPr>
            </w:pPr>
          </w:p>
        </w:tc>
        <w:tc>
          <w:tcPr>
            <w:tcW w:w="70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3"/>
                <w:szCs w:val="13"/>
                <w:color w:val="auto"/>
              </w:rPr>
            </w:pPr>
          </w:p>
        </w:tc>
        <w:tc>
          <w:tcPr>
            <w:tcW w:w="720" w:type="dxa"/>
            <w:vAlign w:val="bottom"/>
          </w:tcPr>
          <w:p>
            <w:pPr>
              <w:jc w:val="right"/>
              <w:ind w:right="19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80"/>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80" w:type="dxa"/>
            <w:vAlign w:val="bottom"/>
          </w:tcPr>
          <w:p>
            <w:pPr>
              <w:spacing w:after="0"/>
              <w:rPr>
                <w:sz w:val="13"/>
                <w:szCs w:val="13"/>
                <w:color w:val="auto"/>
              </w:rPr>
            </w:pPr>
          </w:p>
        </w:tc>
        <w:tc>
          <w:tcPr>
            <w:tcW w:w="102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Casino</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3"/>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Food and beverage</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Hotel</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20" w:type="dxa"/>
            <w:vAlign w:val="bottom"/>
            <w:tcBorders>
              <w:bottom w:val="single" w:sz="8" w:color="CCEEFF"/>
            </w:tcBorders>
          </w:tcPr>
          <w:p>
            <w:pPr>
              <w:spacing w:after="0"/>
              <w:rPr>
                <w:sz w:val="18"/>
                <w:szCs w:val="18"/>
                <w:color w:val="auto"/>
              </w:rPr>
            </w:pPr>
          </w:p>
        </w:tc>
        <w:tc>
          <w:tcPr>
            <w:tcW w:w="7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revenues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Consolidated net revenues decreased for the three months ended March 31, 2024 primarily due to a decline in casino revenues in our Las Vegas segment driven by lower table game hold in addition to the decrease in gaming volume associated with the divestiture of Rio in the third quarter of 2023 and unfavorable timing of major city-wide conventions for the current quarter compared to the same prior year period. Additionally, our Regional segment was impacted by inclement weather in several of our regional property locations during the current quarter causing declines in gaming volume. These results were partially offset by improved performance in our Caesars Digital segment and net revenues generated from the opening of our temporary gaming facilities at Caesars Virginia and Harrah’s Columbus Nebraska during the second quarter in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2180" w:type="dxa"/>
            <w:vAlign w:val="bottom"/>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89"/>
              </w:rPr>
              <w:t>31,</w:t>
            </w: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55"/>
        </w:trPr>
        <w:tc>
          <w:tcPr>
            <w:tcW w:w="20" w:type="dxa"/>
            <w:vAlign w:val="bottom"/>
          </w:tcPr>
          <w:p>
            <w:pPr>
              <w:spacing w:after="0"/>
              <w:rPr>
                <w:sz w:val="13"/>
                <w:szCs w:val="13"/>
                <w:color w:val="auto"/>
              </w:rPr>
            </w:pPr>
          </w:p>
        </w:tc>
        <w:tc>
          <w:tcPr>
            <w:tcW w:w="70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3"/>
                <w:szCs w:val="13"/>
                <w:color w:val="auto"/>
              </w:rPr>
            </w:pPr>
          </w:p>
        </w:tc>
        <w:tc>
          <w:tcPr>
            <w:tcW w:w="720" w:type="dxa"/>
            <w:vAlign w:val="bottom"/>
          </w:tcPr>
          <w:p>
            <w:pPr>
              <w:jc w:val="right"/>
              <w:ind w:right="19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80"/>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80" w:type="dxa"/>
            <w:vAlign w:val="bottom"/>
          </w:tcPr>
          <w:p>
            <w:pPr>
              <w:spacing w:after="0"/>
              <w:rPr>
                <w:sz w:val="13"/>
                <w:szCs w:val="13"/>
                <w:color w:val="auto"/>
              </w:rPr>
            </w:pPr>
          </w:p>
        </w:tc>
        <w:tc>
          <w:tcPr>
            <w:tcW w:w="102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Casino</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213"/>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Food and beverage</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4.8 %</w:t>
            </w:r>
          </w:p>
        </w:tc>
      </w:tr>
      <w:tr>
        <w:trPr>
          <w:trHeight w:val="219"/>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Hotel</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3"/>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19"/>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Corporate</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r>
      <w:tr>
        <w:trPr>
          <w:trHeight w:val="213"/>
        </w:trPr>
        <w:tc>
          <w:tcPr>
            <w:tcW w:w="20" w:type="dxa"/>
            <w:vAlign w:val="bottom"/>
            <w:tcBorders>
              <w:bottom w:val="single" w:sz="8" w:color="CCEEFF"/>
            </w:tcBorders>
          </w:tcPr>
          <w:p>
            <w:pPr>
              <w:spacing w:after="0"/>
              <w:rPr>
                <w:sz w:val="18"/>
                <w:szCs w:val="18"/>
                <w:color w:val="auto"/>
              </w:rPr>
            </w:pPr>
          </w:p>
        </w:tc>
        <w:tc>
          <w:tcPr>
            <w:tcW w:w="7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Transaction and other costs, net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(62.5)%</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0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2,227</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Casino expenses consist principally of salaries and wages associated with our gaming operations, gaming taxes and marketing and advertising costs attributable to our Caesars Digital segment. Food and beverage expenses consist principally of salaries and wages and costs of goods sold associated with our food and beverage operations. Hotel expenses consist principally of salaries, wages and supplies associated with our hotel operations. Other expenses consist principally of salaries and wages, costs of goods sold and professional talent fees associated with our retail, entertainment and other operations.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Casino expenses increased for the three months ended March 31, 2024 as compared to the same prior year period in connection with increased revenues in our Caesars Digital segment. Additionally, our Las Vegas segment’s casino expenses increased for the three months ended March 31, 2024 due to promotional costs associated with special events held over the Super Bowl weekend. We continue to strategically manage our marketing and advertising spend to reduce our casino expenses related to our Caesars Digital segment. Food and beverage expenses have increased mainly due to higher union and non-union wages in addition to increased employee head count in our Las Vegas segment associated with new food and beverage offerings. We continue to focus on labor efficiencies to manage rising labor costs.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items such as information technology, facility maintenance, utilities, property and liability insurance, expenses for administrative departments such as accounting, compliance, purchasing, human resources, legal, internal audit, property taxes and marketing expenses indirectly related to our gaming and non-gaming operations.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1305" w:right="339" w:bottom="1440" w:gutter="0" w:footer="0" w:header="0"/>
        </w:sectPr>
      </w:pP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29" w:name="page30"/>
    <w:bookmarkEnd w:id="29"/>
    <w:p>
      <w:pPr>
        <w:jc w:val="both"/>
        <w:spacing w:after="0" w:line="282" w:lineRule="auto"/>
        <w:rPr>
          <w:sz w:val="20"/>
          <w:szCs w:val="20"/>
          <w:color w:val="auto"/>
        </w:rPr>
      </w:pPr>
      <w:r>
        <w:rPr>
          <w:rFonts w:ascii="Times New Roman" w:cs="Times New Roman" w:eastAsia="Times New Roman" w:hAnsi="Times New Roman"/>
          <w:sz w:val="18"/>
          <w:szCs w:val="18"/>
          <w:color w:val="auto"/>
        </w:rPr>
        <w:t>Corporate expenses include unallocated expenses such as payroll, inclusive of the annual bonus, stock-based compensation, professional fees, and other various expenses not directly related to the Company’s operations.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increased for the three months ended March 31, 2024 as compared to the same prior year period primarily related to recently completed construction projects.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and other costs, net for the three months ended March 31, 2024 primarily includes non-cash losses on the write down and disposal of assets and non-cash changes in equity method investments. Transaction and other costs, net for the three months ended March 31, 2023 primarily includes pre-opening costs in connection with new property openings, professional services for integration activities and non-cash changes in equity method investments.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income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2180" w:type="dxa"/>
            <w:vAlign w:val="bottom"/>
            <w:gridSpan w:val="6"/>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31,</w:t>
            </w: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56"/>
        </w:trPr>
        <w:tc>
          <w:tcPr>
            <w:tcW w:w="20" w:type="dxa"/>
            <w:vAlign w:val="bottom"/>
          </w:tcPr>
          <w:p>
            <w:pPr>
              <w:spacing w:after="0"/>
              <w:rPr>
                <w:sz w:val="13"/>
                <w:szCs w:val="13"/>
                <w:color w:val="auto"/>
              </w:rPr>
            </w:pPr>
          </w:p>
        </w:tc>
        <w:tc>
          <w:tcPr>
            <w:tcW w:w="70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3"/>
                <w:szCs w:val="13"/>
                <w:color w:val="auto"/>
              </w:rPr>
            </w:pPr>
          </w:p>
        </w:tc>
        <w:tc>
          <w:tcPr>
            <w:tcW w:w="78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80"/>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80" w:type="dxa"/>
            <w:vAlign w:val="bottom"/>
          </w:tcPr>
          <w:p>
            <w:pPr>
              <w:spacing w:after="0"/>
              <w:rPr>
                <w:sz w:val="13"/>
                <w:szCs w:val="13"/>
                <w:color w:val="auto"/>
              </w:rPr>
            </w:pPr>
          </w:p>
        </w:tc>
        <w:tc>
          <w:tcPr>
            <w:tcW w:w="102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13"/>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75.6 %</w:t>
            </w:r>
          </w:p>
        </w:tc>
      </w:tr>
      <w:tr>
        <w:trPr>
          <w:trHeight w:val="219"/>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57" w:lineRule="exact"/>
        <w:rPr>
          <w:sz w:val="20"/>
          <w:szCs w:val="20"/>
          <w:color w:val="auto"/>
        </w:rPr>
      </w:pPr>
    </w:p>
    <w:p>
      <w:pPr>
        <w:ind w:left="220" w:hanging="212"/>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Not meaningful.</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net decreased for the three months ended March 31, 2024, as compared to the same prior year period primarily due to a decrease of interest expense related to debt service from our efforts to reduce outstanding debt and additional capitalized interest resulting from the ongoing construction of our new permanent facilities. This was slightly offset by the increase from the annual rent escalator associated with our VICI Leases.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loss on extinguishment of debt was primarily related to the prepayments of the CEI Senior Secured Notes due 2025 and the Caesars Resort Collection (“CRC”) Senior Secured Notes. For the three months ended March 31, 2023, loss on extinguishment of debt was primarily related to the prepayments of the CRC Term Loan and the CRC Incremental Term Loan.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for the three months ended March 31, 2024 primarily represents a change in estimate of our disputed claims liability.</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income tax provision for the three months ended March 31, 2024 differed from the expected income tax benefit based on the federal tax rate of 21% primarily due to an increase in federal and state valuation allowances against the deferred tax assets for excess business interest expense.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income tax benefit for the three months ended March 31, 2023 differed from the expected income tax benefit based on the federal tax rate of 21% primarily due to state deferred tax benefits generated from net operating losses becoming available due to elections to treat certain subsidiary corporations as disregarded entities for income tax purposes.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0" w:name="page31"/>
    <w:bookmarkEnd w:id="30"/>
    <w:p>
      <w:pPr>
        <w:ind w:right="562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Segment comparison of the three months ended March 31, 2024 and 2023 </w:t>
      </w:r>
      <w:r>
        <w:rPr>
          <w:rFonts w:ascii="Times New Roman" w:cs="Times New Roman" w:eastAsia="Times New Roman" w:hAnsi="Times New Roman"/>
          <w:sz w:val="18"/>
          <w:szCs w:val="18"/>
          <w:i w:val="1"/>
          <w:iCs w:val="1"/>
          <w:u w:val="single" w:color="auto"/>
          <w:color w:val="auto"/>
        </w:rPr>
        <w:t>Las Vegas Segment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44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55"/>
        </w:trPr>
        <w:tc>
          <w:tcPr>
            <w:tcW w:w="20" w:type="dxa"/>
            <w:vAlign w:val="bottom"/>
          </w:tcPr>
          <w:p>
            <w:pPr>
              <w:spacing w:after="0"/>
              <w:rPr>
                <w:sz w:val="13"/>
                <w:szCs w:val="13"/>
                <w:color w:val="auto"/>
              </w:rPr>
            </w:pPr>
          </w:p>
        </w:tc>
        <w:tc>
          <w:tcPr>
            <w:tcW w:w="68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0"/>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100" w:type="dxa"/>
            <w:vAlign w:val="bottom"/>
          </w:tcPr>
          <w:p>
            <w:pPr>
              <w:spacing w:after="0"/>
              <w:rPr>
                <w:sz w:val="13"/>
                <w:szCs w:val="13"/>
                <w:color w:val="auto"/>
              </w:rPr>
            </w:pPr>
          </w:p>
        </w:tc>
        <w:tc>
          <w:tcPr>
            <w:tcW w:w="100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Casino</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w:t>
            </w:r>
          </w:p>
        </w:tc>
      </w:tr>
      <w:tr>
        <w:trPr>
          <w:trHeight w:val="21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20" w:type="dxa"/>
            <w:vAlign w:val="bottom"/>
          </w:tcPr>
          <w:p>
            <w:pPr>
              <w:spacing w:after="0"/>
              <w:rPr>
                <w:sz w:val="18"/>
                <w:szCs w:val="18"/>
                <w:color w:val="auto"/>
              </w:rPr>
            </w:pPr>
          </w:p>
        </w:tc>
        <w:tc>
          <w:tcPr>
            <w:tcW w:w="6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Hotel</w:t>
            </w:r>
          </w:p>
        </w:tc>
        <w:tc>
          <w:tcPr>
            <w:tcW w:w="26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09"/>
        </w:trPr>
        <w:tc>
          <w:tcPr>
            <w:tcW w:w="20" w:type="dxa"/>
            <w:vAlign w:val="bottom"/>
          </w:tcPr>
          <w:p>
            <w:pPr>
              <w:spacing w:after="0"/>
              <w:rPr>
                <w:sz w:val="18"/>
                <w:szCs w:val="18"/>
                <w:color w:val="auto"/>
              </w:rPr>
            </w:pPr>
          </w:p>
        </w:tc>
        <w:tc>
          <w:tcPr>
            <w:tcW w:w="68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Net revenues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1,028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1,131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Table game drop</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939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1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Table game hold %</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pts</w:t>
            </w:r>
          </w:p>
        </w:tc>
      </w:tr>
      <w:tr>
        <w:trPr>
          <w:trHeight w:val="213"/>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Slot handle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2,549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2,749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Hotel occupancy</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pts</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1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 margin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Caesars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r>
    </w:tbl>
    <w:p>
      <w:pPr>
        <w:spacing w:after="0" w:line="2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Las Vegas segment’s net revenues, net income, Adjusted EBITDA, and Adjusted EBITDA margin decreased for the three months ended March 31, 2024, as compared to the same prior year period. Net revenues were negatively impacted by lower casino volumes associated with the divestiture of Rio in the third quarter of 2023 and unfavorable timing of major city-wide conventions for the current quarter compared to the same prior year period. In addition, table game hold decreased significantly from the high end of our typical range for the same prior year period to the lower end of our expected range. The Las Vegas segment was also negatively impacted by higher operating costs associated with (a) higher union and non-union wages, (b) increased employee head count associated with new food and beverage offerings and (c) increased promotional costs associated with special events held over the Super Bowl weekend. Other revenue decreased primarily due to lower entertainment revenues from a reduction in headliner performances in the current quarter, compared to the same prior year period.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2024, slot win percentage in the Las Vegas segment was within our typical range.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auto"/>
        </w:rPr>
        <w:t>Regional Segment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44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56"/>
        </w:trPr>
        <w:tc>
          <w:tcPr>
            <w:tcW w:w="20" w:type="dxa"/>
            <w:vAlign w:val="bottom"/>
          </w:tcPr>
          <w:p>
            <w:pPr>
              <w:spacing w:after="0"/>
              <w:rPr>
                <w:sz w:val="13"/>
                <w:szCs w:val="13"/>
                <w:color w:val="auto"/>
              </w:rPr>
            </w:pPr>
          </w:p>
        </w:tc>
        <w:tc>
          <w:tcPr>
            <w:tcW w:w="68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0"/>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100" w:type="dxa"/>
            <w:vAlign w:val="bottom"/>
          </w:tcPr>
          <w:p>
            <w:pPr>
              <w:spacing w:after="0"/>
              <w:rPr>
                <w:sz w:val="13"/>
                <w:szCs w:val="13"/>
                <w:color w:val="auto"/>
              </w:rPr>
            </w:pPr>
          </w:p>
        </w:tc>
        <w:tc>
          <w:tcPr>
            <w:tcW w:w="100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Casino</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1,031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3"/>
        </w:trPr>
        <w:tc>
          <w:tcPr>
            <w:tcW w:w="20" w:type="dxa"/>
            <w:vAlign w:val="bottom"/>
          </w:tcPr>
          <w:p>
            <w:pPr>
              <w:spacing w:after="0"/>
              <w:rPr>
                <w:sz w:val="18"/>
                <w:szCs w:val="18"/>
                <w:color w:val="auto"/>
              </w:rPr>
            </w:pPr>
          </w:p>
        </w:tc>
        <w:tc>
          <w:tcPr>
            <w:tcW w:w="6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Hotel</w:t>
            </w:r>
          </w:p>
        </w:tc>
        <w:tc>
          <w:tcPr>
            <w:tcW w:w="26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1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r>
      <w:tr>
        <w:trPr>
          <w:trHeight w:val="210"/>
        </w:trPr>
        <w:tc>
          <w:tcPr>
            <w:tcW w:w="20" w:type="dxa"/>
            <w:vAlign w:val="bottom"/>
          </w:tcPr>
          <w:p>
            <w:pPr>
              <w:spacing w:after="0"/>
              <w:rPr>
                <w:sz w:val="18"/>
                <w:szCs w:val="18"/>
                <w:color w:val="auto"/>
              </w:rPr>
            </w:pPr>
          </w:p>
        </w:tc>
        <w:tc>
          <w:tcPr>
            <w:tcW w:w="68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Net revenues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1,365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1,389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Table game drop</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1,015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1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Table game hold %</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pts</w:t>
            </w:r>
          </w:p>
        </w:tc>
      </w:tr>
      <w:tr>
        <w:trPr>
          <w:trHeight w:val="213"/>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Slot handle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10,216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10,552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 margin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Caesars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r>
    </w:tbl>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Regional segment’s net revenues decreased slightly for the three months ended March 31, 2024, as compared to the same prior year period, primarily due to inclement weather in several of our regional property locations that negatively impacted visitor volume. The Regional segment has also experienced declines in gaming volume from a shift in customer mix as our higher rated play has remained steady with some growth, offset slightly by a reduction in lower tiered and unrated play. Additionally, the continued impact of competition associated with new casino resorts opening in some of our regional markets and ongoing construction disruption from renovation projects at certain of our properties within the segment contributed to the decline in casino revenues. These negative factors were partially offset by the opening of our temporary gaming facilities at Caesars Virginia and Harrah’s Columbus Nebraska during the second quarter in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Slot win percentage in the Regional segment for the three months ended March 31, 2024 was within our typical range.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auto"/>
        </w:rPr>
        <w:t>Caesars Digital Segment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44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56"/>
        </w:trPr>
        <w:tc>
          <w:tcPr>
            <w:tcW w:w="20" w:type="dxa"/>
            <w:vAlign w:val="bottom"/>
          </w:tcPr>
          <w:p>
            <w:pPr>
              <w:spacing w:after="0"/>
              <w:rPr>
                <w:sz w:val="13"/>
                <w:szCs w:val="13"/>
                <w:color w:val="auto"/>
              </w:rPr>
            </w:pPr>
          </w:p>
        </w:tc>
        <w:tc>
          <w:tcPr>
            <w:tcW w:w="68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0"/>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100" w:type="dxa"/>
            <w:vAlign w:val="bottom"/>
          </w:tcPr>
          <w:p>
            <w:pPr>
              <w:spacing w:after="0"/>
              <w:rPr>
                <w:sz w:val="13"/>
                <w:szCs w:val="13"/>
                <w:color w:val="auto"/>
              </w:rPr>
            </w:pPr>
          </w:p>
        </w:tc>
        <w:tc>
          <w:tcPr>
            <w:tcW w:w="100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6"/>
                <w:szCs w:val="16"/>
                <w:color w:val="auto"/>
              </w:rPr>
              <w:t xml:space="preserve">Casino </w:t>
            </w:r>
            <w:r>
              <w:rPr>
                <w:rFonts w:ascii="Times New Roman" w:cs="Times New Roman" w:eastAsia="Times New Roman" w:hAnsi="Times New Roman"/>
                <w:sz w:val="21"/>
                <w:szCs w:val="21"/>
                <w:i w:val="1"/>
                <w:iCs w:val="1"/>
                <w:color w:val="auto"/>
                <w:vertAlign w:val="superscript"/>
              </w:rPr>
              <w:t>(a)</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21.5 %</w:t>
            </w:r>
          </w:p>
        </w:tc>
      </w:tr>
      <w:tr>
        <w:trPr>
          <w:trHeight w:val="216"/>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183"/>
        </w:trPr>
        <w:tc>
          <w:tcPr>
            <w:tcW w:w="20" w:type="dxa"/>
            <w:vAlign w:val="bottom"/>
          </w:tcPr>
          <w:p>
            <w:pPr>
              <w:spacing w:after="0"/>
              <w:rPr>
                <w:sz w:val="15"/>
                <w:szCs w:val="15"/>
                <w:color w:val="auto"/>
              </w:rPr>
            </w:pPr>
          </w:p>
        </w:tc>
        <w:tc>
          <w:tcPr>
            <w:tcW w:w="6800" w:type="dxa"/>
            <w:vAlign w:val="bottom"/>
            <w:gridSpan w:val="2"/>
          </w:tcPr>
          <w:p>
            <w:pPr>
              <w:ind w:left="340"/>
              <w:spacing w:after="0" w:line="183" w:lineRule="exact"/>
              <w:rPr>
                <w:sz w:val="20"/>
                <w:szCs w:val="20"/>
                <w:color w:val="auto"/>
              </w:rPr>
            </w:pPr>
            <w:r>
              <w:rPr>
                <w:rFonts w:ascii="Times New Roman" w:cs="Times New Roman" w:eastAsia="Times New Roman" w:hAnsi="Times New Roman"/>
                <w:sz w:val="16"/>
                <w:szCs w:val="16"/>
                <w:color w:val="auto"/>
              </w:rPr>
              <w:t>Net revenues</w:t>
            </w:r>
          </w:p>
        </w:tc>
        <w:tc>
          <w:tcPr>
            <w:tcW w:w="260" w:type="dxa"/>
            <w:vAlign w:val="bottom"/>
            <w:tcBorders>
              <w:bottom w:val="single" w:sz="8" w:color="auto"/>
            </w:tcBorders>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119"/>
              <w:spacing w:after="0" w:line="183" w:lineRule="exact"/>
              <w:rPr>
                <w:sz w:val="20"/>
                <w:szCs w:val="20"/>
                <w:color w:val="auto"/>
              </w:rPr>
            </w:pPr>
            <w:r>
              <w:rPr>
                <w:rFonts w:ascii="Times New Roman" w:cs="Times New Roman" w:eastAsia="Times New Roman" w:hAnsi="Times New Roman"/>
                <w:sz w:val="16"/>
                <w:szCs w:val="16"/>
                <w:color w:val="auto"/>
              </w:rPr>
              <w:t>282</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5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119"/>
              <w:spacing w:after="0" w:line="183" w:lineRule="exact"/>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44</w:t>
            </w:r>
          </w:p>
        </w:tc>
        <w:tc>
          <w:tcPr>
            <w:tcW w:w="110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18.5 %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Sports betting handle </w:t>
            </w:r>
            <w:r>
              <w:rPr>
                <w:rFonts w:ascii="Times New Roman" w:cs="Times New Roman" w:eastAsia="Times New Roman" w:hAnsi="Times New Roman"/>
                <w:sz w:val="21"/>
                <w:szCs w:val="21"/>
                <w:i w:val="1"/>
                <w:iCs w:val="1"/>
                <w:color w:val="auto"/>
                <w:vertAlign w:val="superscript"/>
              </w:rPr>
              <w:t>(b)</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3,379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3,401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6"/>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Sports betting hold %</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iGaming handle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44.9 %</w:t>
            </w:r>
          </w:p>
        </w:tc>
      </w:tr>
      <w:tr>
        <w:trPr>
          <w:trHeight w:val="213"/>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iGaming hold %</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pts</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 margin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Caesars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311"/>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9" w:lineRule="exact"/>
        <w:rPr>
          <w:sz w:val="20"/>
          <w:szCs w:val="20"/>
          <w:color w:val="auto"/>
        </w:rPr>
      </w:pPr>
    </w:p>
    <w:p>
      <w:pPr>
        <w:ind w:left="220" w:hanging="212"/>
        <w:spacing w:after="0"/>
        <w:tabs>
          <w:tab w:leader="none" w:pos="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Not meaningful.</w:t>
      </w:r>
    </w:p>
    <w:p>
      <w:pPr>
        <w:spacing w:after="0" w:line="55" w:lineRule="exact"/>
        <w:rPr>
          <w:sz w:val="20"/>
          <w:szCs w:val="20"/>
          <w:color w:val="auto"/>
        </w:rPr>
      </w:pPr>
    </w:p>
    <w:p>
      <w:pPr>
        <w:ind w:left="340" w:right="20" w:hanging="332"/>
        <w:spacing w:after="0" w:line="299" w:lineRule="auto"/>
        <w:tabs>
          <w:tab w:leader="none" w:pos="327" w:val="left"/>
        </w:tabs>
        <w:numPr>
          <w:ilvl w:val="0"/>
          <w:numId w:val="15"/>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Includes total promotional and complimentary incentives related to sports betting, iGaming, and poker of $86 million and $77 million for the three months ended March 31, 2024 and 2023, respectively. Promotional and complimentary incentives for poker were $3 million and $4 million for the three months ended March 31, 2024 and 2023, respectively.</w:t>
      </w:r>
    </w:p>
    <w:p>
      <w:pPr>
        <w:spacing w:after="0" w:line="3" w:lineRule="exact"/>
        <w:rPr>
          <w:rFonts w:ascii="Times New Roman" w:cs="Times New Roman" w:eastAsia="Times New Roman" w:hAnsi="Times New Roman"/>
          <w:sz w:val="9"/>
          <w:szCs w:val="9"/>
          <w:i w:val="1"/>
          <w:iCs w:val="1"/>
          <w:color w:val="auto"/>
        </w:rPr>
      </w:pPr>
    </w:p>
    <w:p>
      <w:pPr>
        <w:jc w:val="both"/>
        <w:ind w:left="340" w:hanging="332"/>
        <w:spacing w:after="0"/>
        <w:tabs>
          <w:tab w:leader="none" w:pos="327" w:val="left"/>
        </w:tabs>
        <w:numPr>
          <w:ilvl w:val="0"/>
          <w:numId w:val="15"/>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Caesars Digital generated an additional $279 million and $328 million of sports betting handle for the three months ended March 31, 2024 and 2023, respectively, which is not included in this table, for select wholly-owned and third-party operations for which Caesars Digital provides services and we receive all, or a share of, the net profits. Hold related to these operations was 9.8% and 10.4%, for the three months ended March 31, 2024 and 2023, respectively. Sports betting handle includes $11 million and $12 million for the three months ended March 31, 2024 and 2023, respectively, related to horse racing and pari-mutuel wagers.</w:t>
      </w:r>
    </w:p>
    <w:p>
      <w:pPr>
        <w:spacing w:after="0" w:line="1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Caesars Digital reflects the operations for retail and online sports betting, iGaming, poker, and horse racing, which includes our Caesars Sportsbook, Caesars Racebook and iGaming mobile apps.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Caesars Digital’s net revenues, Adjusted EBITDA, and Adjusted EBITDA margin increased for the three months ended March 31, 2024, as compared to the same prior year period, primarily due to higher iGaming handle and hold. Sports betting hold improved for the three months ended March 31, 2024 compared to prior year, however, it remains at the lower end of our expected range due to less favorable hold during large sporting events in the current quarter. Both current year and prior year periods were negatively impacted with increased promotional spend during the launch of Caesars Sportsbook in North Carolina in March of 2024 and Ohio and Massachusetts in January and March of 2023, respectively.</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sports betting and online casinos expand through increased state or jurisdictional legalization, new product launches, and customer adoption, variations in hold percentages and increases in promotional and marketing expenses in highly competitive markets during promotional periods may negatively impact Caesars Digital’s net revenues, net income, Adjusted EBITDA and Adjusted EBITDA margin in comparison to current or prior periods.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Sports betting and iGaming hold percentages in the Caesars Digital segment for the three months ended March 31, 2024 were within our typical range.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auto"/>
        </w:rPr>
        <w:t>Managed and Branded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44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55"/>
        </w:trPr>
        <w:tc>
          <w:tcPr>
            <w:tcW w:w="20" w:type="dxa"/>
            <w:vAlign w:val="bottom"/>
          </w:tcPr>
          <w:p>
            <w:pPr>
              <w:spacing w:after="0"/>
              <w:rPr>
                <w:sz w:val="13"/>
                <w:szCs w:val="13"/>
                <w:color w:val="auto"/>
              </w:rPr>
            </w:pPr>
          </w:p>
        </w:tc>
        <w:tc>
          <w:tcPr>
            <w:tcW w:w="68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0"/>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100" w:type="dxa"/>
            <w:vAlign w:val="bottom"/>
          </w:tcPr>
          <w:p>
            <w:pPr>
              <w:spacing w:after="0"/>
              <w:rPr>
                <w:sz w:val="13"/>
                <w:szCs w:val="13"/>
                <w:color w:val="auto"/>
              </w:rPr>
            </w:pPr>
          </w:p>
        </w:tc>
        <w:tc>
          <w:tcPr>
            <w:tcW w:w="100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8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8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revenues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3"/>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EBITDA margin</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pts</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attributable to Caesars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w:t>
            </w:r>
          </w:p>
        </w:tc>
      </w:tr>
    </w:tbl>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manage several properties and license rights to the use of certain of our brands. These revenue agreements typically include reimbursement of certain costs that we incur directly. Such costs are primarily related to payroll costs incurred on behalf of the properties under management. The revenue related to these reimbursable management costs has a direct impact on our evaluation of Adjusted EBITDA margin which, when excluded, reflects margins typically realized from such agreements. The table below presents the amount included in net revenues and total operating expenses related to these reimbursable costs.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2180" w:type="dxa"/>
            <w:vAlign w:val="bottom"/>
            <w:gridSpan w:val="7"/>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89"/>
              </w:rPr>
              <w:t>31,</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56"/>
        </w:trPr>
        <w:tc>
          <w:tcPr>
            <w:tcW w:w="20" w:type="dxa"/>
            <w:vAlign w:val="bottom"/>
          </w:tcPr>
          <w:p>
            <w:pPr>
              <w:spacing w:after="0"/>
              <w:rPr>
                <w:sz w:val="13"/>
                <w:szCs w:val="13"/>
                <w:color w:val="auto"/>
              </w:rPr>
            </w:pPr>
          </w:p>
        </w:tc>
        <w:tc>
          <w:tcPr>
            <w:tcW w:w="70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3"/>
                <w:szCs w:val="13"/>
                <w:color w:val="auto"/>
              </w:rPr>
            </w:pPr>
          </w:p>
        </w:tc>
        <w:tc>
          <w:tcPr>
            <w:tcW w:w="720" w:type="dxa"/>
            <w:vAlign w:val="bottom"/>
          </w:tcPr>
          <w:p>
            <w:pPr>
              <w:jc w:val="right"/>
              <w:ind w:right="19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20"/>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100" w:type="dxa"/>
            <w:vAlign w:val="bottom"/>
          </w:tcPr>
          <w:p>
            <w:pPr>
              <w:spacing w:after="0"/>
              <w:rPr>
                <w:sz w:val="13"/>
                <w:szCs w:val="13"/>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5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Reimbursable management revenue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 %</w:t>
            </w:r>
          </w:p>
        </w:tc>
      </w:tr>
      <w:tr>
        <w:trPr>
          <w:trHeight w:val="210"/>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Reimbursable management cost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 %</w:t>
            </w: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Corporate &amp; Other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218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31,</w:t>
            </w: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55"/>
        </w:trPr>
        <w:tc>
          <w:tcPr>
            <w:tcW w:w="20" w:type="dxa"/>
            <w:vAlign w:val="bottom"/>
          </w:tcPr>
          <w:p>
            <w:pPr>
              <w:spacing w:after="0"/>
              <w:rPr>
                <w:sz w:val="13"/>
                <w:szCs w:val="13"/>
                <w:color w:val="auto"/>
              </w:rPr>
            </w:pPr>
          </w:p>
        </w:tc>
        <w:tc>
          <w:tcPr>
            <w:tcW w:w="70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3"/>
                <w:szCs w:val="13"/>
                <w:color w:val="auto"/>
              </w:rPr>
            </w:pPr>
          </w:p>
        </w:tc>
        <w:tc>
          <w:tcPr>
            <w:tcW w:w="78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ind w:left="20"/>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80" w:type="dxa"/>
            <w:vAlign w:val="bottom"/>
          </w:tcPr>
          <w:p>
            <w:pPr>
              <w:spacing w:after="0"/>
              <w:rPr>
                <w:sz w:val="13"/>
                <w:szCs w:val="13"/>
                <w:color w:val="auto"/>
              </w:rPr>
            </w:pPr>
          </w:p>
        </w:tc>
        <w:tc>
          <w:tcPr>
            <w:tcW w:w="102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0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Casino</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0"/>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Net revenues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316"/>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9" w:lineRule="exact"/>
        <w:rPr>
          <w:sz w:val="20"/>
          <w:szCs w:val="20"/>
          <w:color w:val="auto"/>
        </w:rPr>
      </w:pPr>
    </w:p>
    <w:p>
      <w:pPr>
        <w:ind w:left="220" w:hanging="212"/>
        <w:spacing w:after="0"/>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Not meaningful.</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Supplemental Unaudited Presentation of Consolidated Adjusted Earnings Before Interest, Taxes, Depreciation and Amortization (“Adjusted EBITDA”) for the Three Months Ended March 31, 2024 and 2023</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Adjusted EBITDA (described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our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net income (loss) before interest income or interest expense net of interest capitalized, (benefit) provision for income taxes, depreciation and amortization, stock-based compensation expense, (gain) loss on extinguishment of debt, impairment charges, other (income) loss, net income (loss) attributable to noncontrolling interests, transaction costs associated with our acquisitions, developments, and divestitures, and non-cash changes in equity method investments. Adjusted EBITDA also excludes the expense associated with certain of our leases as these transactions were accounted for as financing obligations and the associated expense is included in interest expense. Adjusted EBITDA is not a measure of performance or liquidity calculated in accordance with accounting principles generally accepted in the United States (“GAAP”). Adjusted EBITDA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and payments under our leases with</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1307" w:right="339" w:bottom="1440" w:gutter="0" w:footer="0" w:header="0"/>
        </w:sectPr>
      </w:pP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type w:val="continuous"/>
        </w:sectPr>
      </w:pPr>
    </w:p>
    <w:bookmarkStart w:id="34" w:name="page35"/>
    <w:bookmarkEnd w:id="34"/>
    <w:p>
      <w:pPr>
        <w:jc w:val="both"/>
        <w:spacing w:after="0" w:line="266" w:lineRule="auto"/>
        <w:rPr>
          <w:sz w:val="20"/>
          <w:szCs w:val="20"/>
          <w:color w:val="auto"/>
        </w:rPr>
      </w:pPr>
      <w:r>
        <w:rPr>
          <w:rFonts w:ascii="Times New Roman" w:cs="Times New Roman" w:eastAsia="Times New Roman" w:hAnsi="Times New Roman"/>
          <w:sz w:val="18"/>
          <w:szCs w:val="18"/>
          <w:color w:val="auto"/>
        </w:rPr>
        <w:t>affiliates of VICI Properties Inc. and GLPI, which can be significant. As a result, Adjusted EBITDA should not be considered as a measure of our liquidity. Other companies that provide EBITDA information may calculate Adjusted EBITDA differently than we do. The definition of Adjusted EBITDA may not be the same as the definitions used in any of our debt agreements.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summarizes our Adjusted EBITDA for the three months ended March 31, 2024 and 2023, respectively, in addition to reconciling net income (loss) to Adjusted EBITDA in accordance with GAAP (unaudited):</w:t>
      </w:r>
    </w:p>
    <w:p>
      <w:pPr>
        <w:spacing w:after="0" w:line="151"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579"/>
              <w:spacing w:after="0" w:line="161"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579"/>
              <w:spacing w:after="0" w:line="161"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Caesars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3"/>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Other income </w:t>
            </w:r>
            <w:r>
              <w:rPr>
                <w:rFonts w:ascii="Times New Roman" w:cs="Times New Roman" w:eastAsia="Times New Roman" w:hAnsi="Times New Roman"/>
                <w:sz w:val="21"/>
                <w:szCs w:val="21"/>
                <w:i w:val="1"/>
                <w:iCs w:val="1"/>
                <w:color w:val="auto"/>
                <w:vertAlign w:val="superscript"/>
              </w:rPr>
              <w:t>(a)</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6"/>
        </w:trPr>
        <w:tc>
          <w:tcPr>
            <w:tcW w:w="2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13"/>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r>
      <w:tr>
        <w:trPr>
          <w:trHeight w:val="246"/>
        </w:trPr>
        <w:tc>
          <w:tcPr>
            <w:tcW w:w="20" w:type="dxa"/>
            <w:vAlign w:val="bottom"/>
            <w:shd w:val="clear" w:color="auto" w:fill="CCEEFF"/>
          </w:tcPr>
          <w:p>
            <w:pPr>
              <w:spacing w:after="0"/>
              <w:rPr>
                <w:sz w:val="21"/>
                <w:szCs w:val="21"/>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Transaction costs and other, net </w:t>
            </w:r>
            <w:r>
              <w:rPr>
                <w:rFonts w:ascii="Times New Roman" w:cs="Times New Roman" w:eastAsia="Times New Roman" w:hAnsi="Times New Roman"/>
                <w:sz w:val="21"/>
                <w:szCs w:val="21"/>
                <w:i w:val="1"/>
                <w:iCs w:val="1"/>
                <w:color w:val="auto"/>
                <w:vertAlign w:val="superscript"/>
              </w:rPr>
              <w:t>(b)</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6"/>
        </w:trPr>
        <w:tc>
          <w:tcPr>
            <w:tcW w:w="2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7"/>
        </w:trPr>
        <w:tc>
          <w:tcPr>
            <w:tcW w:w="20" w:type="dxa"/>
            <w:vAlign w:val="bottom"/>
            <w:tcBorders>
              <w:bottom w:val="single" w:sz="8" w:color="CCEEFF"/>
            </w:tcBorders>
          </w:tcPr>
          <w:p>
            <w:pPr>
              <w:spacing w:after="0"/>
              <w:rPr>
                <w:sz w:val="17"/>
                <w:szCs w:val="17"/>
                <w:color w:val="auto"/>
              </w:rPr>
            </w:pPr>
          </w:p>
        </w:tc>
        <w:tc>
          <w:tcPr>
            <w:tcW w:w="78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w:t>
            </w:r>
          </w:p>
        </w:tc>
      </w:tr>
      <w:tr>
        <w:trPr>
          <w:trHeight w:val="212"/>
        </w:trPr>
        <w:tc>
          <w:tcPr>
            <w:tcW w:w="2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spacing w:after="0" w:line="213" w:lineRule="exact"/>
              <w:rPr>
                <w:sz w:val="20"/>
                <w:szCs w:val="20"/>
                <w:color w:val="auto"/>
              </w:rPr>
            </w:pPr>
            <w:r>
              <w:rPr>
                <w:rFonts w:ascii="Times New Roman" w:cs="Times New Roman" w:eastAsia="Times New Roman" w:hAnsi="Times New Roman"/>
                <w:sz w:val="16"/>
                <w:szCs w:val="16"/>
                <w:color w:val="auto"/>
              </w:rPr>
              <w:t xml:space="preserve">Pre-disposition Adjusted EBITDA </w:t>
            </w:r>
            <w:r>
              <w:rPr>
                <w:rFonts w:ascii="Times New Roman" w:cs="Times New Roman" w:eastAsia="Times New Roman" w:hAnsi="Times New Roman"/>
                <w:sz w:val="21"/>
                <w:szCs w:val="21"/>
                <w:i w:val="1"/>
                <w:iCs w:val="1"/>
                <w:color w:val="auto"/>
                <w:vertAlign w:val="superscript"/>
              </w:rPr>
              <w:t>(c)</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0"/>
        </w:trPr>
        <w:tc>
          <w:tcPr>
            <w:tcW w:w="20" w:type="dxa"/>
            <w:vAlign w:val="bottom"/>
          </w:tcPr>
          <w:p>
            <w:pPr>
              <w:spacing w:after="0"/>
              <w:rPr>
                <w:sz w:val="18"/>
                <w:szCs w:val="18"/>
                <w:color w:val="auto"/>
              </w:rPr>
            </w:pPr>
          </w:p>
        </w:tc>
        <w:tc>
          <w:tcPr>
            <w:tcW w:w="78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Same-Store Adjusted EBITDA</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57" w:lineRule="exact"/>
        <w:rPr>
          <w:sz w:val="20"/>
          <w:szCs w:val="20"/>
          <w:color w:val="auto"/>
        </w:rPr>
      </w:pPr>
    </w:p>
    <w:p>
      <w:pPr>
        <w:ind w:left="320" w:hanging="312"/>
        <w:spacing w:after="0"/>
        <w:tabs>
          <w:tab w:leader="none" w:pos="320" w:val="left"/>
        </w:tabs>
        <w:numPr>
          <w:ilvl w:val="0"/>
          <w:numId w:val="17"/>
        </w:numPr>
        <w:rPr>
          <w:rFonts w:ascii="Calibri" w:cs="Calibri" w:eastAsia="Calibri" w:hAnsi="Calibri"/>
          <w:sz w:val="9"/>
          <w:szCs w:val="9"/>
          <w:i w:val="1"/>
          <w:iCs w:val="1"/>
          <w:color w:val="auto"/>
        </w:rPr>
      </w:pPr>
      <w:r>
        <w:rPr>
          <w:rFonts w:ascii="Times New Roman" w:cs="Times New Roman" w:eastAsia="Times New Roman" w:hAnsi="Times New Roman"/>
          <w:sz w:val="14"/>
          <w:szCs w:val="14"/>
          <w:i w:val="1"/>
          <w:iCs w:val="1"/>
          <w:color w:val="auto"/>
        </w:rPr>
        <w:t>Other income for the three months ended March 31, 2024 primarily represents a change in estimate of our disputed claims liability.</w:t>
      </w:r>
    </w:p>
    <w:p>
      <w:pPr>
        <w:spacing w:after="0" w:line="55" w:lineRule="exact"/>
        <w:rPr>
          <w:rFonts w:ascii="Calibri" w:cs="Calibri" w:eastAsia="Calibri" w:hAnsi="Calibri"/>
          <w:sz w:val="9"/>
          <w:szCs w:val="9"/>
          <w:i w:val="1"/>
          <w:iCs w:val="1"/>
          <w:color w:val="auto"/>
        </w:rPr>
      </w:pPr>
    </w:p>
    <w:p>
      <w:pPr>
        <w:ind w:left="340" w:hanging="332"/>
        <w:spacing w:after="0" w:line="299" w:lineRule="auto"/>
        <w:tabs>
          <w:tab w:leader="none" w:pos="337" w:val="left"/>
        </w:tabs>
        <w:numPr>
          <w:ilvl w:val="0"/>
          <w:numId w:val="17"/>
        </w:numPr>
        <w:rPr>
          <w:rFonts w:ascii="Calibri" w:cs="Calibri" w:eastAsia="Calibri" w:hAnsi="Calibri"/>
          <w:sz w:val="9"/>
          <w:szCs w:val="9"/>
          <w:i w:val="1"/>
          <w:iCs w:val="1"/>
          <w:color w:val="auto"/>
        </w:rPr>
      </w:pPr>
      <w:r>
        <w:rPr>
          <w:rFonts w:ascii="Times New Roman" w:cs="Times New Roman" w:eastAsia="Times New Roman" w:hAnsi="Times New Roman"/>
          <w:sz w:val="14"/>
          <w:szCs w:val="14"/>
          <w:i w:val="1"/>
          <w:iCs w:val="1"/>
          <w:color w:val="auto"/>
        </w:rPr>
        <w:t>Transaction costs and other, net primarily includes costs related to non-cash losses on the write down and disposal of assets, professional services for transaction and integration costs, various contract exit or termination costs, pre-opening costs in connection with our temporary facility openings, and non-cash changes in equity method investments.</w:t>
      </w:r>
    </w:p>
    <w:p>
      <w:pPr>
        <w:spacing w:after="0" w:line="3" w:lineRule="exact"/>
        <w:rPr>
          <w:rFonts w:ascii="Calibri" w:cs="Calibri" w:eastAsia="Calibri" w:hAnsi="Calibri"/>
          <w:sz w:val="9"/>
          <w:szCs w:val="9"/>
          <w:i w:val="1"/>
          <w:iCs w:val="1"/>
          <w:color w:val="auto"/>
        </w:rPr>
      </w:pPr>
    </w:p>
    <w:p>
      <w:pPr>
        <w:jc w:val="both"/>
        <w:ind w:left="340" w:hanging="332"/>
        <w:spacing w:after="0"/>
        <w:tabs>
          <w:tab w:leader="none" w:pos="336" w:val="left"/>
        </w:tabs>
        <w:numPr>
          <w:ilvl w:val="0"/>
          <w:numId w:val="17"/>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Adjustment for pre-disposition results of operations reflecting the subtraction of results of operations for Rio prior to divestiture on October 2, 2023. Such figures are based on unaudited internal financial statements and have not been reviewed by the Company’s auditors for the periods presented. The additional financial information is included to enable the comparison of current results with results of prior periods.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holding company, and our only significant assets are ownership interests in our subsidiaries. Our ability to fund our obligations depends on existing cash on hand, cash flows from our subsidiaries and our ability to raise capital. Our primary sources of liquidity and capital resources are existing cash on hand, cash flows from operations, availability of borrowings under our revolving credit facility and proceeds from the issuance of debt and equity securities. Our cash requirements may fluctuate significantly depending on our decisions with respect to business acquisitions or divestitures and strategic capital and marketing investments.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our cash on hand and revolving borrowing capacity was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Pr>
          <w:p>
            <w:pPr>
              <w:spacing w:after="0"/>
              <w:rPr>
                <w:sz w:val="17"/>
                <w:szCs w:val="17"/>
                <w:color w:val="auto"/>
              </w:rPr>
            </w:pPr>
          </w:p>
        </w:tc>
        <w:tc>
          <w:tcPr>
            <w:tcW w:w="17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Revolver capacity </w:t>
            </w:r>
            <w:r>
              <w:rPr>
                <w:rFonts w:ascii="Times New Roman" w:cs="Times New Roman" w:eastAsia="Times New Roman" w:hAnsi="Times New Roman"/>
                <w:sz w:val="21"/>
                <w:szCs w:val="21"/>
                <w:i w:val="1"/>
                <w:iCs w:val="1"/>
                <w:color w:val="auto"/>
                <w:vertAlign w:val="superscript"/>
              </w:rPr>
              <w:t>(a)</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w:t>
            </w:r>
          </w:p>
        </w:tc>
      </w:tr>
      <w:tr>
        <w:trPr>
          <w:trHeight w:val="216"/>
        </w:trPr>
        <w:tc>
          <w:tcPr>
            <w:tcW w:w="20" w:type="dxa"/>
            <w:vAlign w:val="bottom"/>
            <w:shd w:val="clear" w:color="auto" w:fill="CCEEFF"/>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Revolver capacity committed to letters of credit</w:t>
            </w: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3"/>
        </w:trPr>
        <w:tc>
          <w:tcPr>
            <w:tcW w:w="20" w:type="dxa"/>
            <w:vAlign w:val="bottom"/>
            <w:tcBorders>
              <w:bottom w:val="single" w:sz="8" w:color="CCEEFF"/>
            </w:tcBorders>
          </w:tcPr>
          <w:p>
            <w:pPr>
              <w:spacing w:after="0"/>
              <w:rPr>
                <w:sz w:val="18"/>
                <w:szCs w:val="18"/>
                <w:color w:val="auto"/>
              </w:rPr>
            </w:pPr>
          </w:p>
        </w:tc>
        <w:tc>
          <w:tcPr>
            <w:tcW w:w="9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Revolver capacity committed as regulatory requirement</w:t>
            </w: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92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8"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Revolver capacity includes $2.25 billion under our CEI Revolving Credit Facility, maturing in January 2028, less $40 million reserved for specific purposes.</w:t>
      </w:r>
    </w:p>
    <w:p>
      <w:pPr>
        <w:spacing w:after="0" w:line="1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our operating activities generated operating cash inflows of $80 million, as compared to operating cash inflows of $174 million during the three months ended March 31, 2023, due to the results of operations described above.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5" w:name="page36"/>
    <w:bookmarkEnd w:id="35"/>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February 6, 2024, we entered into an Incremental Assumption Agreement No. 3 pursuant to which we incurred a new senior secured incremental term loan in an aggregate principal amount of </w:t>
      </w:r>
      <w:r>
        <w:rPr>
          <w:rFonts w:ascii="Times New Roman" w:cs="Times New Roman" w:eastAsia="Times New Roman" w:hAnsi="Times New Roman"/>
          <w:sz w:val="18"/>
          <w:szCs w:val="18"/>
          <w:color w:val="212529"/>
        </w:rPr>
        <w:t>$2.9 billion</w:t>
      </w:r>
      <w:r>
        <w:rPr>
          <w:rFonts w:ascii="Times New Roman" w:cs="Times New Roman" w:eastAsia="Times New Roman" w:hAnsi="Times New Roman"/>
          <w:sz w:val="18"/>
          <w:szCs w:val="18"/>
          <w:color w:val="auto"/>
        </w:rPr>
        <w:t xml:space="preserve"> (the “CEI Term Loan B-1”) under the CEI Credit Agreement. The CEI Term Loan B-1 requires quarterly principal payments in amounts equal to </w:t>
      </w:r>
      <w:r>
        <w:rPr>
          <w:rFonts w:ascii="Times New Roman" w:cs="Times New Roman" w:eastAsia="Times New Roman" w:hAnsi="Times New Roman"/>
          <w:sz w:val="18"/>
          <w:szCs w:val="18"/>
          <w:color w:val="212529"/>
        </w:rPr>
        <w:t>0.25%</w:t>
      </w:r>
      <w:r>
        <w:rPr>
          <w:rFonts w:ascii="Times New Roman" w:cs="Times New Roman" w:eastAsia="Times New Roman" w:hAnsi="Times New Roman"/>
          <w:sz w:val="18"/>
          <w:szCs w:val="18"/>
          <w:color w:val="auto"/>
        </w:rPr>
        <w:t xml:space="preserve"> of the original aggregate principal amount of the CEI Term Loan B-1, with the balance payable at maturity. Borrowings under the CEI Term Loan B-1 bear interest at a rate equal to, at our option, either (a) a forward-looking term rate based on the Secured Overnight Financing Rate (“Term SOFR”), subject to a floor of </w:t>
      </w:r>
      <w:r>
        <w:rPr>
          <w:rFonts w:ascii="Times New Roman" w:cs="Times New Roman" w:eastAsia="Times New Roman" w:hAnsi="Times New Roman"/>
          <w:sz w:val="18"/>
          <w:szCs w:val="18"/>
          <w:color w:val="212529"/>
        </w:rPr>
        <w:t>0.50%</w:t>
      </w:r>
      <w:r>
        <w:rPr>
          <w:rFonts w:ascii="Times New Roman" w:cs="Times New Roman" w:eastAsia="Times New Roman" w:hAnsi="Times New Roman"/>
          <w:sz w:val="18"/>
          <w:szCs w:val="18"/>
          <w:color w:val="auto"/>
        </w:rPr>
        <w:t xml:space="preserve"> or (b) a base rate (the “TLB-1 Base Rate”) determined by reference to the highest of (i) the “Prime Rate” in the United States, (ii) the federal funds rate plus </w:t>
      </w:r>
      <w:r>
        <w:rPr>
          <w:rFonts w:ascii="Times New Roman" w:cs="Times New Roman" w:eastAsia="Times New Roman" w:hAnsi="Times New Roman"/>
          <w:sz w:val="18"/>
          <w:szCs w:val="18"/>
          <w:color w:val="212529"/>
        </w:rPr>
        <w:t>0.50%</w:t>
      </w:r>
      <w:r>
        <w:rPr>
          <w:rFonts w:ascii="Times New Roman" w:cs="Times New Roman" w:eastAsia="Times New Roman" w:hAnsi="Times New Roman"/>
          <w:sz w:val="18"/>
          <w:szCs w:val="18"/>
          <w:color w:val="auto"/>
        </w:rPr>
        <w:t xml:space="preserve"> per annum and (iii) the one-month Term SOFR plus </w:t>
      </w:r>
      <w:r>
        <w:rPr>
          <w:rFonts w:ascii="Times New Roman" w:cs="Times New Roman" w:eastAsia="Times New Roman" w:hAnsi="Times New Roman"/>
          <w:sz w:val="18"/>
          <w:szCs w:val="18"/>
          <w:color w:val="212529"/>
        </w:rPr>
        <w:t>1.00%</w:t>
      </w:r>
      <w:r>
        <w:rPr>
          <w:rFonts w:ascii="Times New Roman" w:cs="Times New Roman" w:eastAsia="Times New Roman" w:hAnsi="Times New Roman"/>
          <w:sz w:val="18"/>
          <w:szCs w:val="18"/>
          <w:color w:val="auto"/>
        </w:rPr>
        <w:t xml:space="preserve"> per annum, in each case, plus an applicable margin. Such applicable margin is 2.75% per annum in the case of any Term SOFR loan and </w:t>
      </w:r>
      <w:r>
        <w:rPr>
          <w:rFonts w:ascii="Times New Roman" w:cs="Times New Roman" w:eastAsia="Times New Roman" w:hAnsi="Times New Roman"/>
          <w:sz w:val="18"/>
          <w:szCs w:val="18"/>
          <w:color w:val="212529"/>
        </w:rPr>
        <w:t>1.75%</w:t>
      </w:r>
      <w:r>
        <w:rPr>
          <w:rFonts w:ascii="Times New Roman" w:cs="Times New Roman" w:eastAsia="Times New Roman" w:hAnsi="Times New Roman"/>
          <w:sz w:val="18"/>
          <w:szCs w:val="18"/>
          <w:color w:val="auto"/>
        </w:rPr>
        <w:t xml:space="preserve"> per annum in the case of any TLB-1 Base Rate loan. The CEI Term Loan B-1 was issued at a price of </w:t>
      </w:r>
      <w:r>
        <w:rPr>
          <w:rFonts w:ascii="Times New Roman" w:cs="Times New Roman" w:eastAsia="Times New Roman" w:hAnsi="Times New Roman"/>
          <w:sz w:val="18"/>
          <w:szCs w:val="18"/>
          <w:color w:val="212529"/>
        </w:rPr>
        <w:t>99.75%</w:t>
      </w:r>
      <w:r>
        <w:rPr>
          <w:rFonts w:ascii="Times New Roman" w:cs="Times New Roman" w:eastAsia="Times New Roman" w:hAnsi="Times New Roman"/>
          <w:sz w:val="18"/>
          <w:szCs w:val="18"/>
          <w:color w:val="auto"/>
        </w:rPr>
        <w:t xml:space="preserve"> of the principal amount and will mature on February 6, 2031.</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on February 6, 2024, we issued $1.5 billion in aggregate principal amount of 6.50% senior secured notes due 2032 (the “CEI Senior Secured Notes due 2032”) pursuant to an indenture by and among the Company, the subsidiary guarantors party thereto, U.S. Bank Trust Company, National Association, as trustee, and U.S. Bank National Association, as collateral agent. The CEI Senior Secured Notes due 2032 rank equally with all existing and future first-priority lien obligations of the Company and the subsidiary guarantors. The CEI Senior Secured Notes due 2032 will mature on February 15, 2032, with interest payable semi-annually on February 15 and August 15 of each year, commencing August 15, 2024.</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net proceeds from the issuance of the CEI Senior Secured Notes due 2032 and the net proceeds from the CEI Term Loan B-1, together with borrowings under the CEI Revolving Credit Facility, were used to tender, redeem, repurchase, defease, and/or satisfy and discharge any and all of the principal amounts, including accrued and unpaid interest, related expenses and fees of both the </w:t>
      </w:r>
      <w:r>
        <w:rPr>
          <w:rFonts w:ascii="Times New Roman" w:cs="Times New Roman" w:eastAsia="Times New Roman" w:hAnsi="Times New Roman"/>
          <w:sz w:val="18"/>
          <w:szCs w:val="18"/>
          <w:color w:val="212529"/>
        </w:rPr>
        <w:t>5.75%</w:t>
      </w:r>
      <w:r>
        <w:rPr>
          <w:rFonts w:ascii="Times New Roman" w:cs="Times New Roman" w:eastAsia="Times New Roman" w:hAnsi="Times New Roman"/>
          <w:sz w:val="18"/>
          <w:szCs w:val="18"/>
          <w:color w:val="auto"/>
        </w:rPr>
        <w:t xml:space="preserve"> Senior Secured Notes due 2025 (the “CRC Senior Secured Notes”) and the </w:t>
      </w:r>
      <w:r>
        <w:rPr>
          <w:rFonts w:ascii="Times New Roman" w:cs="Times New Roman" w:eastAsia="Times New Roman" w:hAnsi="Times New Roman"/>
          <w:sz w:val="18"/>
          <w:szCs w:val="18"/>
          <w:color w:val="212529"/>
        </w:rPr>
        <w:t>6.25%</w:t>
      </w:r>
      <w:r>
        <w:rPr>
          <w:rFonts w:ascii="Times New Roman" w:cs="Times New Roman" w:eastAsia="Times New Roman" w:hAnsi="Times New Roman"/>
          <w:sz w:val="18"/>
          <w:szCs w:val="18"/>
          <w:color w:val="auto"/>
        </w:rPr>
        <w:t xml:space="preserve"> Senior Secured Notes due 2025 (the “CEI Senior Secured Notes due 2025”). As a result of these transactions, we recognized </w:t>
      </w:r>
      <w:r>
        <w:rPr>
          <w:rFonts w:ascii="Times New Roman" w:cs="Times New Roman" w:eastAsia="Times New Roman" w:hAnsi="Times New Roman"/>
          <w:sz w:val="18"/>
          <w:szCs w:val="18"/>
          <w:color w:val="212529"/>
        </w:rPr>
        <w:t xml:space="preserve">$48 million </w:t>
      </w:r>
      <w:r>
        <w:rPr>
          <w:rFonts w:ascii="Times New Roman" w:cs="Times New Roman" w:eastAsia="Times New Roman" w:hAnsi="Times New Roman"/>
          <w:sz w:val="18"/>
          <w:szCs w:val="18"/>
          <w:color w:val="000000"/>
        </w:rPr>
        <w:t>of loss on early extinguishment of debt.</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our primary capital requirements going forward will relate to the expansion and maintenance of our properties, taxes, servicing our outstanding indebtedness, and rent payments under our GLPI Master Lease, the VICI Leases and other leases. We make capital expenditures and perform continuing refurbishment and maintenance at our properties to maintain our quality standards. Our capital expenditure requirements for the remainder of 2024 include expansion projects, hotel renovations and continued investment into new markets with our Caesars Sportsbook and iGaming applications in our Caesars Digital segment. In addition, we may, from time to time, seek to repurchase or prepay our outstanding indebtedness. Any such purchases or prepayments may be funded by existing cash balances or the incurrence of debt. The amount and timing of any repurchase will be based on business and market conditions, capital availability, compliance with debt covenants and other considerations.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22222"/>
        </w:rPr>
        <w:t xml:space="preserve">We have agreements with certain professional sports leagues and teams, sporting event facilities and media companies for tickets, suites, advertising, marketing, promotional and sponsorship opportunities including communication with partner customer databases. Some of the agreements provide us with exclusivity to access the aforementioned rights within the casino and/or sports betting category. As of </w:t>
      </w:r>
      <w:r>
        <w:rPr>
          <w:rFonts w:ascii="Times New Roman" w:cs="Times New Roman" w:eastAsia="Times New Roman" w:hAnsi="Times New Roman"/>
          <w:sz w:val="18"/>
          <w:szCs w:val="18"/>
          <w:color w:val="000000"/>
        </w:rPr>
        <w:t>March 31, 2024 and December 31, 2023</w:t>
      </w:r>
      <w:r>
        <w:rPr>
          <w:rFonts w:ascii="Times New Roman" w:cs="Times New Roman" w:eastAsia="Times New Roman" w:hAnsi="Times New Roman"/>
          <w:sz w:val="18"/>
          <w:szCs w:val="18"/>
          <w:color w:val="222222"/>
        </w:rPr>
        <w:t>, obligations related to these agreements were $566 million and $605 million, respectively, with contracts extending through 2040. These obligations include leasing of event suites that are generally considered short term leases for which we do not record a right of use asset or lease liability. We recognize expenses in the period services are received in accordance with the various agreements. In addition, assets or liabilities may be recorded related to the timing of payments as required by the respective agreement.</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 xml:space="preserve">We continue to expand into new markets with projects such as our partnership with the Eastern Band of Cherokee Indians to build and develop Caesars Virginia which is estimated to open a permanent facility in December 2024. The permanent development has a budget of $650 million and is expected to include a premier destination resort casino along with a 320 room hotel and world-class casino floor including 1,300 slot machines, 85 live table games, a WSOP Poker Room, a Caesars Sportsbook, a live entertainment theater and 40,000 square feet of meeting and convention space. Additionally, we are developing Harrah’s Columbus Nebraska which is a casino development expected to feature a new one-mile horse racing surface, a 40,000-square-foot-casino and sportsbook with more than 400 slot machines and 20 table games, as well as a restaurant and retail space. In </w:t>
      </w:r>
      <w:r>
        <w:rPr>
          <w:rFonts w:ascii="Times New Roman" w:cs="Times New Roman" w:eastAsia="Times New Roman" w:hAnsi="Times New Roman"/>
          <w:sz w:val="18"/>
          <w:szCs w:val="18"/>
          <w:color w:val="000000"/>
        </w:rPr>
        <w:t>the second quarter of 2023,</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temporary gaming facilities for Caesars Virginia and Harrah’s </w:t>
      </w:r>
      <w:r>
        <w:rPr>
          <w:rFonts w:ascii="Times New Roman" w:cs="Times New Roman" w:eastAsia="Times New Roman" w:hAnsi="Times New Roman"/>
          <w:sz w:val="18"/>
          <w:szCs w:val="18"/>
          <w:color w:val="212529"/>
        </w:rPr>
        <w:t>Columbus Nebraska opened</w:t>
      </w:r>
      <w:r>
        <w:rPr>
          <w:rFonts w:ascii="Times New Roman" w:cs="Times New Roman" w:eastAsia="Times New Roman" w:hAnsi="Times New Roman"/>
          <w:sz w:val="18"/>
          <w:szCs w:val="18"/>
          <w:color w:val="000000"/>
        </w:rPr>
        <w:t xml:space="preserve"> while the permanent facilities are being constructed. The temporary gaming facility for Harrah’s Columbus Nebraska closed on March 20, 2024 in anticipation of the permanent facility opening </w:t>
      </w:r>
      <w:r>
        <w:rPr>
          <w:rFonts w:ascii="Times New Roman" w:cs="Times New Roman" w:eastAsia="Times New Roman" w:hAnsi="Times New Roman"/>
          <w:sz w:val="18"/>
          <w:szCs w:val="18"/>
          <w:color w:val="212529"/>
        </w:rPr>
        <w:t>in May 2024.</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6" w:name="page37"/>
    <w:bookmarkEnd w:id="36"/>
    <w:p>
      <w:pPr>
        <w:jc w:val="both"/>
        <w:spacing w:after="0" w:line="258" w:lineRule="auto"/>
        <w:rPr>
          <w:sz w:val="20"/>
          <w:szCs w:val="20"/>
          <w:color w:val="auto"/>
        </w:rPr>
      </w:pPr>
      <w:r>
        <w:rPr>
          <w:rFonts w:ascii="Times New Roman" w:cs="Times New Roman" w:eastAsia="Times New Roman" w:hAnsi="Times New Roman"/>
          <w:sz w:val="18"/>
          <w:szCs w:val="18"/>
          <w:color w:val="auto"/>
        </w:rPr>
        <w:t>As a condition of the extension of the casino operating contract and ground lease for Harrah’s New Orleans, we were also required to make a capital investment of $325 million on or around Harrah’s New Orleans by July 15, 2024. The capital investment involves the rebranding of the property to Caesars New Orleans which includes a renovation and full interior and exterior redesign, updated casino floor, new culinary experiences and a new 340-room hotel tower. The project has a current capital plan of approximately $430 million, and as of March 31, 2024, total capital expenditures have been $329 million since the project began.</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 xml:space="preserve">Cash used for capital expenditures totaled $264 million </w:t>
      </w:r>
      <w:r>
        <w:rPr>
          <w:rFonts w:ascii="Times New Roman" w:cs="Times New Roman" w:eastAsia="Times New Roman" w:hAnsi="Times New Roman"/>
          <w:sz w:val="18"/>
          <w:szCs w:val="18"/>
          <w:color w:val="000000"/>
        </w:rPr>
        <w:t>and $272 million</w:t>
      </w:r>
      <w:r>
        <w:rPr>
          <w:rFonts w:ascii="Times New Roman" w:cs="Times New Roman" w:eastAsia="Times New Roman" w:hAnsi="Times New Roman"/>
          <w:sz w:val="18"/>
          <w:szCs w:val="18"/>
          <w:color w:val="212529"/>
        </w:rPr>
        <w:t xml:space="preserve"> for the three months ended </w:t>
      </w:r>
      <w:r>
        <w:rPr>
          <w:rFonts w:ascii="Times New Roman" w:cs="Times New Roman" w:eastAsia="Times New Roman" w:hAnsi="Times New Roman"/>
          <w:sz w:val="18"/>
          <w:szCs w:val="18"/>
          <w:color w:val="000000"/>
        </w:rPr>
        <w:t>March 31, 2024 and 2023</w:t>
      </w:r>
      <w:r>
        <w:rPr>
          <w:rFonts w:ascii="Times New Roman" w:cs="Times New Roman" w:eastAsia="Times New Roman" w:hAnsi="Times New Roman"/>
          <w:sz w:val="18"/>
          <w:szCs w:val="18"/>
          <w:color w:val="212529"/>
        </w:rPr>
        <w:t xml:space="preserve">, respectively, related to our growth, renovation, maintenance, and other capital projects. The following table summarizes our capital expenditures for the three months ended March 31, 2024, and an estimated range of capital expenditures for the remainder of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12529"/>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6"/>
                <w:szCs w:val="16"/>
                <w:color w:val="auto"/>
              </w:rPr>
            </w:pPr>
          </w:p>
        </w:tc>
        <w:tc>
          <w:tcPr>
            <w:tcW w:w="346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Estimate of Remaining Capital Expenditures for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00" w:type="dxa"/>
            <w:vAlign w:val="bottom"/>
          </w:tcPr>
          <w:p>
            <w:pPr>
              <w:spacing w:after="0"/>
              <w:rPr>
                <w:sz w:val="18"/>
                <w:szCs w:val="18"/>
                <w:color w:val="auto"/>
              </w:rPr>
            </w:pPr>
          </w:p>
        </w:tc>
        <w:tc>
          <w:tcPr>
            <w:tcW w:w="2140" w:type="dxa"/>
            <w:vAlign w:val="bottom"/>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tcPr>
          <w:p>
            <w:pPr>
              <w:jc w:val="center"/>
              <w:ind w:right="79"/>
              <w:spacing w:after="0" w:line="142" w:lineRule="exact"/>
              <w:rPr>
                <w:sz w:val="20"/>
                <w:szCs w:val="20"/>
                <w:color w:val="auto"/>
              </w:rPr>
            </w:pPr>
            <w:r>
              <w:rPr>
                <w:rFonts w:ascii="Times New Roman" w:cs="Times New Roman" w:eastAsia="Times New Roman" w:hAnsi="Times New Roman"/>
                <w:sz w:val="16"/>
                <w:szCs w:val="16"/>
                <w:b w:val="1"/>
                <w:bCs w:val="1"/>
                <w:color w:val="auto"/>
              </w:rPr>
              <w:t>Actual</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2"/>
          </w:tcPr>
          <w:p>
            <w:pPr>
              <w:ind w:left="620"/>
              <w:spacing w:after="0" w:line="142" w:lineRule="exact"/>
              <w:rPr>
                <w:sz w:val="20"/>
                <w:szCs w:val="20"/>
                <w:color w:val="auto"/>
              </w:rPr>
            </w:pPr>
            <w:r>
              <w:rPr>
                <w:rFonts w:ascii="Times New Roman" w:cs="Times New Roman" w:eastAsia="Times New Roman" w:hAnsi="Times New Roman"/>
                <w:sz w:val="16"/>
                <w:szCs w:val="16"/>
                <w:b w:val="1"/>
                <w:bCs w:val="1"/>
                <w:color w:val="auto"/>
              </w:rPr>
              <w:t>Low</w:t>
            </w:r>
          </w:p>
        </w:tc>
        <w:tc>
          <w:tcPr>
            <w:tcW w:w="4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619"/>
              <w:spacing w:after="0" w:line="142" w:lineRule="exact"/>
              <w:rPr>
                <w:sz w:val="20"/>
                <w:szCs w:val="20"/>
                <w:color w:val="auto"/>
              </w:rPr>
            </w:pPr>
            <w:r>
              <w:rPr>
                <w:rFonts w:ascii="Times New Roman" w:cs="Times New Roman" w:eastAsia="Times New Roman" w:hAnsi="Times New Roman"/>
                <w:sz w:val="16"/>
                <w:szCs w:val="16"/>
                <w:b w:val="1"/>
                <w:bCs w:val="1"/>
                <w:color w:val="auto"/>
              </w:rPr>
              <w:t>High</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Growth and renovation projects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Caesars Digital</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Maintenance projects</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Total estimated capital expenditures from unrestricted cash</w:t>
            </w: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Caesars Virginia </w:t>
            </w:r>
            <w:r>
              <w:rPr>
                <w:rFonts w:ascii="Times New Roman" w:cs="Times New Roman" w:eastAsia="Times New Roman" w:hAnsi="Times New Roman"/>
                <w:sz w:val="21"/>
                <w:szCs w:val="21"/>
                <w:i w:val="1"/>
                <w:iCs w:val="1"/>
                <w:color w:val="auto"/>
                <w:vertAlign w:val="superscript"/>
              </w:rPr>
              <w:t>(a)</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0" w:type="dxa"/>
            <w:vAlign w:val="bottom"/>
          </w:tcPr>
          <w:p>
            <w:pPr>
              <w:spacing w:after="0"/>
              <w:rPr>
                <w:sz w:val="1"/>
                <w:szCs w:val="1"/>
                <w:color w:val="auto"/>
              </w:rPr>
            </w:pPr>
          </w:p>
        </w:tc>
      </w:tr>
      <w:tr>
        <w:trPr>
          <w:trHeight w:val="26"/>
        </w:trPr>
        <w:tc>
          <w:tcPr>
            <w:tcW w:w="5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566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340" w:right="20" w:hanging="332"/>
        <w:spacing w:after="0" w:line="222" w:lineRule="auto"/>
        <w:tabs>
          <w:tab w:leader="none" w:pos="327" w:val="left"/>
        </w:tabs>
        <w:numPr>
          <w:ilvl w:val="0"/>
          <w:numId w:val="19"/>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On April 26, 2024, the joint venture entered into a new five-year $425 million pro rata bank financing to fund the remaining capital expenditures associated with the permanent casino resort facility, which is expected to open in December 2024. Excluding joint venture capital expenditure, we estimate 2024 cash capital expenditure spend of approximately $800 million.</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portion of our liquidity needs are for debt service and payments associated with our leases. Our estimated debt service (including principal and interest) is approximately $682 million for the remainder of 2024. We also lease certain real property assets from third parties, including VICI and GLPI. The VICI Leases are subject to annual escalations, that take effect in November of each year, based on the Consumer Price Index. We estimate our lease payments to VICI and GLPI to be approximately $988 million for the remainder of 2024.</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have periodically divested assets to raise capital or, in previous cases, to comply with conditions, terms, obligations or restrictions imposed by antitrust, gaming and other regulatory entities. </w:t>
      </w:r>
      <w:r>
        <w:rPr>
          <w:rFonts w:ascii="Times New Roman" w:cs="Times New Roman" w:eastAsia="Times New Roman" w:hAnsi="Times New Roman"/>
          <w:sz w:val="18"/>
          <w:szCs w:val="18"/>
          <w:color w:val="212529"/>
        </w:rPr>
        <w:t>If an agreed upon selling price for future divestitures does not exceed the carrying value of the assets, we may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required to record additional impairment charges in future periods which may be material.</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We </w:t>
      </w:r>
      <w:r>
        <w:rPr>
          <w:rFonts w:ascii="Times New Roman" w:cs="Times New Roman" w:eastAsia="Times New Roman" w:hAnsi="Times New Roman"/>
          <w:sz w:val="18"/>
          <w:szCs w:val="18"/>
          <w:color w:val="212529"/>
        </w:rPr>
        <w:t>expect that our current liquidity, including availability of borrowings under our committed credit facility and cash flows from operations will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sufficient to fund our operations, capital requirements and service our outstanding indebtedness for the next twelve months.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Master Lease Covenant Compliance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CEI Revolving Credit Facility, the CEI Term Loan A, the CEI Term Loan B, the CEI Term Loan B-1, and the indentures governing the CEI Senior Secured Notes due 2030, the CEI Senior Secured Notes due 2032, the CEI Senior Notes due 2027, and the CEI Senior Notes due 2029 contain covenants which are standard and customary for these types of agreements. These include negative covenants, which, subject to certain exceptions and baskets, limit our ability to (among other items) incur additional indebtedness, make investments, make restricted payments, including dividends, grant liens, sell assets and make acquisitions.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CEI Revolving Credit Facility and the CEI Term Loan A include a maximum net total leverage ratio financial covenant of 7.25:1 until December 31, 2024 and 6.50:1 from and after December 31, 2024. In addition, the CEI Revolving Credit Facility and the CEI Term Loan A include a minimum fixed charge coverage ratio financial covenant of 1.75:1 until December 31, 2024 and 2.0:1 from and after December 31, 2024. From and after the repayment of the CEI Term Loan A, the financial covenants applicable to the CEI Revolving Credit Facility will be tested solely to the extent that certain testing conditions are satisfied. Failure to comply with such covenants could result in an acceleration of the maturity of indebtedness outstanding under the relevant debt document.</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auto"/>
        </w:rPr>
        <w:t>The GLPI Leases and VICI Leases contain certain covenants requiring minimum capital expenditures based on a percentage of net revenues along with maintaining certain financial ratios.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we were in compliance with all of the applicable financial covenants described above.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2018, our Board of Directors authorized a $150 million common stock repurchase program (the “Share Repurchase Program”) pursuant to which we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we are required to repurchase under the Share Repurchase Program.</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As of March 31, 2024, we have acquired 223,823 shares of common stock under the Share Repurchase Program at an aggregate value of $9 million and an average of $40.80 per share. No shares were repurchased during the </w:t>
      </w:r>
      <w:r>
        <w:rPr>
          <w:rFonts w:ascii="Times New Roman" w:cs="Times New Roman" w:eastAsia="Times New Roman" w:hAnsi="Times New Roman"/>
          <w:sz w:val="18"/>
          <w:szCs w:val="18"/>
          <w:color w:val="212529"/>
        </w:rPr>
        <w:t>three months ended March 31, 2024</w:t>
      </w:r>
      <w:r>
        <w:rPr>
          <w:rFonts w:ascii="Times New Roman" w:cs="Times New Roman" w:eastAsia="Times New Roman" w:hAnsi="Times New Roman"/>
          <w:sz w:val="18"/>
          <w:szCs w:val="18"/>
          <w:color w:val="auto"/>
        </w:rPr>
        <w:t xml:space="preserve"> and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There have been no other material changes during the three months ended March 31, 2024 to our contractual obligations as disclosed in Part II, Item 7 of the 2023 Annual Report. 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to our unaudited Financial Statements, which is included elsewhere in this report, for additional information regarding contractual obligations.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Liquidity Matters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faced with certain contingencies, from time to time, involving litigation, claims, assessments, environmental remediation or compliance. These commitments and contingencies are discussed in greater detail, when applicable, in “Part II, Item 1. Legal Proceedings” and Note 5 to our unaudited Financial Statements, both of which are included elsewhere in this report. See “Part I, Item 1A. Risk Factors—Risks Related to Our Business” which is included elsewhere in the 2023 Annual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disclosures are included in the 2023 Annual Report. There have been no material changes since December 31, 2023. We have not substantively changed the application of our policies, and there have been no material changes in assumptions or estimation techniques used as compared to those described in the 2023 Annual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currently have any off-balance sheet arrangements.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Item 3. Quantitative and Qualitative Disclosures About Market Risk</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 We are exposed to changes in interest rates primarily from variable rate long-term debt arrangements. We manage our interest rate risk by monitoring interest rates, including future projected rates, and adjust our mix of fixed and variable rate borrowings.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long-term variable-rate borrowings totaled $6.1 billion under the CEI Term Loans and no amounts were outstanding under the CEI Revolving Credit Facility. Long-term variable-rate borrowings under the CEI Term Loans represented approximately 49% of consolidated long-term debt as of March 31, 2024. As of March 31, 2024, the weighted average interest rates on our variable and fixed rate debt were 8.16% and 6.70%,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our variable rate debt instruments are subject to Term SOFR interest rates plus a reasonable margin.</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our exposure to market risk by monitoring interest rates in the marketplace and have, on occasion, utilized derivative financial instruments to help manage this risk. We do not utilize derivative financial instruments for trading purposes. There have been no other material quantitative changes in our market risk exposure, or how such risks are managed from the information previously reported under Part II, Item 7A of the 2023 Annual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b w:val="1"/>
          <w:bCs w:val="1"/>
          <w:color w:val="BF2115"/>
        </w:rPr>
        <w:t>Item 4. Controls and Procedures</w:t>
      </w:r>
    </w:p>
    <w:p>
      <w:pPr>
        <w:spacing w:after="0" w:line="165"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our management, including our principal executive officer and principal financial officer, as appropriate, to allow timely decisions regarding required disclosure.</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Chief Executive Officer (principal executive officer) and Chief Financial Officer (principal financial officer), of the effectiveness of our disclosure controls and procedures (as defined in Exchange Act Rules 13a-15(e) and 15d-15(e)) as of the end of the period covered by this Quarterly Report on Form 10-Q. Based on this evaluation, our Chief Executive Officer and Chief Financial Officer have concluded that our disclosure controls and procedures as of the end of the period covered by this Quarterly Report on Form 10-Q are effective to ensure that the information required to be disclosed by us in the reports that we file under the Exchange Act is recorded, processed, summarized, evaluated and reported within the time periods specified in SEC rules and forms and that such information is accumulated and communicated to management, including our Chief Executive Officer and Chief Financial Officer, to allow timely decisions regarding required disclosure.</w:t>
      </w:r>
    </w:p>
    <w:p>
      <w:pPr>
        <w:spacing w:after="0" w:line="135" w:lineRule="exact"/>
        <w:rPr>
          <w:sz w:val="20"/>
          <w:szCs w:val="20"/>
          <w:color w:val="auto"/>
        </w:rPr>
      </w:pPr>
    </w:p>
    <w:p>
      <w:pPr>
        <w:ind w:left="640" w:hanging="632"/>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Controls</w:t>
      </w:r>
    </w:p>
    <w:p>
      <w:pPr>
        <w:spacing w:after="0" w:line="130" w:lineRule="exact"/>
        <w:rPr>
          <w:sz w:val="20"/>
          <w:szCs w:val="20"/>
          <w:color w:val="auto"/>
        </w:rPr>
      </w:pPr>
    </w:p>
    <w:p>
      <w:pPr>
        <w:spacing w:after="0" w:line="245" w:lineRule="exact"/>
        <w:rPr>
          <w:sz w:val="20"/>
          <w:szCs w:val="20"/>
          <w:color w:val="auto"/>
        </w:rPr>
      </w:pPr>
      <w:r>
        <w:rPr>
          <w:rFonts w:ascii="Times New Roman" w:cs="Times New Roman" w:eastAsia="Times New Roman" w:hAnsi="Times New Roman"/>
          <w:sz w:val="18"/>
          <w:szCs w:val="18"/>
          <w:color w:val="auto"/>
        </w:rPr>
        <w:t>There were no significant changes in our internal control over financial reporting during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that have materially affected, or are reasonably likely to materially affect, our internal control over financial reporting.</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2"/>
          <w:szCs w:val="22"/>
          <w:b w:val="1"/>
          <w:bCs w:val="1"/>
          <w:color w:val="BF2115"/>
        </w:rPr>
        <w:t>PART II - OTHER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Item 1. Legal Proceedings</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a discussion of our “Legal Proceedings,” refer to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of our Consolidated Condensed Financial Statements located elsewhere in this Quarterly Report on Form 10-Q and Note 11 to our Consolidated Financial Statements included in the 2023 Annual Report.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Cautionary Statements Regarding Forward-Looking Information</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as amended, and Section 21E of the Securities Exchange Act of 1934, as amended. Forward-looking statements include statements regarding our strategies, objectives and plans for future development or acquisitions of properties or operations, as well as expectations, future operating results, trends and other information that is not historical information. When used in this report, the terms or phrases such as “anticipates,” “believes,” “projects,” “plans,” “intends,” “expects,” “might,” “may,” “estimates,” “could,” “should,” “would,” “will likely continue,” and variations of such words or similar expressions and their negative forms are intended to identify forward-looking statements. These statements are made on the basis of management’s current views and assumptions regarding future events.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Forward-looking statements are based upon certain underlying assumptions, including any assumptions mentioned with the specific statements, as of the date such statements were made. Such assumptions are in turn based upon internal estimates and analyses of market conditions and trends, management plans and strategies, economic conditions and other factors. Such forward-looking statements are only predictions and involve known and unknown risks and uncertainties, many of which are beyond our control, and are subject to change. By their nature, forward-looking statements involve risks and uncertainties because they relate to events and depend upon future circumstances that may not occur. Actual results and trends may differ materially from any future results, trends, performance or achievements expressed or implied by such statements. Forward-looking statements speak only as of the date they are made, and we assume no duty to update forward-looking statements. Forward-looking statements should not be regarded as a representation by us or any other person that the forward-looking statements will be achieved. Undue reliance should not be placed on any forward-looking statements. Some of the contingencies and uncertainties to which any forward-looking statement contained herein are subject include, but are not limited to, the following:</w:t>
      </w:r>
    </w:p>
    <w:p>
      <w:pPr>
        <w:spacing w:after="0" w:line="134"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sensitivity to reductions in discretionary consumer spending as a result of downturns in the economy and other factors outside our control;</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results of operations or financial condition;</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our business and results of operations of our existing casino properties and prospects for future development;</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trends, inflation and public health emergencies on our business and financial condition;</w:t>
      </w:r>
    </w:p>
    <w:p>
      <w:pPr>
        <w:spacing w:after="0" w:line="63" w:lineRule="exact"/>
        <w:rPr>
          <w:rFonts w:ascii="Times New Roman" w:cs="Times New Roman" w:eastAsia="Times New Roman" w:hAnsi="Times New Roman"/>
          <w:sz w:val="18"/>
          <w:szCs w:val="18"/>
          <w:color w:val="auto"/>
        </w:rPr>
      </w:pPr>
    </w:p>
    <w:p>
      <w:pPr>
        <w:ind w:left="660" w:hanging="652"/>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trends that will affect our market and the gaming industry generally, including expansion of internet betting and gaming, and the impact of those trends on our business and results of operations;</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covenants in the agreements governing our outstanding indebtedness and leases;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projected debt service obligations, operating expenses, and maintenance capital expenditures;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availability of capital resources;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intention to pursue development opportunities and additional acquisitions and divestitures;</w:t>
      </w:r>
    </w:p>
    <w:p>
      <w:pPr>
        <w:spacing w:after="0" w:line="63" w:lineRule="exact"/>
        <w:rPr>
          <w:rFonts w:ascii="Times New Roman" w:cs="Times New Roman" w:eastAsia="Times New Roman" w:hAnsi="Times New Roman"/>
          <w:sz w:val="18"/>
          <w:szCs w:val="18"/>
          <w:color w:val="auto"/>
        </w:rPr>
      </w:pPr>
    </w:p>
    <w:p>
      <w:pPr>
        <w:ind w:left="660" w:hanging="652"/>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regulation on our business and our ability to receive and maintain necessary approvals for our existing properties and future projects and operation of online sportsbook, poker and gaming;</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Data Incident and any other future cybersecurity breaches on our business, financial conditions and results of operations;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impacting our ability to successfully operate our digital betting and iGaming platform and expand its user base;</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the very competitive environments in which we operate, including the online market;</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downturns and other factors that impact consumer spending;</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win rates and liability management risks on our results of operations;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strategic relationships and essential services;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investments in our online offerings and technological and strategic initiatives;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40" w:name="page41"/>
    <w:bookmarkEnd w:id="40"/>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relating to fraud, theft and cheating;</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gaming receivables from our credit customers;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substantial indebtedness and significant financial commitments, including our obligations under our lease arrangements;</w:t>
      </w:r>
    </w:p>
    <w:p>
      <w:pPr>
        <w:spacing w:after="0" w:line="63" w:lineRule="exact"/>
        <w:rPr>
          <w:rFonts w:ascii="Times New Roman" w:cs="Times New Roman" w:eastAsia="Times New Roman" w:hAnsi="Times New Roman"/>
          <w:sz w:val="18"/>
          <w:szCs w:val="18"/>
          <w:color w:val="auto"/>
        </w:rPr>
      </w:pPr>
    </w:p>
    <w:p>
      <w:pPr>
        <w:ind w:left="660" w:hanging="652"/>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limitations in agreements governing our debt and leased properties could significantly affect our ability to operate our business and our liquidity;</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operational, regulatory or other potential challenges that may arise as a result of leasing of a number of our properties;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disruptions or corruption to our information technology and other systems and infrastructure;</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suitable acquisition opportunities and realize growth and cost synergies from any future acquisitions;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governmental regulation on our business and the cost of complying or the impact of failing to comply with such regulations;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gaming taxes and fees in jurisdictions in which we operate;</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pending claims or future claims that may be brought against us;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capital and credit markets;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seasonal fluctuations;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particular sensitivity to energy and water prices;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our reputation or the reputation of our brands;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compromises of our information systems or unauthorized access to confidential information and customer data;</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information technology, particularly for our digital business;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licenses to use the intellectual property of third parties and our ability to renew or extend our existing licenses;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war, terrorist activity, acts of violence, natural disasters, public health emergencies and other catastrophic events;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scrutiny and changing expectations regarding our environmental, social and governance practices and reporting;</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the intense competition to attract and retain management and key employees in the gaming industry;</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and other labor problems;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performers and other entertainment offerings on acceptable terms; and</w:t>
      </w:r>
    </w:p>
    <w:p>
      <w:pPr>
        <w:spacing w:after="0" w:line="63"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Part II, Item 1A. “Risk Factors” and “Management’s Discussion and Analysis of Financial Condition and Results of Operations” contained in this Quarterly Report on Form 10-Q and on our most recent Annual Reports on Form 10-K filed with the SEC.</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light of these and other risks, uncertainties and assumptions, the forward-looking events discussed in this report might not occur. These forward-looking statements speak only as of the date on which this statement is made, even if subsequently made available on our website or otherwise, and we do not intend to update publicly any forward-looking statement to reflect events or circumstances that occur after the date on which the statement is made, except as may be required by law.</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also be aware that while we, from time to time, communicate with securities analysts, we do not disclose to them any material non-public information, internal forecasts or other confidential business information. Therefore, you should not assume that we agree with any statement or report issued by any analyst, irrespective of the content of the statement or report.</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extent that reports issued by securities analysts contain projections, forecasts or opinions, those reports are not our responsibility and are not endorsed by us.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Item 1A. Risk Factors</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description of our risk factors can be found in “Part I, Item 1A. Risk Factors” included in the 2023 Annual Report. There have been no material changes to those risk factors during the three months ended March 31, 2024.</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b w:val="1"/>
          <w:bCs w:val="1"/>
          <w:color w:val="BF2115"/>
        </w:rPr>
        <w:t>Item 2. Unregistered Sales of Equity Securities and Use of Proceeds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Item 3. Defaults Upon Senior Securities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Item 4. Mine Safety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Item 5. Other Information</w:t>
      </w:r>
    </w:p>
    <w:p>
      <w:pPr>
        <w:spacing w:after="0" w:line="165" w:lineRule="exact"/>
        <w:rPr>
          <w:sz w:val="20"/>
          <w:szCs w:val="20"/>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6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 10b5-1 Trading Plans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Edmund L. Quatmann, Jr., Chief Legal Officer, entered into a pre-arranged stock trading plan on March 8, 2024. Mr. Quatmann’s plan provides for the potential sale by Mr. Quatmann of up to 66,241 shares of common stock between June 29, 2024 and June 30, 2025.</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above trading plan activity occurred during open insider trading windows and is intended to satisfy the affirmative defense conditions of Rule 10b5-1(c) under the Securities Exchange Act of 1934, as amended, and Caesars’ policies regarding transactions in securities of the Company.</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1"/>
          <w:szCs w:val="21"/>
          <w:b w:val="1"/>
          <w:bCs w:val="1"/>
          <w:color w:val="BF2115"/>
        </w:rPr>
        <w:t>Item 6. Exhibits</w:t>
      </w:r>
    </w:p>
    <w:p>
      <w:pPr>
        <w:sectPr>
          <w:pgSz w:w="11900" w:h="16838" w:orient="portrait"/>
          <w:cols w:equalWidth="0" w:num="1">
            <w:col w:w="11080"/>
          </w:cols>
          <w:pgMar w:left="320" w:top="1310" w:right="499" w:bottom="1440" w:gutter="0" w:footer="0" w:header="0"/>
        </w:sect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360" w:type="dxa"/>
            <w:vAlign w:val="bottom"/>
            <w:gridSpan w:val="19"/>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0" w:type="dxa"/>
            <w:vAlign w:val="bottom"/>
          </w:tcPr>
          <w:p>
            <w:pPr>
              <w:spacing w:after="0"/>
              <w:rPr>
                <w:sz w:val="1"/>
                <w:szCs w:val="1"/>
                <w:color w:val="auto"/>
              </w:rPr>
            </w:pPr>
          </w:p>
        </w:tc>
      </w:tr>
      <w:tr>
        <w:trPr>
          <w:trHeight w:val="221"/>
        </w:trPr>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360" w:type="dxa"/>
            <w:vAlign w:val="bottom"/>
            <w:gridSpan w:val="19"/>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80" w:type="dxa"/>
            <w:vAlign w:val="bottom"/>
          </w:tcPr>
          <w:p>
            <w:pPr>
              <w:spacing w:after="0"/>
              <w:rPr>
                <w:sz w:val="19"/>
                <w:szCs w:val="19"/>
                <w:color w:val="auto"/>
              </w:rPr>
            </w:pPr>
          </w:p>
        </w:tc>
        <w:tc>
          <w:tcPr>
            <w:tcW w:w="8460" w:type="dxa"/>
            <w:vAlign w:val="bottom"/>
            <w:tcBorders>
              <w:top w:val="single" w:sz="8" w:color="auto"/>
            </w:tcBorders>
            <w:gridSpan w:val="21"/>
          </w:tcPr>
          <w:p>
            <w:pPr>
              <w:ind w:left="20"/>
              <w:spacing w:after="0"/>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Amended and Restated Certificate of Incorporation of Caesars Entertainment, Inc.</w:t>
              </w:r>
            </w:hyperlink>
          </w:p>
        </w:tc>
        <w:tc>
          <w:tcPr>
            <w:tcW w:w="0" w:type="dxa"/>
            <w:vAlign w:val="bottom"/>
          </w:tcPr>
          <w:p>
            <w:pPr>
              <w:spacing w:after="0"/>
              <w:rPr>
                <w:sz w:val="1"/>
                <w:szCs w:val="1"/>
                <w:color w:val="auto"/>
              </w:rPr>
            </w:pPr>
          </w:p>
        </w:tc>
      </w:tr>
      <w:tr>
        <w:trPr>
          <w:trHeight w:val="574"/>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80" w:type="dxa"/>
            <w:vAlign w:val="bottom"/>
          </w:tcPr>
          <w:p>
            <w:pPr>
              <w:spacing w:after="0"/>
              <w:rPr>
                <w:sz w:val="24"/>
                <w:szCs w:val="24"/>
                <w:color w:val="auto"/>
              </w:rPr>
            </w:pPr>
          </w:p>
        </w:tc>
        <w:tc>
          <w:tcPr>
            <w:tcW w:w="5340" w:type="dxa"/>
            <w:vAlign w:val="bottom"/>
            <w:tcBorders>
              <w:top w:val="single" w:sz="8" w:color="0000FF"/>
            </w:tcBorders>
            <w:gridSpan w:val="12"/>
          </w:tcPr>
          <w:p>
            <w:pPr>
              <w:ind w:left="20"/>
              <w:spacing w:after="0"/>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Amended and Restated Bylaws of Caesars Entertainment, Inc.</w:t>
              </w:r>
            </w:hyperlink>
          </w:p>
        </w:tc>
        <w:tc>
          <w:tcPr>
            <w:tcW w:w="31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21"/>
          </w:tcPr>
          <w:p>
            <w:pPr>
              <w:ind w:left="20"/>
              <w:spacing w:after="0"/>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Indenture (6.50% CEI Senior Secured Notes due 2032), dated as of February 6, 2024, by and among Caesars Entertainment, Inc.,</w:t>
              </w:r>
            </w:hyperlink>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380" w:type="dxa"/>
            <w:vAlign w:val="bottom"/>
            <w:tcBorders>
              <w:top w:val="single" w:sz="8" w:color="0000FF"/>
            </w:tcBorders>
            <w:gridSpan w:val="20"/>
          </w:tcPr>
          <w:p>
            <w:pPr>
              <w:ind w:left="20"/>
              <w:spacing w:after="0" w:line="183" w:lineRule="exact"/>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the subsidiary guarantors party thereto, U.S. Bank Trust Company, National Association, as Trustee, and U.S. Bank National</w:t>
              </w:r>
            </w:hyperlink>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100" w:type="dxa"/>
            <w:vAlign w:val="bottom"/>
            <w:tcBorders>
              <w:top w:val="single" w:sz="8" w:color="0000FF"/>
            </w:tcBorders>
            <w:gridSpan w:val="17"/>
          </w:tcPr>
          <w:p>
            <w:pPr>
              <w:ind w:left="20"/>
              <w:spacing w:after="0" w:line="169" w:lineRule="exact"/>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Association, as Collateral Agent.</w:t>
              </w:r>
            </w:hyperlink>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8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280" w:type="dxa"/>
            <w:vAlign w:val="bottom"/>
            <w:tcBorders>
              <w:bottom w:val="single" w:sz="8" w:color="0000FF"/>
            </w:tcBorders>
            <w:gridSpan w:val="18"/>
          </w:tcPr>
          <w:p>
            <w:pPr>
              <w:ind w:left="20"/>
              <w:spacing w:after="0"/>
              <w:rPr>
                <w:sz w:val="20"/>
                <w:szCs w:val="20"/>
                <w:color w:val="auto"/>
              </w:rPr>
            </w:pPr>
            <w:r>
              <w:rPr>
                <w:rFonts w:ascii="Times New Roman" w:cs="Times New Roman" w:eastAsia="Times New Roman" w:hAnsi="Times New Roman"/>
                <w:sz w:val="16"/>
                <w:szCs w:val="16"/>
                <w:color w:val="0000FF"/>
              </w:rPr>
              <w:t>First Supplemental Indenture (6.50% CEI Senior Secured Notes due 2032), dated as of March 1, 2024, to Indenture, dated as of</w:t>
            </w:r>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60" w:type="dxa"/>
            <w:vAlign w:val="bottom"/>
            <w:gridSpan w:val="21"/>
          </w:tcPr>
          <w:p>
            <w:pPr>
              <w:ind w:left="20"/>
              <w:spacing w:after="0" w:line="183" w:lineRule="exact"/>
              <w:rPr>
                <w:sz w:val="20"/>
                <w:szCs w:val="20"/>
                <w:color w:val="auto"/>
              </w:rPr>
            </w:pPr>
            <w:r>
              <w:rPr>
                <w:rFonts w:ascii="Times New Roman" w:cs="Times New Roman" w:eastAsia="Times New Roman" w:hAnsi="Times New Roman"/>
                <w:sz w:val="16"/>
                <w:szCs w:val="16"/>
                <w:color w:val="0000FF"/>
              </w:rPr>
              <w:t>February 6, 2024, by and among Caesars Entertainment, Inc., the subsidiary guarantors party thereto, U.S. Bank Trust Company,</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20" w:type="dxa"/>
            <w:vAlign w:val="bottom"/>
            <w:tcBorders>
              <w:top w:val="single" w:sz="8" w:color="0000FF"/>
              <w:bottom w:val="single" w:sz="8" w:color="0000FF"/>
            </w:tcBorders>
            <w:gridSpan w:val="13"/>
          </w:tcPr>
          <w:p>
            <w:pPr>
              <w:ind w:left="20"/>
              <w:spacing w:after="0" w:line="169" w:lineRule="exact"/>
              <w:rPr>
                <w:sz w:val="20"/>
                <w:szCs w:val="20"/>
                <w:color w:val="auto"/>
              </w:rPr>
            </w:pPr>
            <w:r>
              <w:rPr>
                <w:rFonts w:ascii="Times New Roman" w:cs="Times New Roman" w:eastAsia="Times New Roman" w:hAnsi="Times New Roman"/>
                <w:sz w:val="16"/>
                <w:szCs w:val="16"/>
                <w:color w:val="0000FF"/>
              </w:rPr>
              <w:t>National Association, as Trustee, and U.S. Bank National Association, as Collateral Agent.</w:t>
            </w:r>
          </w:p>
        </w:tc>
        <w:tc>
          <w:tcPr>
            <w:tcW w:w="2440" w:type="dxa"/>
            <w:vAlign w:val="bottom"/>
            <w:tcBorders>
              <w:top w:val="single" w:sz="8" w:color="0000FF"/>
            </w:tcBorders>
            <w:gridSpan w:val="6"/>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tcPr>
          <w:p>
            <w:pPr>
              <w:spacing w:after="0"/>
              <w:rPr>
                <w:sz w:val="24"/>
                <w:szCs w:val="24"/>
                <w:color w:val="auto"/>
              </w:rPr>
            </w:pPr>
          </w:p>
        </w:tc>
        <w:tc>
          <w:tcPr>
            <w:tcW w:w="7820" w:type="dxa"/>
            <w:vAlign w:val="bottom"/>
            <w:tcBorders>
              <w:bottom w:val="single" w:sz="8" w:color="0000FF"/>
            </w:tcBorders>
            <w:gridSpan w:val="15"/>
          </w:tcPr>
          <w:p>
            <w:pPr>
              <w:ind w:left="20"/>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Incremental Assumption Agreement No. 3, dated as of February 6, 2024, by and among Caesars Entertainment, Inc., the</w:t>
              </w:r>
            </w:hyperlink>
          </w:p>
        </w:tc>
        <w:tc>
          <w:tcPr>
            <w:tcW w:w="6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60" w:type="dxa"/>
            <w:vAlign w:val="bottom"/>
            <w:gridSpan w:val="21"/>
          </w:tcPr>
          <w:p>
            <w:pPr>
              <w:ind w:left="20"/>
              <w:spacing w:after="0" w:line="183" w:lineRule="exact"/>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subsidiary guarantors party thereto, the lenders party thereto and JPMorgan Chase Bank, N.A., as administrative agent.</w:t>
              </w:r>
            </w:hyperlink>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80" w:type="dxa"/>
            <w:vAlign w:val="bottom"/>
          </w:tcPr>
          <w:p>
            <w:pPr>
              <w:spacing w:after="0" w:line="20" w:lineRule="exact"/>
              <w:rPr>
                <w:sz w:val="1"/>
                <w:szCs w:val="1"/>
                <w:color w:val="auto"/>
              </w:rPr>
            </w:pPr>
          </w:p>
        </w:tc>
        <w:tc>
          <w:tcPr>
            <w:tcW w:w="310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880" w:type="dxa"/>
            <w:vAlign w:val="bottom"/>
            <w:tcBorders>
              <w:bottom w:val="single" w:sz="8" w:color="0000FF"/>
            </w:tcBorders>
            <w:gridSpan w:val="16"/>
          </w:tcPr>
          <w:p>
            <w:pPr>
              <w:ind w:left="20"/>
              <w:spacing w:after="0"/>
              <w:rPr>
                <w:sz w:val="20"/>
                <w:szCs w:val="20"/>
                <w:color w:val="auto"/>
              </w:rPr>
            </w:pPr>
            <w:r>
              <w:rPr>
                <w:rFonts w:ascii="Times New Roman" w:cs="Times New Roman" w:eastAsia="Times New Roman" w:hAnsi="Times New Roman"/>
                <w:sz w:val="16"/>
                <w:szCs w:val="16"/>
                <w:color w:val="0000FF"/>
              </w:rPr>
              <w:t>First Amendment to the Amended and Restated Executive Employment Agreement, dated as of January 26, 2024, by and</w:t>
            </w:r>
          </w:p>
        </w:tc>
        <w:tc>
          <w:tcPr>
            <w:tcW w:w="5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20" w:type="dxa"/>
            <w:vAlign w:val="bottom"/>
            <w:tcBorders>
              <w:bottom w:val="single" w:sz="8" w:color="0000FF"/>
            </w:tcBorders>
            <w:gridSpan w:val="3"/>
          </w:tcPr>
          <w:p>
            <w:pPr>
              <w:ind w:left="20"/>
              <w:spacing w:after="0" w:line="183" w:lineRule="exact"/>
              <w:rPr>
                <w:sz w:val="20"/>
                <w:szCs w:val="20"/>
                <w:color w:val="auto"/>
              </w:rPr>
            </w:pPr>
            <w:r>
              <w:rPr>
                <w:rFonts w:ascii="Times New Roman" w:cs="Times New Roman" w:eastAsia="Times New Roman" w:hAnsi="Times New Roman"/>
                <w:sz w:val="16"/>
                <w:szCs w:val="16"/>
                <w:color w:val="0000FF"/>
              </w:rPr>
              <w:t>between Caesars Enterprise Services, LLC and Bret Yunker.</w:t>
            </w:r>
          </w:p>
        </w:tc>
        <w:tc>
          <w:tcPr>
            <w:tcW w:w="454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80" w:type="dxa"/>
            <w:vAlign w:val="bottom"/>
          </w:tcPr>
          <w:p>
            <w:pPr>
              <w:spacing w:after="0"/>
              <w:rPr>
                <w:sz w:val="24"/>
                <w:szCs w:val="24"/>
                <w:color w:val="auto"/>
              </w:rPr>
            </w:pPr>
          </w:p>
        </w:tc>
        <w:tc>
          <w:tcPr>
            <w:tcW w:w="7880" w:type="dxa"/>
            <w:vAlign w:val="bottom"/>
            <w:tcBorders>
              <w:bottom w:val="single" w:sz="8" w:color="0000FF"/>
            </w:tcBorders>
            <w:gridSpan w:val="16"/>
          </w:tcPr>
          <w:p>
            <w:pPr>
              <w:ind w:left="20"/>
              <w:spacing w:after="0"/>
              <w:rPr>
                <w:sz w:val="20"/>
                <w:szCs w:val="20"/>
                <w:color w:val="auto"/>
              </w:rPr>
            </w:pPr>
            <w:r>
              <w:rPr>
                <w:rFonts w:ascii="Times New Roman" w:cs="Times New Roman" w:eastAsia="Times New Roman" w:hAnsi="Times New Roman"/>
                <w:sz w:val="16"/>
                <w:szCs w:val="16"/>
                <w:color w:val="0000FF"/>
              </w:rPr>
              <w:t>First Amendment to the Amended and Restated Executive Employment Agreement, dated as of January 26, 2024, by and</w:t>
            </w:r>
          </w:p>
        </w:tc>
        <w:tc>
          <w:tcPr>
            <w:tcW w:w="5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60" w:type="dxa"/>
            <w:vAlign w:val="bottom"/>
            <w:gridSpan w:val="21"/>
          </w:tcPr>
          <w:p>
            <w:pPr>
              <w:ind w:left="20"/>
              <w:spacing w:after="0" w:line="183" w:lineRule="exact"/>
              <w:rPr>
                <w:sz w:val="20"/>
                <w:szCs w:val="20"/>
                <w:color w:val="auto"/>
              </w:rPr>
            </w:pPr>
            <w:r>
              <w:rPr>
                <w:rFonts w:ascii="Times New Roman" w:cs="Times New Roman" w:eastAsia="Times New Roman" w:hAnsi="Times New Roman"/>
                <w:sz w:val="16"/>
                <w:szCs w:val="16"/>
                <w:color w:val="0000FF"/>
              </w:rPr>
              <w:t>between Caesars Enterprise Services, LLC and Stephanie Lepori.</w:t>
            </w: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8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880" w:type="dxa"/>
            <w:vAlign w:val="bottom"/>
            <w:tcBorders>
              <w:bottom w:val="single" w:sz="8" w:color="0000FF"/>
            </w:tcBorders>
            <w:gridSpan w:val="16"/>
          </w:tcPr>
          <w:p>
            <w:pPr>
              <w:ind w:left="20"/>
              <w:spacing w:after="0"/>
              <w:rPr>
                <w:sz w:val="20"/>
                <w:szCs w:val="20"/>
                <w:color w:val="auto"/>
              </w:rPr>
            </w:pPr>
            <w:r>
              <w:rPr>
                <w:rFonts w:ascii="Times New Roman" w:cs="Times New Roman" w:eastAsia="Times New Roman" w:hAnsi="Times New Roman"/>
                <w:sz w:val="16"/>
                <w:szCs w:val="16"/>
                <w:color w:val="0000FF"/>
              </w:rPr>
              <w:t>First Amendment to the Amended and Restated Executive Employment Agreement, dated as of January 26, 2024, by and</w:t>
            </w:r>
          </w:p>
        </w:tc>
        <w:tc>
          <w:tcPr>
            <w:tcW w:w="5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40" w:type="dxa"/>
            <w:vAlign w:val="bottom"/>
            <w:tcBorders>
              <w:bottom w:val="single" w:sz="8" w:color="0000FF"/>
            </w:tcBorders>
            <w:gridSpan w:val="6"/>
          </w:tcPr>
          <w:p>
            <w:pPr>
              <w:ind w:left="20"/>
              <w:spacing w:after="0" w:line="183" w:lineRule="exact"/>
              <w:rPr>
                <w:sz w:val="20"/>
                <w:szCs w:val="20"/>
                <w:color w:val="auto"/>
              </w:rPr>
            </w:pPr>
            <w:r>
              <w:rPr>
                <w:rFonts w:ascii="Times New Roman" w:cs="Times New Roman" w:eastAsia="Times New Roman" w:hAnsi="Times New Roman"/>
                <w:sz w:val="16"/>
                <w:szCs w:val="16"/>
                <w:color w:val="0000FF"/>
              </w:rPr>
              <w:t>between Caesars Enterprise Services, LLC and Thomas R. Reeg.</w:t>
            </w:r>
          </w:p>
        </w:tc>
        <w:tc>
          <w:tcPr>
            <w:tcW w:w="422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80" w:type="dxa"/>
            <w:vAlign w:val="bottom"/>
          </w:tcPr>
          <w:p>
            <w:pPr>
              <w:spacing w:after="0"/>
              <w:rPr>
                <w:sz w:val="24"/>
                <w:szCs w:val="24"/>
                <w:color w:val="auto"/>
              </w:rPr>
            </w:pPr>
          </w:p>
        </w:tc>
        <w:tc>
          <w:tcPr>
            <w:tcW w:w="7880" w:type="dxa"/>
            <w:vAlign w:val="bottom"/>
            <w:tcBorders>
              <w:bottom w:val="single" w:sz="8" w:color="0000FF"/>
            </w:tcBorders>
            <w:gridSpan w:val="16"/>
          </w:tcPr>
          <w:p>
            <w:pPr>
              <w:ind w:left="20"/>
              <w:spacing w:after="0"/>
              <w:rPr>
                <w:sz w:val="20"/>
                <w:szCs w:val="20"/>
                <w:color w:val="auto"/>
              </w:rPr>
            </w:pPr>
            <w:r>
              <w:rPr>
                <w:rFonts w:ascii="Times New Roman" w:cs="Times New Roman" w:eastAsia="Times New Roman" w:hAnsi="Times New Roman"/>
                <w:sz w:val="16"/>
                <w:szCs w:val="16"/>
                <w:color w:val="0000FF"/>
              </w:rPr>
              <w:t>First Amendment to the Amended and Restated Executive Employment Agreement, dated as of January 26, 2024, by and</w:t>
            </w:r>
          </w:p>
        </w:tc>
        <w:tc>
          <w:tcPr>
            <w:tcW w:w="5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60" w:type="dxa"/>
            <w:vAlign w:val="bottom"/>
            <w:gridSpan w:val="21"/>
          </w:tcPr>
          <w:p>
            <w:pPr>
              <w:ind w:left="20"/>
              <w:spacing w:after="0" w:line="183" w:lineRule="exact"/>
              <w:rPr>
                <w:sz w:val="20"/>
                <w:szCs w:val="20"/>
                <w:color w:val="auto"/>
              </w:rPr>
            </w:pPr>
            <w:r>
              <w:rPr>
                <w:rFonts w:ascii="Times New Roman" w:cs="Times New Roman" w:eastAsia="Times New Roman" w:hAnsi="Times New Roman"/>
                <w:sz w:val="16"/>
                <w:szCs w:val="16"/>
                <w:color w:val="0000FF"/>
              </w:rPr>
              <w:t>between Caesars Enterprise Services, LLC and Anthony Carano.</w:t>
            </w: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80" w:type="dxa"/>
            <w:vAlign w:val="bottom"/>
          </w:tcPr>
          <w:p>
            <w:pPr>
              <w:spacing w:after="0" w:line="20" w:lineRule="exact"/>
              <w:rPr>
                <w:sz w:val="1"/>
                <w:szCs w:val="1"/>
                <w:color w:val="auto"/>
              </w:rPr>
            </w:pPr>
          </w:p>
        </w:tc>
        <w:tc>
          <w:tcPr>
            <w:tcW w:w="4200" w:type="dxa"/>
            <w:vAlign w:val="bottom"/>
            <w:gridSpan w:val="5"/>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880" w:type="dxa"/>
            <w:vAlign w:val="bottom"/>
            <w:tcBorders>
              <w:bottom w:val="single" w:sz="8" w:color="0000FF"/>
            </w:tcBorders>
            <w:gridSpan w:val="16"/>
          </w:tcPr>
          <w:p>
            <w:pPr>
              <w:ind w:left="20"/>
              <w:spacing w:after="0"/>
              <w:rPr>
                <w:sz w:val="20"/>
                <w:szCs w:val="20"/>
                <w:color w:val="auto"/>
              </w:rPr>
            </w:pPr>
            <w:r>
              <w:rPr>
                <w:rFonts w:ascii="Times New Roman" w:cs="Times New Roman" w:eastAsia="Times New Roman" w:hAnsi="Times New Roman"/>
                <w:sz w:val="16"/>
                <w:szCs w:val="16"/>
                <w:color w:val="0000FF"/>
              </w:rPr>
              <w:t>First Amendment to the Amended and Restated Executive Employment Agreement, dated as of January 26, 2024, by and</w:t>
            </w:r>
          </w:p>
        </w:tc>
        <w:tc>
          <w:tcPr>
            <w:tcW w:w="5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780" w:type="dxa"/>
            <w:vAlign w:val="bottom"/>
            <w:tcBorders>
              <w:bottom w:val="single" w:sz="8" w:color="0000FF"/>
            </w:tcBorders>
            <w:gridSpan w:val="8"/>
          </w:tcPr>
          <w:p>
            <w:pPr>
              <w:ind w:left="20"/>
              <w:spacing w:after="0" w:line="183" w:lineRule="exact"/>
              <w:rPr>
                <w:sz w:val="20"/>
                <w:szCs w:val="20"/>
                <w:color w:val="auto"/>
              </w:rPr>
            </w:pPr>
            <w:r>
              <w:rPr>
                <w:rFonts w:ascii="Times New Roman" w:cs="Times New Roman" w:eastAsia="Times New Roman" w:hAnsi="Times New Roman"/>
                <w:sz w:val="16"/>
                <w:szCs w:val="16"/>
                <w:color w:val="0000FF"/>
              </w:rPr>
              <w:t>between Caesars Enterprise Services, LLC and Edmund L. Quatmann, Jr.</w:t>
            </w:r>
          </w:p>
        </w:tc>
        <w:tc>
          <w:tcPr>
            <w:tcW w:w="368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31.1</w:t>
            </w:r>
          </w:p>
        </w:tc>
        <w:tc>
          <w:tcPr>
            <w:tcW w:w="80" w:type="dxa"/>
            <w:vAlign w:val="bottom"/>
          </w:tcPr>
          <w:p>
            <w:pPr>
              <w:spacing w:after="0"/>
              <w:rPr>
                <w:sz w:val="24"/>
                <w:szCs w:val="24"/>
                <w:color w:val="auto"/>
              </w:rPr>
            </w:pPr>
          </w:p>
        </w:tc>
        <w:tc>
          <w:tcPr>
            <w:tcW w:w="8460" w:type="dxa"/>
            <w:vAlign w:val="bottom"/>
            <w:gridSpan w:val="21"/>
          </w:tcPr>
          <w:p>
            <w:pPr>
              <w:ind w:left="20"/>
              <w:spacing w:after="0"/>
              <w:rPr>
                <w:sz w:val="20"/>
                <w:szCs w:val="20"/>
                <w:color w:val="auto"/>
              </w:rPr>
            </w:pPr>
            <w:r>
              <w:rPr>
                <w:rFonts w:ascii="Times New Roman" w:cs="Times New Roman" w:eastAsia="Times New Roman" w:hAnsi="Times New Roman"/>
                <w:sz w:val="16"/>
                <w:szCs w:val="16"/>
                <w:color w:val="0000FF"/>
              </w:rPr>
              <w:t>Certification of Thomas R. Reeg pursuant to Rule 13a-14a and Rule 15d-14(a)</w:t>
            </w: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31.2</w:t>
            </w:r>
          </w:p>
        </w:tc>
        <w:tc>
          <w:tcPr>
            <w:tcW w:w="80" w:type="dxa"/>
            <w:vAlign w:val="bottom"/>
          </w:tcPr>
          <w:p>
            <w:pPr>
              <w:spacing w:after="0"/>
              <w:rPr>
                <w:sz w:val="24"/>
                <w:szCs w:val="24"/>
                <w:color w:val="auto"/>
              </w:rPr>
            </w:pPr>
          </w:p>
        </w:tc>
        <w:tc>
          <w:tcPr>
            <w:tcW w:w="5100" w:type="dxa"/>
            <w:vAlign w:val="bottom"/>
            <w:tcBorders>
              <w:top w:val="single" w:sz="8" w:color="0000FF"/>
            </w:tcBorders>
            <w:gridSpan w:val="11"/>
          </w:tcPr>
          <w:p>
            <w:pPr>
              <w:ind w:left="20"/>
              <w:spacing w:after="0"/>
              <w:rPr>
                <w:sz w:val="20"/>
                <w:szCs w:val="20"/>
                <w:color w:val="auto"/>
              </w:rPr>
            </w:pPr>
            <w:r>
              <w:rPr>
                <w:rFonts w:ascii="Times New Roman" w:cs="Times New Roman" w:eastAsia="Times New Roman" w:hAnsi="Times New Roman"/>
                <w:sz w:val="16"/>
                <w:szCs w:val="16"/>
                <w:color w:val="0000FF"/>
              </w:rPr>
              <w:t>Certification of Bret Yunker pursuant to Rule 13a-14a and Rule 15d-14(a)</w:t>
            </w:r>
          </w:p>
        </w:tc>
        <w:tc>
          <w:tcPr>
            <w:tcW w:w="33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32.1</w:t>
            </w:r>
          </w:p>
        </w:tc>
        <w:tc>
          <w:tcPr>
            <w:tcW w:w="80" w:type="dxa"/>
            <w:vAlign w:val="bottom"/>
          </w:tcPr>
          <w:p>
            <w:pPr>
              <w:spacing w:after="0" w:line="20" w:lineRule="exact"/>
              <w:rPr>
                <w:sz w:val="1"/>
                <w:szCs w:val="1"/>
                <w:color w:val="auto"/>
              </w:rPr>
            </w:pPr>
          </w:p>
        </w:tc>
        <w:tc>
          <w:tcPr>
            <w:tcW w:w="4660" w:type="dxa"/>
            <w:vAlign w:val="bottom"/>
            <w:gridSpan w:val="7"/>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21"/>
          </w:tcPr>
          <w:p>
            <w:pPr>
              <w:ind w:left="20"/>
              <w:spacing w:after="0"/>
              <w:rPr>
                <w:sz w:val="20"/>
                <w:szCs w:val="20"/>
                <w:color w:val="auto"/>
              </w:rPr>
            </w:pPr>
            <w:r>
              <w:rPr>
                <w:rFonts w:ascii="Times New Roman" w:cs="Times New Roman" w:eastAsia="Times New Roman" w:hAnsi="Times New Roman"/>
                <w:sz w:val="16"/>
                <w:szCs w:val="16"/>
                <w:color w:val="0000FF"/>
              </w:rPr>
              <w:t>Certification of Thomas R. Reeg in accordance with 18 U.S.C. Section 1350</w:t>
            </w: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32.2</w:t>
            </w:r>
          </w:p>
        </w:tc>
        <w:tc>
          <w:tcPr>
            <w:tcW w:w="80" w:type="dxa"/>
            <w:vAlign w:val="bottom"/>
          </w:tcPr>
          <w:p>
            <w:pPr>
              <w:spacing w:after="0"/>
              <w:rPr>
                <w:sz w:val="24"/>
                <w:szCs w:val="24"/>
                <w:color w:val="auto"/>
              </w:rPr>
            </w:pPr>
          </w:p>
        </w:tc>
        <w:tc>
          <w:tcPr>
            <w:tcW w:w="4960" w:type="dxa"/>
            <w:vAlign w:val="bottom"/>
            <w:tcBorders>
              <w:top w:val="single" w:sz="8" w:color="0000FF"/>
            </w:tcBorders>
            <w:gridSpan w:val="10"/>
          </w:tcPr>
          <w:p>
            <w:pPr>
              <w:ind w:left="20"/>
              <w:spacing w:after="0"/>
              <w:rPr>
                <w:sz w:val="20"/>
                <w:szCs w:val="20"/>
                <w:color w:val="auto"/>
              </w:rPr>
            </w:pPr>
            <w:r>
              <w:rPr>
                <w:rFonts w:ascii="Times New Roman" w:cs="Times New Roman" w:eastAsia="Times New Roman" w:hAnsi="Times New Roman"/>
                <w:sz w:val="16"/>
                <w:szCs w:val="16"/>
                <w:color w:val="0000FF"/>
              </w:rPr>
              <w:t>Certification of Bret Yunker in accordance with 18 U.S.C. Section 1350</w:t>
            </w:r>
          </w:p>
        </w:tc>
        <w:tc>
          <w:tcPr>
            <w:tcW w:w="35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w:t>
            </w:r>
          </w:p>
        </w:tc>
        <w:tc>
          <w:tcPr>
            <w:tcW w:w="80" w:type="dxa"/>
            <w:vAlign w:val="bottom"/>
          </w:tcPr>
          <w:p>
            <w:pPr>
              <w:spacing w:after="0"/>
              <w:rPr>
                <w:sz w:val="24"/>
                <w:szCs w:val="24"/>
                <w:color w:val="auto"/>
              </w:rPr>
            </w:pPr>
          </w:p>
        </w:tc>
        <w:tc>
          <w:tcPr>
            <w:tcW w:w="4660" w:type="dxa"/>
            <w:vAlign w:val="bottom"/>
            <w:tcBorders>
              <w:top w:val="single" w:sz="8" w:color="0000FF"/>
            </w:tcBorders>
            <w:gridSpan w:val="7"/>
          </w:tcPr>
          <w:p>
            <w:pPr>
              <w:ind w:left="20"/>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38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101.2</w:t>
            </w:r>
          </w:p>
        </w:tc>
        <w:tc>
          <w:tcPr>
            <w:tcW w:w="80" w:type="dxa"/>
            <w:vAlign w:val="bottom"/>
          </w:tcPr>
          <w:p>
            <w:pPr>
              <w:spacing w:after="0"/>
              <w:rPr>
                <w:sz w:val="24"/>
                <w:szCs w:val="24"/>
                <w:color w:val="auto"/>
              </w:rPr>
            </w:pPr>
          </w:p>
        </w:tc>
        <w:tc>
          <w:tcPr>
            <w:tcW w:w="8460" w:type="dxa"/>
            <w:vAlign w:val="bottom"/>
            <w:gridSpan w:val="21"/>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101.3</w:t>
            </w:r>
          </w:p>
        </w:tc>
        <w:tc>
          <w:tcPr>
            <w:tcW w:w="80" w:type="dxa"/>
            <w:vAlign w:val="bottom"/>
          </w:tcPr>
          <w:p>
            <w:pPr>
              <w:spacing w:after="0"/>
              <w:rPr>
                <w:sz w:val="24"/>
                <w:szCs w:val="24"/>
                <w:color w:val="auto"/>
              </w:rPr>
            </w:pPr>
          </w:p>
        </w:tc>
        <w:tc>
          <w:tcPr>
            <w:tcW w:w="8460" w:type="dxa"/>
            <w:vAlign w:val="bottom"/>
            <w:gridSpan w:val="21"/>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101.4</w:t>
            </w:r>
          </w:p>
        </w:tc>
        <w:tc>
          <w:tcPr>
            <w:tcW w:w="80" w:type="dxa"/>
            <w:vAlign w:val="bottom"/>
          </w:tcPr>
          <w:p>
            <w:pPr>
              <w:spacing w:after="0"/>
              <w:rPr>
                <w:sz w:val="24"/>
                <w:szCs w:val="24"/>
                <w:color w:val="auto"/>
              </w:rPr>
            </w:pPr>
          </w:p>
        </w:tc>
        <w:tc>
          <w:tcPr>
            <w:tcW w:w="8460" w:type="dxa"/>
            <w:vAlign w:val="bottom"/>
            <w:gridSpan w:val="21"/>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101.5</w:t>
            </w:r>
          </w:p>
        </w:tc>
        <w:tc>
          <w:tcPr>
            <w:tcW w:w="80" w:type="dxa"/>
            <w:vAlign w:val="bottom"/>
          </w:tcPr>
          <w:p>
            <w:pPr>
              <w:spacing w:after="0"/>
              <w:rPr>
                <w:sz w:val="24"/>
                <w:szCs w:val="24"/>
                <w:color w:val="auto"/>
              </w:rPr>
            </w:pPr>
          </w:p>
        </w:tc>
        <w:tc>
          <w:tcPr>
            <w:tcW w:w="8460" w:type="dxa"/>
            <w:vAlign w:val="bottom"/>
            <w:gridSpan w:val="21"/>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101.6</w:t>
            </w:r>
          </w:p>
        </w:tc>
        <w:tc>
          <w:tcPr>
            <w:tcW w:w="80" w:type="dxa"/>
            <w:vAlign w:val="bottom"/>
          </w:tcPr>
          <w:p>
            <w:pPr>
              <w:spacing w:after="0"/>
              <w:rPr>
                <w:sz w:val="24"/>
                <w:szCs w:val="24"/>
                <w:color w:val="auto"/>
              </w:rPr>
            </w:pPr>
          </w:p>
        </w:tc>
        <w:tc>
          <w:tcPr>
            <w:tcW w:w="8460" w:type="dxa"/>
            <w:vAlign w:val="bottom"/>
            <w:gridSpan w:val="21"/>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80" w:type="dxa"/>
            <w:vAlign w:val="bottom"/>
          </w:tcPr>
          <w:p>
            <w:pPr>
              <w:spacing w:after="0"/>
              <w:rPr>
                <w:sz w:val="24"/>
                <w:szCs w:val="24"/>
                <w:color w:val="auto"/>
              </w:rPr>
            </w:pPr>
          </w:p>
        </w:tc>
        <w:tc>
          <w:tcPr>
            <w:tcW w:w="8460" w:type="dxa"/>
            <w:vAlign w:val="bottom"/>
            <w:gridSpan w:val="21"/>
          </w:tcPr>
          <w:p>
            <w:pPr>
              <w:ind w:left="20"/>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21590</wp:posOffset>
            </wp:positionV>
            <wp:extent cx="11144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68"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6"/>
          <w:szCs w:val="16"/>
          <w:color w:val="auto"/>
        </w:rPr>
        <w:t>Previously filed on Form 8-K filed on June 16, 2023.</w:t>
      </w:r>
    </w:p>
    <w:p>
      <w:pPr>
        <w:spacing w:after="0" w:line="60"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6"/>
          <w:szCs w:val="16"/>
          <w:color w:val="auto"/>
        </w:rPr>
        <w:t>Previously filed on Form 8-K filed on August 1, 2022.</w:t>
      </w:r>
    </w:p>
    <w:p>
      <w:pPr>
        <w:spacing w:after="0" w:line="6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Previously filed on Form 8-K filed on February 7,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00" w:lineRule="exact"/>
        <w:rPr>
          <w:sz w:val="20"/>
          <w:szCs w:val="20"/>
          <w:color w:val="auto"/>
        </w:rPr>
      </w:pPr>
    </w:p>
    <w:p>
      <w:pPr>
        <w:spacing w:after="0" w:line="30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Previously filed on Form 8-K filed on February 7, 2024.</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ectPr>
          <w:pgSz w:w="11900" w:h="16838" w:orient="portrait"/>
          <w:cols w:equalWidth="0" w:num="2">
            <w:col w:w="9340" w:space="120"/>
            <w:col w:w="1620"/>
          </w:cols>
          <w:pgMar w:left="320" w:top="1310" w:right="499" w:bottom="1440" w:gutter="0" w:footer="0" w:header="0"/>
          <w:type w:val="continuous"/>
        </w:sectPr>
      </w:pPr>
    </w:p>
    <w:bookmarkStart w:id="43" w:name="page44"/>
    <w:bookmarkEnd w:id="43"/>
    <w:p>
      <w:pPr>
        <w:spacing w:after="0" w:line="200" w:lineRule="exact"/>
        <w:rPr>
          <w:sz w:val="20"/>
          <w:szCs w:val="20"/>
          <w:color w:val="auto"/>
        </w:rPr>
      </w:pPr>
    </w:p>
    <w:p>
      <w:pPr>
        <w:spacing w:after="0" w:line="39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121" w:lineRule="exact"/>
        <w:rPr>
          <w:sz w:val="20"/>
          <w:szCs w:val="20"/>
          <w:color w:val="auto"/>
        </w:rPr>
      </w:pPr>
    </w:p>
    <w:p>
      <w:pPr>
        <w:ind w:left="20"/>
        <w:spacing w:after="0"/>
        <w:tabs>
          <w:tab w:leader="none" w:pos="7620" w:val="left"/>
        </w:tabs>
        <w:rPr>
          <w:sz w:val="20"/>
          <w:szCs w:val="20"/>
          <w:color w:val="auto"/>
        </w:rPr>
      </w:pPr>
      <w:r>
        <w:rPr>
          <w:rFonts w:ascii="Times New Roman" w:cs="Times New Roman" w:eastAsia="Times New Roman" w:hAnsi="Times New Roman"/>
          <w:sz w:val="18"/>
          <w:szCs w:val="18"/>
          <w:color w:val="auto"/>
        </w:rPr>
        <w:t>Date: April 30, 2024</w:t>
      </w:r>
      <w:r>
        <w:rPr>
          <w:sz w:val="20"/>
          <w:szCs w:val="20"/>
          <w:color w:val="auto"/>
        </w:rPr>
        <w:tab/>
      </w:r>
      <w:r>
        <w:rPr>
          <w:rFonts w:ascii="Times New Roman" w:cs="Times New Roman" w:eastAsia="Times New Roman" w:hAnsi="Times New Roman"/>
          <w:sz w:val="17"/>
          <w:szCs w:val="17"/>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34290</wp:posOffset>
            </wp:positionV>
            <wp:extent cx="36258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57"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8"/>
          <w:szCs w:val="18"/>
          <w:color w:val="auto"/>
        </w:rPr>
        <w:t>Thomas R. Reeg</w:t>
      </w:r>
    </w:p>
    <w:p>
      <w:pPr>
        <w:spacing w:after="0" w:line="27"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8"/>
          <w:szCs w:val="18"/>
          <w:i w:val="1"/>
          <w:iCs w:val="1"/>
          <w:color w:val="auto"/>
        </w:rPr>
        <w:t>Chief Executive Officer (Principal Executive Officer)</w:t>
      </w:r>
    </w:p>
    <w:p>
      <w:pPr>
        <w:spacing w:after="0" w:line="355" w:lineRule="exact"/>
        <w:rPr>
          <w:sz w:val="20"/>
          <w:szCs w:val="20"/>
          <w:color w:val="auto"/>
        </w:rPr>
      </w:pPr>
    </w:p>
    <w:p>
      <w:pPr>
        <w:ind w:left="20"/>
        <w:spacing w:after="0"/>
        <w:tabs>
          <w:tab w:leader="none" w:pos="7800" w:val="left"/>
        </w:tabs>
        <w:rPr>
          <w:sz w:val="20"/>
          <w:szCs w:val="20"/>
          <w:color w:val="auto"/>
        </w:rPr>
      </w:pPr>
      <w:r>
        <w:rPr>
          <w:rFonts w:ascii="Times New Roman" w:cs="Times New Roman" w:eastAsia="Times New Roman" w:hAnsi="Times New Roman"/>
          <w:sz w:val="18"/>
          <w:szCs w:val="18"/>
          <w:color w:val="auto"/>
        </w:rPr>
        <w:t>Date: April 30, 2024</w:t>
      </w:r>
      <w:r>
        <w:rPr>
          <w:sz w:val="20"/>
          <w:szCs w:val="20"/>
          <w:color w:val="auto"/>
        </w:rPr>
        <w:tab/>
      </w:r>
      <w:r>
        <w:rPr>
          <w:rFonts w:ascii="Times New Roman" w:cs="Times New Roman" w:eastAsia="Times New Roman" w:hAnsi="Times New Roman"/>
          <w:sz w:val="17"/>
          <w:szCs w:val="17"/>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34290</wp:posOffset>
            </wp:positionV>
            <wp:extent cx="36258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57"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8"/>
          <w:szCs w:val="18"/>
          <w:color w:val="auto"/>
        </w:rPr>
        <w:t>Bret Yunker</w:t>
      </w:r>
    </w:p>
    <w:p>
      <w:pPr>
        <w:spacing w:after="0" w:line="27"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580"/>
          </w:cols>
          <w:pgMar w:left="320" w:top="1440" w:right="9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0"/>
          <w:szCs w:val="20"/>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FIRST SUPPLEMENTAL INDENTURE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THIS FIRST SUPPLEMENTAL INDENTURE (this “</w:t>
      </w:r>
      <w:r>
        <w:rPr>
          <w:rFonts w:ascii="Times New Roman" w:cs="Times New Roman" w:eastAsia="Times New Roman" w:hAnsi="Times New Roman"/>
          <w:sz w:val="20"/>
          <w:szCs w:val="20"/>
          <w:u w:val="single" w:color="auto"/>
          <w:color w:val="auto"/>
        </w:rPr>
        <w:t>Supplemental Indenture</w:t>
      </w:r>
      <w:r>
        <w:rPr>
          <w:rFonts w:ascii="Times New Roman" w:cs="Times New Roman" w:eastAsia="Times New Roman" w:hAnsi="Times New Roman"/>
          <w:sz w:val="20"/>
          <w:szCs w:val="20"/>
          <w:color w:val="auto"/>
        </w:rPr>
        <w:t>”), dated as of March 1, 2024, among CAESARS INTERACTIVE ENTERTAINMENT NEW JERSEY, LLC, a New Jersey limited liability company (“</w:t>
      </w:r>
      <w:r>
        <w:rPr>
          <w:rFonts w:ascii="Times New Roman" w:cs="Times New Roman" w:eastAsia="Times New Roman" w:hAnsi="Times New Roman"/>
          <w:sz w:val="20"/>
          <w:szCs w:val="20"/>
          <w:u w:val="single" w:color="auto"/>
          <w:color w:val="auto"/>
        </w:rPr>
        <w:t>CIENJ</w:t>
      </w:r>
      <w:r>
        <w:rPr>
          <w:rFonts w:ascii="Times New Roman" w:cs="Times New Roman" w:eastAsia="Times New Roman" w:hAnsi="Times New Roman"/>
          <w:sz w:val="20"/>
          <w:szCs w:val="20"/>
          <w:color w:val="auto"/>
        </w:rPr>
        <w:t>”), TROPICANA ATLANTIC CITY CORP., a New Jersey corporation (“</w:t>
      </w:r>
      <w:r>
        <w:rPr>
          <w:rFonts w:ascii="Times New Roman" w:cs="Times New Roman" w:eastAsia="Times New Roman" w:hAnsi="Times New Roman"/>
          <w:sz w:val="20"/>
          <w:szCs w:val="20"/>
          <w:u w:val="single" w:color="auto"/>
          <w:color w:val="auto"/>
        </w:rPr>
        <w:t>Tropicana</w:t>
      </w:r>
      <w:r>
        <w:rPr>
          <w:rFonts w:ascii="Times New Roman" w:cs="Times New Roman" w:eastAsia="Times New Roman" w:hAnsi="Times New Roman"/>
          <w:sz w:val="20"/>
          <w:szCs w:val="20"/>
          <w:color w:val="auto"/>
        </w:rPr>
        <w:t>” and together with CEI NJ, the “</w:t>
      </w:r>
      <w:r>
        <w:rPr>
          <w:rFonts w:ascii="Times New Roman" w:cs="Times New Roman" w:eastAsia="Times New Roman" w:hAnsi="Times New Roman"/>
          <w:sz w:val="20"/>
          <w:szCs w:val="20"/>
          <w:u w:val="single" w:color="auto"/>
          <w:color w:val="auto"/>
        </w:rPr>
        <w:t>New Guarantors</w:t>
      </w:r>
      <w:r>
        <w:rPr>
          <w:rFonts w:ascii="Times New Roman" w:cs="Times New Roman" w:eastAsia="Times New Roman" w:hAnsi="Times New Roman"/>
          <w:sz w:val="20"/>
          <w:szCs w:val="20"/>
          <w:color w:val="auto"/>
        </w:rPr>
        <w:t>”), as subsidiaries of CAESARS ENTERTAINMENT,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other Subsidiary Guarantors (as defined in the Indenture referred to herein), U.S. BANK TRUST COMPANY, NATIONAL ASSOCIATION, as trustee (in such capacity, the “</w:t>
      </w:r>
      <w:r>
        <w:rPr>
          <w:rFonts w:ascii="Times New Roman" w:cs="Times New Roman" w:eastAsia="Times New Roman" w:hAnsi="Times New Roman"/>
          <w:sz w:val="20"/>
          <w:szCs w:val="20"/>
          <w:u w:val="single" w:color="auto"/>
          <w:color w:val="auto"/>
        </w:rPr>
        <w:t>Trustee</w:t>
      </w:r>
      <w:r>
        <w:rPr>
          <w:rFonts w:ascii="Times New Roman" w:cs="Times New Roman" w:eastAsia="Times New Roman" w:hAnsi="Times New Roman"/>
          <w:sz w:val="20"/>
          <w:szCs w:val="20"/>
          <w:color w:val="auto"/>
        </w:rPr>
        <w:t>”), and U.S. BANK NATIONAL ASSOCIATION, as collateral agent (in such capacity, the “</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 I T N E S S E T H :</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WHEREAS, the Company has heretofore executed and delivered to the Trustee and the Collateral Agent an indenture, dated as of February 6, 2024, providing for the issuance of 6.500% Senior Secured Notes due 2032 (the “</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initially in the aggregate principal amount of $1,500,000,000, by and among the Company, the Subsidiary Guarantors party thereto, the Trustee and the Collateral Agent (as further amended, supplemented or otherwise modified, the “</w:t>
      </w:r>
      <w:r>
        <w:rPr>
          <w:rFonts w:ascii="Times New Roman" w:cs="Times New Roman" w:eastAsia="Times New Roman" w:hAnsi="Times New Roman"/>
          <w:sz w:val="20"/>
          <w:szCs w:val="20"/>
          <w:u w:val="single" w:color="auto"/>
          <w:color w:val="auto"/>
        </w:rPr>
        <w:t>Indenture</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WHEREAS, the Company desires to amend clause (44) of the definition of “Permitted Liens” pursuant to Section 9.01(a)(viii) of the Indenture;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Company desires to amend Section 8.01(b) pursuant to Section 9.01(a)(i) of the Indenture;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WHEREAS, Section 4.11 of the Indenture provides that under certain circumstances the Company is required to cause each New Guarantor to execute and deliver to the Trustee a supplemental indenture pursuant to which each New Guarantor shall unconditionally guarantee all the Company’s Obligations under the Notes and the Indenture pursuant to a Note Guarantee on the terms and conditions set forth herein; and</w:t>
      </w:r>
    </w:p>
    <w:p>
      <w:pPr>
        <w:spacing w:after="0" w:line="17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WHEREAS, pursuant to Section 9.01 of the Indenture, the Trustee, the Collateral Agent, the Company and the Subsidiary Guarantors, if any, are authorized to execute and deliver this Supplemental Indenture without the consent of the Holders.</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NOW THEREFORE, in consideration of the foregoing and for other good and valuable consideration, the receipt of which is hereby acknowledged, each New Guarantor, the Company, the Subsidiary Guarantors, the Collateral Agent and the Trustee mutually covenant and agree for the equal and ratable benefit of the holders of the Notes as follows:</w:t>
      </w:r>
    </w:p>
    <w:p>
      <w:pPr>
        <w:spacing w:after="0" w:line="161" w:lineRule="exact"/>
        <w:rPr>
          <w:sz w:val="20"/>
          <w:szCs w:val="20"/>
          <w:color w:val="auto"/>
        </w:rPr>
      </w:pPr>
    </w:p>
    <w:p>
      <w:pPr>
        <w:jc w:val="both"/>
        <w:ind w:firstLine="656"/>
        <w:spacing w:after="0" w:line="257" w:lineRule="auto"/>
        <w:tabs>
          <w:tab w:leader="none" w:pos="129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As used in this Supplemental Indenture, terms defined in the Indenture or in the preamble or recital hereto are used herein as therein defined, except that the term “holders” in this Supplemental Indenture shall refer to the term “holders” as defined in the Indenture and the Trustee acting on behalf of and for the benefit of such holders. The words “herein,” “hereof” and “hereby” and other words of similar import used in this Supplemental Indenture refer to this Supplemental Indenture as a whole and not to any particular section hereof.</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29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Clause (44) of the definition of “Permitted Liens” in Article I of the Indenture shall be replaced with the following language:</w:t>
      </w:r>
    </w:p>
    <w:p>
      <w:pPr>
        <w:sectPr>
          <w:pgSz w:w="11900" w:h="16838" w:orient="portrait"/>
          <w:cols w:equalWidth="0" w:num="1">
            <w:col w:w="11240"/>
          </w:cols>
          <w:pgMar w:left="320" w:top="114" w:right="339" w:bottom="1440" w:gutter="0" w:footer="0" w:header="0"/>
        </w:sectPr>
      </w:pPr>
    </w:p>
    <w:bookmarkStart w:id="45" w:name="page46"/>
    <w:bookmarkEnd w:id="45"/>
    <w:p>
      <w:pPr>
        <w:jc w:val="both"/>
        <w:ind w:left="-656" w:firstLine="656"/>
        <w:spacing w:after="0" w:line="258" w:lineRule="auto"/>
        <w:tabs>
          <w:tab w:leader="none" w:pos="373"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goods or inventory the purchase, shipment or storage price of which is financed by a documentary letter of credit, bank guarantee or bankers’ acceptance issued or created for the account of the Company or any Restricted Subsidiary in the ordinary course of business;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Lien secures only the Obligations of the Company or such Restricted Subsidiaries in respect of such letter of credit, bank guarantee or banker’s acceptance to the extent permitted under Section 4.03(b);</w:t>
      </w:r>
    </w:p>
    <w:p>
      <w:pPr>
        <w:spacing w:after="0" w:line="172" w:lineRule="exact"/>
        <w:rPr>
          <w:sz w:val="20"/>
          <w:szCs w:val="20"/>
          <w:color w:val="auto"/>
        </w:rPr>
      </w:pPr>
    </w:p>
    <w:p>
      <w:pPr>
        <w:ind w:left="644" w:hanging="644"/>
        <w:spacing w:after="0"/>
        <w:tabs>
          <w:tab w:leader="none" w:pos="644"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Discharge of Liability on Notes; Defeasance</w:t>
      </w:r>
      <w:r>
        <w:rPr>
          <w:rFonts w:ascii="Times New Roman" w:cs="Times New Roman" w:eastAsia="Times New Roman" w:hAnsi="Times New Roman"/>
          <w:sz w:val="19"/>
          <w:szCs w:val="19"/>
          <w:color w:val="auto"/>
        </w:rPr>
        <w:t>. Section 8.01(b) of the Indenture shall be replaced with the following language:</w:t>
      </w:r>
    </w:p>
    <w:p>
      <w:pPr>
        <w:spacing w:after="0" w:line="241" w:lineRule="exact"/>
        <w:rPr>
          <w:sz w:val="20"/>
          <w:szCs w:val="20"/>
          <w:color w:val="auto"/>
        </w:rPr>
      </w:pPr>
    </w:p>
    <w:p>
      <w:pPr>
        <w:jc w:val="both"/>
        <w:ind w:left="-656" w:firstLine="656"/>
        <w:spacing w:after="0" w:line="252" w:lineRule="auto"/>
        <w:tabs>
          <w:tab w:leader="none" w:pos="286"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Sections 8.01(c) and 8.02, the Company at any time may terminate (i) all of its obligations under the Notes and this Indenture (with respect to the holders of the Notes) (“legal defeasance option”) or (ii) its obligations under Sections 4.02, 4.03, 4.04, 4.05, 4.06, 4.07, 4.08, 4.09, 4.11, 4.12, 4.16, 4.17, 4.18, and 4.19 and the operation of Section 5.01 for the benefit of the holders of the Notes, and Sections 6.01(c), 6.01(d) and Sections 6.01(e) and 6.01(f) (with respect to Significant Subsidiaries only), 6.01(g), 6.01(h), 6.01(i) and 6.01(j) (“covenant defeasance option”). The Company may exercise its legal defeasance option notwithstanding its prior exercise of its covenant defeasance option. In the event that the Company terminates all of its obligations under the Notes and this Indenture (with respect to such Notes) by exercising its legal defeasance option or its covenant defeasance option, the obligations of each Subsidiary Guarantor with respect to the Notes and of the Company and each Subsidiary Guarantor with respect to the Security Documents (with respect to the Notes Obligations) shall be terminated simultaneously with the termination of such obligations.</w:t>
      </w:r>
    </w:p>
    <w:p>
      <w:pPr>
        <w:spacing w:after="0" w:line="176" w:lineRule="exact"/>
        <w:rPr>
          <w:sz w:val="20"/>
          <w:szCs w:val="20"/>
          <w:color w:val="auto"/>
        </w:rPr>
      </w:pPr>
    </w:p>
    <w:p>
      <w:pPr>
        <w:jc w:val="both"/>
        <w:ind w:left="-656" w:firstLine="656"/>
        <w:spacing w:after="0" w:line="257" w:lineRule="auto"/>
        <w:tabs>
          <w:tab w:leader="none" w:pos="6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Agreement to Guarantee</w:t>
      </w:r>
      <w:r>
        <w:rPr>
          <w:rFonts w:ascii="Times New Roman" w:cs="Times New Roman" w:eastAsia="Times New Roman" w:hAnsi="Times New Roman"/>
          <w:sz w:val="20"/>
          <w:szCs w:val="20"/>
          <w:color w:val="auto"/>
        </w:rPr>
        <w:t>. Each New Guarantor hereby agrees, jointly and severally with all existing guarantors (if any), to unconditionally guarantee the Company’s Obligations under the Notes and the Indenture on the terms and subject to the conditions set forth in Article XIII of the Indenture and to be bound by all other applicable provisions of the Indenture and the Notes and to perform all of the obligations and agreements of a guarantor under the Indenture. From and after the date hereof, all references in the Indenture to the “Guarantors” and “Subsidiary Guarantors” shall include the New Guarantors.</w:t>
      </w:r>
    </w:p>
    <w:p>
      <w:pPr>
        <w:spacing w:after="0" w:line="172" w:lineRule="exact"/>
        <w:rPr>
          <w:rFonts w:ascii="Times New Roman" w:cs="Times New Roman" w:eastAsia="Times New Roman" w:hAnsi="Times New Roman"/>
          <w:sz w:val="20"/>
          <w:szCs w:val="20"/>
          <w:color w:val="auto"/>
        </w:rPr>
      </w:pPr>
    </w:p>
    <w:p>
      <w:pPr>
        <w:ind w:left="-656" w:firstLine="656"/>
        <w:spacing w:after="0" w:line="295" w:lineRule="auto"/>
        <w:tabs>
          <w:tab w:leader="none" w:pos="6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or other communications to each New Guarantor shall be given at the following address: Caesars Entertainment, Inc., 100 West Liberty Street, 12</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 Reno, Nevada 89501, Facsimile: (775) 337-9218 Attn: Chief Financial Officer.</w:t>
      </w:r>
    </w:p>
    <w:p>
      <w:pPr>
        <w:spacing w:after="0" w:line="52" w:lineRule="exact"/>
        <w:rPr>
          <w:rFonts w:ascii="Times New Roman" w:cs="Times New Roman" w:eastAsia="Times New Roman" w:hAnsi="Times New Roman"/>
          <w:sz w:val="20"/>
          <w:szCs w:val="20"/>
          <w:color w:val="auto"/>
        </w:rPr>
      </w:pPr>
    </w:p>
    <w:p>
      <w:pPr>
        <w:ind w:left="-656" w:firstLine="656"/>
        <w:spacing w:after="0" w:line="283" w:lineRule="auto"/>
        <w:tabs>
          <w:tab w:leader="none" w:pos="6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Execution and Delivery</w:t>
      </w:r>
      <w:r>
        <w:rPr>
          <w:rFonts w:ascii="Times New Roman" w:cs="Times New Roman" w:eastAsia="Times New Roman" w:hAnsi="Times New Roman"/>
          <w:sz w:val="20"/>
          <w:szCs w:val="20"/>
          <w:color w:val="auto"/>
        </w:rPr>
        <w:t>. Each New Guarantor agrees that its Note Guarantee shall remain in full force and effect notwithstanding the absence of the endorsement of any notation of such Note Guarantee.</w:t>
      </w:r>
    </w:p>
    <w:p>
      <w:pPr>
        <w:spacing w:after="0" w:line="159" w:lineRule="exact"/>
        <w:rPr>
          <w:rFonts w:ascii="Times New Roman" w:cs="Times New Roman" w:eastAsia="Times New Roman" w:hAnsi="Times New Roman"/>
          <w:sz w:val="20"/>
          <w:szCs w:val="20"/>
          <w:color w:val="auto"/>
        </w:rPr>
      </w:pPr>
    </w:p>
    <w:p>
      <w:pPr>
        <w:jc w:val="both"/>
        <w:ind w:left="-656" w:firstLine="656"/>
        <w:spacing w:after="0" w:line="251" w:lineRule="auto"/>
        <w:tabs>
          <w:tab w:leader="none" w:pos="6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Confirmation of Security Interests</w:t>
      </w:r>
      <w:r>
        <w:rPr>
          <w:rFonts w:ascii="Times New Roman" w:cs="Times New Roman" w:eastAsia="Times New Roman" w:hAnsi="Times New Roman"/>
          <w:sz w:val="20"/>
          <w:szCs w:val="20"/>
          <w:color w:val="auto"/>
        </w:rPr>
        <w:t>. Each of the Company, the Subsidiary Guarantors and the New Guarantors hereby confirm that (a) the Notes are entitled to the benefits of the security interests set forth or created in the Collateral Agreement and the other Security Documents and (b) the Collateral Agreement and the other Security Documents are, and shall continue to be, in full force and effect and are hereby ratified and confirmed in all respects after giving effect to this Supplemental Indenture. Each of the Company, the Subsidiary Guarantors and the New Guarantors ratify and confirm their prior grant and the validity of all Liens granted, conveyed, or assigned to the Collateral Agent by such Person pursuant to each Security Document to which it is a party with all such Liens continuing in full force and effect after</w:t>
      </w:r>
    </w:p>
    <w:p>
      <w:pPr>
        <w:sectPr>
          <w:pgSz w:w="11900" w:h="16838" w:orient="portrait"/>
          <w:cols w:equalWidth="0" w:num="1">
            <w:col w:w="10584"/>
          </w:cols>
          <w:pgMar w:left="976" w:top="1413" w:right="339" w:bottom="1440" w:gutter="0" w:footer="0" w:header="0"/>
        </w:sectPr>
      </w:pPr>
    </w:p>
    <w:bookmarkStart w:id="46" w:name="page47"/>
    <w:bookmarkEnd w:id="46"/>
    <w:p>
      <w:pPr>
        <w:spacing w:after="0" w:line="283" w:lineRule="auto"/>
        <w:rPr>
          <w:sz w:val="20"/>
          <w:szCs w:val="20"/>
          <w:color w:val="auto"/>
        </w:rPr>
      </w:pPr>
      <w:r>
        <w:rPr>
          <w:rFonts w:ascii="Times New Roman" w:cs="Times New Roman" w:eastAsia="Times New Roman" w:hAnsi="Times New Roman"/>
          <w:sz w:val="20"/>
          <w:szCs w:val="20"/>
          <w:color w:val="auto"/>
        </w:rPr>
        <w:t>giving effect to this Supplemental Indenture, and such Liens are not released or reduced hereby, and secure full payment and performance of the Notes Obligations.</w:t>
      </w:r>
    </w:p>
    <w:p>
      <w:pPr>
        <w:spacing w:after="0" w:line="146" w:lineRule="exact"/>
        <w:rPr>
          <w:sz w:val="20"/>
          <w:szCs w:val="20"/>
          <w:color w:val="auto"/>
        </w:rPr>
      </w:pPr>
    </w:p>
    <w:p>
      <w:pPr>
        <w:jc w:val="both"/>
        <w:ind w:firstLine="656"/>
        <w:spacing w:after="0" w:line="258" w:lineRule="auto"/>
        <w:tabs>
          <w:tab w:leader="none" w:pos="129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Ratification of Indenture; Supplemental Indentures Part of Indenture</w:t>
      </w:r>
      <w:r>
        <w:rPr>
          <w:rFonts w:ascii="Times New Roman" w:cs="Times New Roman" w:eastAsia="Times New Roman" w:hAnsi="Times New Roman"/>
          <w:sz w:val="20"/>
          <w:szCs w:val="20"/>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THIS SUPPLEMENTAL INDENTURE SHALL BE GOVERNED BY, AND CONSTRUED IN</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ACCORDANCE WITH, THE LAWS OF THE STATE OF NEW YORK.</w:t>
      </w:r>
    </w:p>
    <w:p>
      <w:pPr>
        <w:spacing w:after="0" w:line="207"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7"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Recourse Against Others</w:t>
      </w:r>
      <w:r>
        <w:rPr>
          <w:rFonts w:ascii="Times New Roman" w:cs="Times New Roman" w:eastAsia="Times New Roman" w:hAnsi="Times New Roman"/>
          <w:sz w:val="20"/>
          <w:szCs w:val="20"/>
          <w:color w:val="auto"/>
        </w:rPr>
        <w:t>. No director, officer, employee, manager, incorporator or holder of any Equity Interests in any New Guarantor or any direct or indirect parent corporation, as such, shall have any liability for any obligations of any New Guarantor under the Notes or the Indenture or this Supplemental Indenture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191" w:lineRule="exact"/>
        <w:rPr>
          <w:rFonts w:ascii="Times New Roman" w:cs="Times New Roman" w:eastAsia="Times New Roman" w:hAnsi="Times New Roman"/>
          <w:sz w:val="20"/>
          <w:szCs w:val="20"/>
          <w:color w:val="auto"/>
        </w:rPr>
      </w:pPr>
    </w:p>
    <w:p>
      <w:pPr>
        <w:ind w:firstLine="656"/>
        <w:spacing w:after="0" w:line="269" w:lineRule="auto"/>
        <w:tabs>
          <w:tab w:leader="none" w:pos="1279"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Trustee Makes No Representation</w:t>
      </w:r>
      <w:r>
        <w:rPr>
          <w:rFonts w:ascii="Times New Roman" w:cs="Times New Roman" w:eastAsia="Times New Roman" w:hAnsi="Times New Roman"/>
          <w:sz w:val="20"/>
          <w:szCs w:val="20"/>
          <w:color w:val="auto"/>
        </w:rPr>
        <w:t>. The Trustee and the Collateral Agent make no representation as to the validity or sufficiency of this Supplemental Indenture.</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287"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parties may sign any number of copies of this Supplemental Indenture. Each signed copy shall be an original, but all of them together represent the same agreement.</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Headings</w:t>
      </w:r>
      <w:r>
        <w:rPr>
          <w:rFonts w:ascii="Times New Roman" w:cs="Times New Roman" w:eastAsia="Times New Roman" w:hAnsi="Times New Roman"/>
          <w:sz w:val="20"/>
          <w:szCs w:val="20"/>
          <w:color w:val="auto"/>
        </w:rPr>
        <w:t>. The Section headings herein are for convenience only and shall not effect the construction thereof.</w:t>
      </w:r>
    </w:p>
    <w:p>
      <w:pPr>
        <w:sectPr>
          <w:pgSz w:w="11900" w:h="16838" w:orient="portrait"/>
          <w:cols w:equalWidth="0" w:num="1">
            <w:col w:w="11240"/>
          </w:cols>
          <w:pgMar w:left="320" w:top="1413" w:right="339" w:bottom="1440" w:gutter="0" w:footer="0" w:header="0"/>
        </w:sectPr>
      </w:pPr>
    </w:p>
    <w:bookmarkStart w:id="47" w:name="page48"/>
    <w:bookmarkEnd w:id="47"/>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WITNESS WHEREOF, the parties hereto have caused this Supplemental Indenture to be duly executed as of the date first above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written.</w:t>
      </w:r>
    </w:p>
    <w:p>
      <w:pPr>
        <w:spacing w:after="0" w:line="200" w:lineRule="exact"/>
        <w:rPr>
          <w:sz w:val="20"/>
          <w:szCs w:val="20"/>
          <w:color w:val="auto"/>
        </w:rPr>
      </w:pPr>
    </w:p>
    <w:p>
      <w:pPr>
        <w:spacing w:after="0" w:line="24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CAESARS ENTERTAINMENT, INC.,</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as Company</w:t>
      </w:r>
    </w:p>
    <w:p>
      <w:pPr>
        <w:spacing w:after="0" w:line="200" w:lineRule="exact"/>
        <w:rPr>
          <w:sz w:val="20"/>
          <w:szCs w:val="20"/>
          <w:color w:val="auto"/>
        </w:rPr>
      </w:pPr>
    </w:p>
    <w:p>
      <w:pPr>
        <w:spacing w:after="0" w:line="270" w:lineRule="exact"/>
        <w:rPr>
          <w:sz w:val="20"/>
          <w:szCs w:val="20"/>
          <w:color w:val="auto"/>
        </w:rPr>
      </w:pPr>
    </w:p>
    <w:p>
      <w:pPr>
        <w:ind w:left="3240"/>
        <w:spacing w:after="0"/>
        <w:tabs>
          <w:tab w:leader="none" w:pos="3720" w:val="left"/>
        </w:tabs>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color w:val="4F4F4F"/>
        </w:rPr>
        <w:t>:</w:t>
      </w:r>
      <w:r>
        <w:rPr>
          <w:sz w:val="20"/>
          <w:szCs w:val="20"/>
          <w:color w:val="auto"/>
        </w:rPr>
        <w:tab/>
      </w:r>
      <w:r>
        <w:rPr>
          <w:rFonts w:ascii="Times New Roman" w:cs="Times New Roman" w:eastAsia="Times New Roman" w:hAnsi="Times New Roman"/>
          <w:sz w:val="19"/>
          <w:szCs w:val="19"/>
          <w:u w:val="single" w:color="auto"/>
          <w:color w:val="4F4F4F"/>
        </w:rPr>
        <w:t xml:space="preserve">/s/ </w:t>
      </w:r>
      <w:r>
        <w:rPr>
          <w:rFonts w:ascii="Times New Roman" w:cs="Times New Roman" w:eastAsia="Times New Roman" w:hAnsi="Times New Roman"/>
          <w:sz w:val="19"/>
          <w:szCs w:val="19"/>
          <w:u w:val="single" w:color="auto"/>
          <w:color w:val="000000"/>
        </w:rPr>
        <w:t>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-10795</wp:posOffset>
            </wp:positionV>
            <wp:extent cx="1257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ind w:left="3440"/>
        <w:spacing w:after="0"/>
        <w:tabs>
          <w:tab w:leader="none" w:pos="41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Edmund L. Quatmann, Jr.</w:t>
      </w:r>
    </w:p>
    <w:p>
      <w:pPr>
        <w:spacing w:after="0" w:line="13" w:lineRule="exact"/>
        <w:rPr>
          <w:sz w:val="20"/>
          <w:szCs w:val="20"/>
          <w:color w:val="auto"/>
        </w:rPr>
      </w:pPr>
    </w:p>
    <w:p>
      <w:pPr>
        <w:ind w:left="3900"/>
        <w:spacing w:after="0"/>
        <w:tabs>
          <w:tab w:leader="none" w:pos="45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Executive Vice President, Chief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Supplemental Indenture – CEI 6.500% Senior Secured Notes 2032</w:t>
      </w:r>
      <w:r>
        <w:rPr>
          <w:rFonts w:ascii="Times New Roman" w:cs="Times New Roman" w:eastAsia="Times New Roman" w:hAnsi="Times New Roman"/>
          <w:sz w:val="20"/>
          <w:szCs w:val="20"/>
          <w:color w:val="auto"/>
        </w:rPr>
        <w:t>]</w:t>
      </w:r>
    </w:p>
    <w:p>
      <w:pPr>
        <w:sectPr>
          <w:pgSz w:w="11900" w:h="16838" w:orient="portrait"/>
          <w:cols w:equalWidth="0" w:num="1">
            <w:col w:w="11100"/>
          </w:cols>
          <w:pgMar w:left="320" w:top="1440" w:right="479" w:bottom="1440" w:gutter="0" w:footer="0" w:header="0"/>
        </w:sectPr>
      </w:pPr>
    </w:p>
    <w:bookmarkStart w:id="48" w:name="page49"/>
    <w:bookmarkEnd w:id="48"/>
    <w:p>
      <w:pPr>
        <w:ind w:left="2120"/>
        <w:spacing w:after="0"/>
        <w:rPr>
          <w:sz w:val="20"/>
          <w:szCs w:val="20"/>
          <w:color w:val="auto"/>
        </w:rPr>
      </w:pPr>
      <w:r>
        <w:rPr>
          <w:rFonts w:ascii="Times New Roman" w:cs="Times New Roman" w:eastAsia="Times New Roman" w:hAnsi="Times New Roman"/>
          <w:sz w:val="20"/>
          <w:szCs w:val="20"/>
          <w:color w:val="auto"/>
        </w:rPr>
        <w:t>AMERICAN WAGERING, INC.</w:t>
      </w:r>
    </w:p>
    <w:p>
      <w:pPr>
        <w:spacing w:after="0" w:line="2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AWI GAMING,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AWI MANUFACTURING,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AZTAR RIVERBOAT HOLDING COMPANY,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BLACK HAWK HOLDINGS,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BRANDYWINE BOOKMAKING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BW SUB CO.</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CONVENTION CENTER OWNER,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DUBAI,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GROWTH PARTNERS,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HOLDINGS, INC.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HOSPITALITY,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INTERNATIONAL HOSPITALITY,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PARLAY HOLDING,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CCR NEWCO,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CCSC/BLACKHAWK, INC.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CIE GROWTH,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CIRCUS AND ELDORADO JOINT VENTURE,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COMPUTERIZED BOOKMAKING SYSTEMS,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CRS ANNEX,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DIGITAL HOLDCO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EASTSIDE CONVENTION CENTER,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ELDO FIT,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ELDORADO HOLDCO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ELDORADO LIMITED LIABILITY COMPANY</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ELDORADO SHREVEPORT #1,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ELDORADO SHREVEPORT #2,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ELGIN HOLDINGS I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ELGIN HOLDINGS II LLC</w:t>
      </w:r>
    </w:p>
    <w:p>
      <w:pPr>
        <w:spacing w:after="0" w:line="6" w:lineRule="exact"/>
        <w:rPr>
          <w:sz w:val="20"/>
          <w:szCs w:val="20"/>
          <w:color w:val="auto"/>
        </w:rPr>
      </w:pPr>
    </w:p>
    <w:p>
      <w:pPr>
        <w:ind w:left="2120" w:right="2339"/>
        <w:spacing w:after="0" w:line="246" w:lineRule="auto"/>
        <w:rPr>
          <w:sz w:val="20"/>
          <w:szCs w:val="20"/>
          <w:color w:val="auto"/>
        </w:rPr>
      </w:pPr>
      <w:r>
        <w:rPr>
          <w:rFonts w:ascii="Times New Roman" w:cs="Times New Roman" w:eastAsia="Times New Roman" w:hAnsi="Times New Roman"/>
          <w:sz w:val="20"/>
          <w:szCs w:val="20"/>
          <w:color w:val="auto"/>
        </w:rPr>
        <w:t>ELGIN RIVERBOAT RESORT–RIVERBOAT CASINO GB INVESTOR,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Subsidiary Guarantor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u w:val="single" w:color="auto"/>
          <w:color w:val="4F4F4F"/>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-6985</wp:posOffset>
            </wp:positionV>
            <wp:extent cx="8261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826135" cy="8890"/>
                    </a:xfrm>
                    <a:prstGeom prst="rect">
                      <a:avLst/>
                    </a:prstGeom>
                    <a:noFill/>
                  </pic:spPr>
                </pic:pic>
              </a:graphicData>
            </a:graphic>
          </wp:anchor>
        </w:drawing>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 Bret Yunker</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Supplemental Indenture – CEI 6.500% Senior Secured Notes 2032</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13" w:right="1440" w:bottom="1440" w:gutter="0" w:footer="0" w:header="0"/>
        </w:sectPr>
      </w:pPr>
    </w:p>
    <w:bookmarkStart w:id="49" w:name="page50"/>
    <w:bookmarkEnd w:id="49"/>
    <w:p>
      <w:pPr>
        <w:ind w:left="2120"/>
        <w:spacing w:after="0"/>
        <w:rPr>
          <w:sz w:val="20"/>
          <w:szCs w:val="20"/>
          <w:color w:val="auto"/>
        </w:rPr>
      </w:pPr>
      <w:r>
        <w:rPr>
          <w:rFonts w:ascii="Times New Roman" w:cs="Times New Roman" w:eastAsia="Times New Roman" w:hAnsi="Times New Roman"/>
          <w:sz w:val="20"/>
          <w:szCs w:val="20"/>
          <w:color w:val="auto"/>
        </w:rPr>
        <w:t>IC HOLDINGS COLORADO, INC.</w:t>
      </w:r>
    </w:p>
    <w:p>
      <w:pPr>
        <w:spacing w:after="0" w:line="28" w:lineRule="exact"/>
        <w:rPr>
          <w:sz w:val="20"/>
          <w:szCs w:val="20"/>
          <w:color w:val="auto"/>
        </w:rPr>
      </w:pPr>
    </w:p>
    <w:p>
      <w:pPr>
        <w:ind w:left="2120" w:right="2159"/>
        <w:spacing w:after="0" w:line="246" w:lineRule="auto"/>
        <w:rPr>
          <w:sz w:val="20"/>
          <w:szCs w:val="20"/>
          <w:color w:val="auto"/>
        </w:rPr>
      </w:pPr>
      <w:r>
        <w:rPr>
          <w:rFonts w:ascii="Times New Roman" w:cs="Times New Roman" w:eastAsia="Times New Roman" w:hAnsi="Times New Roman"/>
          <w:sz w:val="20"/>
          <w:szCs w:val="20"/>
          <w:color w:val="auto"/>
        </w:rPr>
        <w:t>IOC - BLACK HAWK DISTRIBUTION COMPANY, LLC IOC - BOONVILLE, INC.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IOC - LULA,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IOC BLACK HAWK COUNTY,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IOC HOLDINGS,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IOC-VICKSBURG,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IOC-VICKSBURG,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ISLE OF CAPRI BETTENDORF, 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ISLE OF CAPRI BLACK HAWK,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ISLE OF CAPRI CASINOS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LIGHTHOUSE POINT,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MTR GAMING GROUP,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NEW JAZZ ENTERPRISES,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OLD PID,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POMPANO PARK HOLDINGS,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PPI DEVELOPMENT HOLDINGS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PPI DEVELOPMENT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PPI,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ROMULUS RISK AND INSURANCE COMPANY,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SCIOTO DOWNS,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ST. CHARLES GAMING COMPANY,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TEI (ES),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TEI (ST. LOUIS RE),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TEI (STLH),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TROPICANA ENTERTAINMENT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TROPICANA LAUGHLIN,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TROPICANA ST. LOUIS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VEGAS DEVELOPMENT LAND OWNER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WH NV III,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WILLIAM HILL DFSB,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WILLIAM HILL NEVADA I</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WILLIAM HILL NEVADA II</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WILLIAM HILL NEW JERSEY,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WILLIAM HILL U.S. HOLDCO,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Subsidiary Guarantor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u w:val="single" w:color="auto"/>
          <w:color w:val="4F4F4F"/>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-6985</wp:posOffset>
            </wp:positionV>
            <wp:extent cx="8261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826135" cy="8255"/>
                    </a:xfrm>
                    <a:prstGeom prst="rect">
                      <a:avLst/>
                    </a:prstGeom>
                    <a:noFill/>
                  </pic:spPr>
                </pic:pic>
              </a:graphicData>
            </a:graphic>
          </wp:anchor>
        </w:drawing>
      </w:r>
    </w:p>
    <w:p>
      <w:pPr>
        <w:spacing w:after="0" w:line="2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 Bret Yunker</w:t>
      </w:r>
    </w:p>
    <w:p>
      <w:pPr>
        <w:ind w:left="212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Supplemental Indenture – CEI 6.500% Senior Secured Notes 2032</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13" w:right="1440" w:bottom="1440" w:gutter="0" w:footer="0" w:header="0"/>
        </w:sectPr>
      </w:pPr>
    </w:p>
    <w:bookmarkStart w:id="50" w:name="page51"/>
    <w:bookmarkEnd w:id="50"/>
    <w:p>
      <w:pPr>
        <w:ind w:left="2120" w:right="1259"/>
        <w:spacing w:after="0" w:line="258" w:lineRule="auto"/>
        <w:rPr>
          <w:sz w:val="20"/>
          <w:szCs w:val="20"/>
          <w:color w:val="auto"/>
        </w:rPr>
      </w:pPr>
      <w:r>
        <w:rPr>
          <w:rFonts w:ascii="Times New Roman" w:cs="Times New Roman" w:eastAsia="Times New Roman" w:hAnsi="Times New Roman"/>
          <w:sz w:val="20"/>
          <w:szCs w:val="20"/>
          <w:color w:val="auto"/>
        </w:rPr>
        <w:t>CAESARS INTERACTIVE ENTERTAINMENT NEW JERSEY, LLC TROPICANA ATLANTIC CITY CORP.,</w:t>
      </w:r>
    </w:p>
    <w:p>
      <w:pPr>
        <w:ind w:left="2120"/>
        <w:spacing w:after="0"/>
        <w:rPr>
          <w:sz w:val="20"/>
          <w:szCs w:val="20"/>
          <w:color w:val="auto"/>
        </w:rPr>
      </w:pPr>
      <w:r>
        <w:rPr>
          <w:rFonts w:ascii="Times New Roman" w:cs="Times New Roman" w:eastAsia="Times New Roman" w:hAnsi="Times New Roman"/>
          <w:sz w:val="20"/>
          <w:szCs w:val="20"/>
          <w:color w:val="auto"/>
        </w:rPr>
        <w:t>as a Subsidiary Guarantor</w:t>
      </w:r>
    </w:p>
    <w:p>
      <w:pPr>
        <w:spacing w:after="0" w:line="200" w:lineRule="exact"/>
        <w:rPr>
          <w:sz w:val="20"/>
          <w:szCs w:val="20"/>
          <w:color w:val="auto"/>
        </w:rPr>
      </w:pPr>
    </w:p>
    <w:p>
      <w:pPr>
        <w:spacing w:after="0" w:line="277" w:lineRule="exact"/>
        <w:rPr>
          <w:sz w:val="20"/>
          <w:szCs w:val="20"/>
          <w:color w:val="auto"/>
        </w:rPr>
      </w:pPr>
    </w:p>
    <w:p>
      <w:pPr>
        <w:ind w:left="2120"/>
        <w:spacing w:after="0"/>
        <w:tabs>
          <w:tab w:leader="none" w:pos="2600" w:val="left"/>
        </w:tabs>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color w:val="4F4F4F"/>
        </w:rPr>
        <w:t>:</w:t>
      </w:r>
      <w:r>
        <w:rPr>
          <w:sz w:val="20"/>
          <w:szCs w:val="20"/>
          <w:color w:val="auto"/>
        </w:rPr>
        <w:tab/>
      </w:r>
      <w:r>
        <w:rPr>
          <w:rFonts w:ascii="Times New Roman" w:cs="Times New Roman" w:eastAsia="Times New Roman" w:hAnsi="Times New Roman"/>
          <w:sz w:val="19"/>
          <w:szCs w:val="19"/>
          <w:u w:val="single" w:color="auto"/>
          <w:color w:val="4F4F4F"/>
        </w:rPr>
        <w:t xml:space="preserve">/s/ </w:t>
      </w:r>
      <w:r>
        <w:rPr>
          <w:rFonts w:ascii="Times New Roman" w:cs="Times New Roman" w:eastAsia="Times New Roman" w:hAnsi="Times New Roman"/>
          <w:sz w:val="19"/>
          <w:szCs w:val="19"/>
          <w:u w:val="single" w:color="auto"/>
          <w:color w:val="000000"/>
        </w:rPr>
        <w:t>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3106420</wp:posOffset>
            </wp:positionH>
            <wp:positionV relativeFrom="paragraph">
              <wp:posOffset>-10795</wp:posOffset>
            </wp:positionV>
            <wp:extent cx="1257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 w:lineRule="exact"/>
        <w:rPr>
          <w:sz w:val="20"/>
          <w:szCs w:val="20"/>
          <w:color w:val="auto"/>
        </w:rPr>
      </w:pPr>
    </w:p>
    <w:p>
      <w:pPr>
        <w:ind w:left="2320"/>
        <w:spacing w:after="0"/>
        <w:tabs>
          <w:tab w:leader="none" w:pos="30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Edmund L. Quatmann, Jr.</w:t>
      </w:r>
    </w:p>
    <w:p>
      <w:pPr>
        <w:spacing w:after="0" w:line="6" w:lineRule="exact"/>
        <w:rPr>
          <w:sz w:val="20"/>
          <w:szCs w:val="20"/>
          <w:color w:val="auto"/>
        </w:rPr>
      </w:pPr>
    </w:p>
    <w:p>
      <w:pPr>
        <w:ind w:left="2320"/>
        <w:spacing w:after="0"/>
        <w:tabs>
          <w:tab w:leader="none" w:pos="2980" w:val="left"/>
        </w:tabs>
        <w:rPr>
          <w:sz w:val="20"/>
          <w:szCs w:val="20"/>
          <w:color w:val="auto"/>
        </w:rPr>
      </w:pPr>
      <w:r>
        <w:rPr>
          <w:rFonts w:ascii="Times New Roman" w:cs="Times New Roman" w:eastAsia="Times New Roman" w:hAnsi="Times New Roman"/>
          <w:sz w:val="20"/>
          <w:szCs w:val="20"/>
          <w:color w:val="auto"/>
        </w:rPr>
        <w:t>Title:</w:t>
        <w:tab/>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Supplemental Indenture – CEI 6.500% Senior Secured Notes 2032</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13" w:right="1440" w:bottom="1440" w:gutter="0" w:footer="0" w:header="0"/>
        </w:sectPr>
      </w:pPr>
    </w:p>
    <w:bookmarkStart w:id="51" w:name="page52"/>
    <w:bookmarkEnd w:id="51"/>
    <w:p>
      <w:pPr>
        <w:ind w:left="2120" w:right="1759"/>
        <w:spacing w:after="0" w:line="283" w:lineRule="auto"/>
        <w:rPr>
          <w:sz w:val="20"/>
          <w:szCs w:val="20"/>
          <w:color w:val="auto"/>
        </w:rPr>
      </w:pPr>
      <w:r>
        <w:rPr>
          <w:rFonts w:ascii="Times New Roman" w:cs="Times New Roman" w:eastAsia="Times New Roman" w:hAnsi="Times New Roman"/>
          <w:sz w:val="20"/>
          <w:szCs w:val="20"/>
          <w:color w:val="auto"/>
        </w:rPr>
        <w:t>U.S. BANK TRUST COMPANY, NATIONAL ASSOCIATION, as Trustee</w:t>
      </w:r>
    </w:p>
    <w:p>
      <w:pPr>
        <w:spacing w:after="0" w:line="200" w:lineRule="exact"/>
        <w:rPr>
          <w:sz w:val="20"/>
          <w:szCs w:val="20"/>
          <w:color w:val="auto"/>
        </w:rPr>
      </w:pPr>
    </w:p>
    <w:p>
      <w:pPr>
        <w:spacing w:after="0" w:line="216" w:lineRule="exact"/>
        <w:rPr>
          <w:sz w:val="20"/>
          <w:szCs w:val="20"/>
          <w:color w:val="auto"/>
        </w:rPr>
      </w:pPr>
    </w:p>
    <w:p>
      <w:pPr>
        <w:ind w:left="2120"/>
        <w:spacing w:after="0"/>
        <w:tabs>
          <w:tab w:leader="none" w:pos="2600" w:val="left"/>
        </w:tabs>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color w:val="4F4F4F"/>
        </w:rPr>
        <w:t>:</w:t>
      </w:r>
      <w:r>
        <w:rPr>
          <w:sz w:val="20"/>
          <w:szCs w:val="20"/>
          <w:color w:val="auto"/>
        </w:rPr>
        <w:tab/>
      </w:r>
      <w:r>
        <w:rPr>
          <w:rFonts w:ascii="Times New Roman" w:cs="Times New Roman" w:eastAsia="Times New Roman" w:hAnsi="Times New Roman"/>
          <w:sz w:val="19"/>
          <w:szCs w:val="19"/>
          <w:u w:val="single" w:color="auto"/>
          <w:color w:val="4F4F4F"/>
        </w:rPr>
        <w:t xml:space="preserve">/s/ </w:t>
      </w:r>
      <w:r>
        <w:rPr>
          <w:rFonts w:ascii="Times New Roman" w:cs="Times New Roman" w:eastAsia="Times New Roman" w:hAnsi="Times New Roman"/>
          <w:sz w:val="19"/>
          <w:szCs w:val="19"/>
          <w:u w:val="single" w:color="auto"/>
          <w:color w:val="000000"/>
        </w:rPr>
        <w:t>Laurel Casasanta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2670175</wp:posOffset>
            </wp:positionH>
            <wp:positionV relativeFrom="paragraph">
              <wp:posOffset>-10795</wp:posOffset>
            </wp:positionV>
            <wp:extent cx="1257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ind w:left="2320"/>
        <w:spacing w:after="0"/>
        <w:tabs>
          <w:tab w:leader="none" w:pos="3080" w:val="left"/>
        </w:tabs>
        <w:rPr>
          <w:sz w:val="20"/>
          <w:szCs w:val="20"/>
          <w:color w:val="auto"/>
        </w:rPr>
      </w:pPr>
      <w:r>
        <w:rPr>
          <w:rFonts w:ascii="Times New Roman" w:cs="Times New Roman" w:eastAsia="Times New Roman" w:hAnsi="Times New Roman"/>
          <w:sz w:val="20"/>
          <w:szCs w:val="20"/>
          <w:color w:val="auto"/>
        </w:rPr>
        <w:t>Name:</w:t>
        <w:tab/>
        <w:t>Laurel Casasanta</w:t>
      </w:r>
    </w:p>
    <w:p>
      <w:pPr>
        <w:spacing w:after="0" w:line="6" w:lineRule="exact"/>
        <w:rPr>
          <w:sz w:val="20"/>
          <w:szCs w:val="20"/>
          <w:color w:val="auto"/>
        </w:rPr>
      </w:pPr>
    </w:p>
    <w:p>
      <w:pPr>
        <w:ind w:left="2320"/>
        <w:spacing w:after="0"/>
        <w:tabs>
          <w:tab w:leader="none" w:pos="2960" w:val="left"/>
        </w:tabs>
        <w:rPr>
          <w:sz w:val="20"/>
          <w:szCs w:val="20"/>
          <w:color w:val="auto"/>
        </w:rPr>
      </w:pPr>
      <w:r>
        <w:rPr>
          <w:rFonts w:ascii="Times New Roman" w:cs="Times New Roman" w:eastAsia="Times New Roman" w:hAnsi="Times New Roman"/>
          <w:sz w:val="20"/>
          <w:szCs w:val="20"/>
          <w:color w:val="auto"/>
        </w:rPr>
        <w:t>Title:</w:t>
        <w:tab/>
        <w:t>Vice President</w:t>
      </w:r>
    </w:p>
    <w:p>
      <w:pPr>
        <w:spacing w:after="0" w:line="200" w:lineRule="exact"/>
        <w:rPr>
          <w:sz w:val="20"/>
          <w:szCs w:val="20"/>
          <w:color w:val="auto"/>
        </w:rPr>
      </w:pPr>
    </w:p>
    <w:p>
      <w:pPr>
        <w:spacing w:after="0" w:line="27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U.S. BANK NATIONAL ASSOCIATION, as Collateral Agent</w:t>
      </w:r>
    </w:p>
    <w:p>
      <w:pPr>
        <w:spacing w:after="0" w:line="200" w:lineRule="exact"/>
        <w:rPr>
          <w:sz w:val="20"/>
          <w:szCs w:val="20"/>
          <w:color w:val="auto"/>
        </w:rPr>
      </w:pPr>
    </w:p>
    <w:p>
      <w:pPr>
        <w:spacing w:after="0" w:line="299" w:lineRule="exact"/>
        <w:rPr>
          <w:sz w:val="20"/>
          <w:szCs w:val="20"/>
          <w:color w:val="auto"/>
        </w:rPr>
      </w:pPr>
    </w:p>
    <w:p>
      <w:pPr>
        <w:ind w:left="2120"/>
        <w:spacing w:after="0"/>
        <w:tabs>
          <w:tab w:leader="none" w:pos="2600" w:val="left"/>
        </w:tabs>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color w:val="4F4F4F"/>
        </w:rPr>
        <w:t>:</w:t>
      </w:r>
      <w:r>
        <w:rPr>
          <w:sz w:val="20"/>
          <w:szCs w:val="20"/>
          <w:color w:val="auto"/>
        </w:rPr>
        <w:tab/>
      </w:r>
      <w:r>
        <w:rPr>
          <w:rFonts w:ascii="Times New Roman" w:cs="Times New Roman" w:eastAsia="Times New Roman" w:hAnsi="Times New Roman"/>
          <w:sz w:val="19"/>
          <w:szCs w:val="19"/>
          <w:u w:val="single" w:color="auto"/>
          <w:color w:val="4F4F4F"/>
        </w:rPr>
        <w:t xml:space="preserve">/s/ </w:t>
      </w:r>
      <w:r>
        <w:rPr>
          <w:rFonts w:ascii="Times New Roman" w:cs="Times New Roman" w:eastAsia="Times New Roman" w:hAnsi="Times New Roman"/>
          <w:sz w:val="19"/>
          <w:szCs w:val="19"/>
          <w:u w:val="single" w:color="auto"/>
          <w:color w:val="000000"/>
        </w:rPr>
        <w:t>Laurel Casasanta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2670175</wp:posOffset>
            </wp:positionH>
            <wp:positionV relativeFrom="paragraph">
              <wp:posOffset>-10795</wp:posOffset>
            </wp:positionV>
            <wp:extent cx="1257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 w:lineRule="exact"/>
        <w:rPr>
          <w:sz w:val="20"/>
          <w:szCs w:val="20"/>
          <w:color w:val="auto"/>
        </w:rPr>
      </w:pPr>
    </w:p>
    <w:p>
      <w:pPr>
        <w:ind w:left="2320"/>
        <w:spacing w:after="0"/>
        <w:tabs>
          <w:tab w:leader="none" w:pos="3080" w:val="left"/>
        </w:tabs>
        <w:rPr>
          <w:sz w:val="20"/>
          <w:szCs w:val="20"/>
          <w:color w:val="auto"/>
        </w:rPr>
      </w:pPr>
      <w:r>
        <w:rPr>
          <w:rFonts w:ascii="Times New Roman" w:cs="Times New Roman" w:eastAsia="Times New Roman" w:hAnsi="Times New Roman"/>
          <w:sz w:val="20"/>
          <w:szCs w:val="20"/>
          <w:color w:val="auto"/>
        </w:rPr>
        <w:t>Name:</w:t>
        <w:tab/>
        <w:t>Laurel Casasanta</w:t>
      </w:r>
    </w:p>
    <w:p>
      <w:pPr>
        <w:spacing w:after="0" w:line="6" w:lineRule="exact"/>
        <w:rPr>
          <w:sz w:val="20"/>
          <w:szCs w:val="20"/>
          <w:color w:val="auto"/>
        </w:rPr>
      </w:pPr>
    </w:p>
    <w:p>
      <w:pPr>
        <w:ind w:left="2320"/>
        <w:spacing w:after="0"/>
        <w:tabs>
          <w:tab w:leader="none" w:pos="2960" w:val="left"/>
        </w:tabs>
        <w:rPr>
          <w:sz w:val="20"/>
          <w:szCs w:val="20"/>
          <w:color w:val="auto"/>
        </w:rPr>
      </w:pPr>
      <w:r>
        <w:rPr>
          <w:rFonts w:ascii="Times New Roman" w:cs="Times New Roman" w:eastAsia="Times New Roman" w:hAnsi="Times New Roman"/>
          <w:sz w:val="20"/>
          <w:szCs w:val="20"/>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Supplemental Indenture – CEI 6.500% Senior Secured Notes 2032</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13" w:right="1440"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FIRST AMENDMENT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TO THE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AMENDED AND RESTATED EXECUTIVE EMPLOYMENT AGREEMENT</w:t>
      </w:r>
    </w:p>
    <w:p>
      <w:pPr>
        <w:spacing w:after="0" w:line="237" w:lineRule="exact"/>
        <w:rPr>
          <w:sz w:val="20"/>
          <w:szCs w:val="20"/>
          <w:color w:val="auto"/>
        </w:rPr>
      </w:pPr>
    </w:p>
    <w:p>
      <w:pPr>
        <w:jc w:val="both"/>
        <w:ind w:right="20" w:firstLine="648"/>
        <w:spacing w:after="0" w:line="276" w:lineRule="auto"/>
        <w:rPr>
          <w:sz w:val="20"/>
          <w:szCs w:val="20"/>
          <w:color w:val="auto"/>
        </w:rPr>
      </w:pPr>
      <w:r>
        <w:rPr>
          <w:rFonts w:ascii="Times New Roman" w:cs="Times New Roman" w:eastAsia="Times New Roman" w:hAnsi="Times New Roman"/>
          <w:sz w:val="22"/>
          <w:szCs w:val="22"/>
          <w:color w:val="auto"/>
        </w:rPr>
        <w:t>This First Amendment to the Amended and Restated Executive Employment Agreement (the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entered into as of January 26,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Caesars Enterprise Services, LLC, a Delaware limited liability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Bret Yunker</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3" w:lineRule="exact"/>
        <w:rPr>
          <w:sz w:val="20"/>
          <w:szCs w:val="20"/>
          <w:color w:val="auto"/>
        </w:rPr>
      </w:pPr>
    </w:p>
    <w:p>
      <w:pPr>
        <w:jc w:val="both"/>
        <w:ind w:right="20" w:firstLine="648"/>
        <w:spacing w:after="0" w:line="27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Executive and the Company desire to amend the Amended and Restated Executive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by and between Executive and the Company, dated as of August 10, 2022 (the “</w:t>
      </w:r>
      <w:r>
        <w:rPr>
          <w:rFonts w:ascii="Times New Roman" w:cs="Times New Roman" w:eastAsia="Times New Roman" w:hAnsi="Times New Roman"/>
          <w:sz w:val="22"/>
          <w:szCs w:val="22"/>
          <w:u w:val="single" w:color="auto"/>
          <w:color w:val="auto"/>
        </w:rPr>
        <w:t>2022 Agreement</w:t>
      </w:r>
      <w:r>
        <w:rPr>
          <w:rFonts w:ascii="Times New Roman" w:cs="Times New Roman" w:eastAsia="Times New Roman" w:hAnsi="Times New Roman"/>
          <w:sz w:val="22"/>
          <w:szCs w:val="22"/>
          <w:color w:val="auto"/>
        </w:rPr>
        <w:t>”), as provided for herein;</w:t>
      </w:r>
    </w:p>
    <w:p>
      <w:pPr>
        <w:spacing w:after="0" w:line="179"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capitalized terms used but not otherwise defined herein shall have the meanings assigned to such terms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2022 Agreement; and</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and exchange for the foregoing, the parties hereto hereby amend the 2022</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as follows, effective as of the date first written above: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The first sentence of Article 2 of the 2022 Agreement is hereby amended and restated in its entirety as follows:</w:t>
      </w:r>
    </w:p>
    <w:p>
      <w:pPr>
        <w:spacing w:after="0" w:line="287" w:lineRule="exact"/>
        <w:rPr>
          <w:sz w:val="20"/>
          <w:szCs w:val="20"/>
          <w:color w:val="auto"/>
        </w:rPr>
      </w:pPr>
    </w:p>
    <w:p>
      <w:pPr>
        <w:jc w:val="both"/>
        <w:ind w:left="660" w:right="640"/>
        <w:spacing w:after="0" w:line="262" w:lineRule="auto"/>
        <w:rPr>
          <w:sz w:val="20"/>
          <w:szCs w:val="20"/>
          <w:color w:val="auto"/>
        </w:rPr>
      </w:pPr>
      <w:r>
        <w:rPr>
          <w:rFonts w:ascii="Times New Roman" w:cs="Times New Roman" w:eastAsia="Times New Roman" w:hAnsi="Times New Roman"/>
          <w:sz w:val="22"/>
          <w:szCs w:val="22"/>
          <w:color w:val="auto"/>
        </w:rPr>
        <w:t>The Term of Employment shall begin on the Effective Date, and shall extend until January 1, 2027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with automatic one (1) year renewals (each a “</w:t>
      </w:r>
      <w:r>
        <w:rPr>
          <w:rFonts w:ascii="Times New Roman" w:cs="Times New Roman" w:eastAsia="Times New Roman" w:hAnsi="Times New Roman"/>
          <w:sz w:val="22"/>
          <w:szCs w:val="22"/>
          <w:u w:val="single" w:color="auto"/>
          <w:color w:val="auto"/>
        </w:rPr>
        <w:t>Renewal Term</w:t>
      </w:r>
      <w:r>
        <w:rPr>
          <w:rFonts w:ascii="Times New Roman" w:cs="Times New Roman" w:eastAsia="Times New Roman" w:hAnsi="Times New Roman"/>
          <w:sz w:val="22"/>
          <w:szCs w:val="22"/>
          <w:color w:val="auto"/>
        </w:rPr>
        <w:t>”) upon the expiration of the Term or the current Renewal Term, as applicable, unless either Party notifies the other at least three (3) months before the scheduled expiration date of the Term or Renewal Term, as applicable, that this Agreement is not to renew; provided that in the event of a Change in Control the Term or then current Renewal Term shall automatically be extended an additional two (2) years from the date of consummation of such Change in Control (and such two (2) year extension period shall be a “Renewal Term” for purposes of this Agreement.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  The first sentence of Article 4 of the 2022 Agreement is hereby amended and restated in its entirety as follows:</w:t>
      </w:r>
    </w:p>
    <w:p>
      <w:pPr>
        <w:spacing w:after="0" w:line="301" w:lineRule="exact"/>
        <w:rPr>
          <w:sz w:val="20"/>
          <w:szCs w:val="20"/>
          <w:color w:val="auto"/>
        </w:rPr>
      </w:pPr>
    </w:p>
    <w:p>
      <w:pPr>
        <w:jc w:val="both"/>
        <w:ind w:left="660" w:right="660"/>
        <w:spacing w:after="0" w:line="270" w:lineRule="auto"/>
        <w:rPr>
          <w:sz w:val="20"/>
          <w:szCs w:val="20"/>
          <w:color w:val="auto"/>
        </w:rPr>
      </w:pPr>
      <w:r>
        <w:rPr>
          <w:rFonts w:ascii="Times New Roman" w:cs="Times New Roman" w:eastAsia="Times New Roman" w:hAnsi="Times New Roman"/>
          <w:sz w:val="22"/>
          <w:szCs w:val="22"/>
          <w:color w:val="auto"/>
        </w:rPr>
        <w:t>Effective as of January 1, 2024, the Executive shall be paid an annualized Base Salary, payable in accordance with the regular payroll practices of the Company, of not less than one million two hundred thousand dollars ($1,200,000).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  Article 9 of the 2022 Agreement is hereby amended and restated in its entirety as follows:</w:t>
      </w:r>
    </w:p>
    <w:p>
      <w:pPr>
        <w:sectPr>
          <w:pgSz w:w="11900" w:h="16838" w:orient="portrait"/>
          <w:cols w:equalWidth="0" w:num="1">
            <w:col w:w="11240"/>
          </w:cols>
          <w:pgMar w:left="320" w:top="86" w:right="339" w:bottom="1440" w:gutter="0" w:footer="0" w:header="0"/>
        </w:sectPr>
      </w:pPr>
    </w:p>
    <w:bookmarkStart w:id="53" w:name="page54"/>
    <w:bookmarkEnd w:id="53"/>
    <w:p>
      <w:pPr>
        <w:spacing w:after="0" w:line="225" w:lineRule="exact"/>
        <w:rPr>
          <w:sz w:val="20"/>
          <w:szCs w:val="20"/>
          <w:color w:val="auto"/>
        </w:rPr>
      </w:pPr>
    </w:p>
    <w:p>
      <w:pPr>
        <w:jc w:val="both"/>
        <w:ind w:left="660" w:right="640" w:hanging="4"/>
        <w:spacing w:after="0" w:line="262" w:lineRule="auto"/>
        <w:tabs>
          <w:tab w:leader="none" w:pos="130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the Prior Agreement, the Executive received a one-time special signing bonus in an amount equal to one million five hundred thousand dollars ($1,500,000) (the “</w:t>
      </w:r>
      <w:r>
        <w:rPr>
          <w:rFonts w:ascii="Times New Roman" w:cs="Times New Roman" w:eastAsia="Times New Roman" w:hAnsi="Times New Roman"/>
          <w:sz w:val="22"/>
          <w:szCs w:val="22"/>
          <w:u w:val="single" w:color="auto"/>
          <w:color w:val="auto"/>
        </w:rPr>
        <w:t>Signing Bonus</w:t>
      </w:r>
      <w:r>
        <w:rPr>
          <w:rFonts w:ascii="Times New Roman" w:cs="Times New Roman" w:eastAsia="Times New Roman" w:hAnsi="Times New Roman"/>
          <w:sz w:val="22"/>
          <w:szCs w:val="22"/>
          <w:color w:val="auto"/>
        </w:rPr>
        <w:t>”). If Executive’s employment with the Company terminates due to Executive’s resignation without Good Reason or by the Company for Cause, prior to January 1, 2025, the Executive agrees to repay a pro rata portion of the Signing Bonus to the Company, which shall be calculated based on the number of full calendar months remaining from the Date of Termination until January 1, 2025, divided by thirty-six (36) months (without reduction for any federal, state or local income and employment tax liability paid by the Executive).</w:t>
      </w:r>
    </w:p>
    <w:p>
      <w:pPr>
        <w:spacing w:after="0" w:line="213" w:lineRule="exact"/>
        <w:rPr>
          <w:rFonts w:ascii="Times New Roman" w:cs="Times New Roman" w:eastAsia="Times New Roman" w:hAnsi="Times New Roman"/>
          <w:sz w:val="22"/>
          <w:szCs w:val="22"/>
          <w:color w:val="auto"/>
        </w:rPr>
      </w:pPr>
    </w:p>
    <w:p>
      <w:pPr>
        <w:jc w:val="both"/>
        <w:ind w:left="660" w:right="660" w:hanging="4"/>
        <w:spacing w:after="0" w:line="264" w:lineRule="auto"/>
        <w:tabs>
          <w:tab w:leader="none" w:pos="1303"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approval of the Compensation Committee, the Executive will be granted a one-time sign-on award of 57,754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The RSUs will vest in equal one-third (1/3) installments on each of the first three (3) anniversaries of January 1, 2024 (i.e., January 1, 2025, January 1, 2026, and January 1, 2027), subject to the Executive’s continued service on each applicable vesting date. The sign-on RSU award will be subject to the terms, conditions and restrictions specified in the Parent’s Amended &amp; Restated 2015 Equity Incentive Plan (as the same may be amended from time to time) and award agreement.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Article 31 of the 2022 Agreement is hereby amended and restated in its entirety as follows:</w:t>
      </w:r>
    </w:p>
    <w:p>
      <w:pPr>
        <w:spacing w:after="0" w:line="260" w:lineRule="exact"/>
        <w:rPr>
          <w:sz w:val="20"/>
          <w:szCs w:val="20"/>
          <w:color w:val="auto"/>
        </w:rPr>
      </w:pPr>
    </w:p>
    <w:p>
      <w:pPr>
        <w:jc w:val="both"/>
        <w:ind w:left="660" w:right="640"/>
        <w:spacing w:after="0" w:line="275" w:lineRule="auto"/>
        <w:rPr>
          <w:sz w:val="20"/>
          <w:szCs w:val="20"/>
          <w:color w:val="auto"/>
        </w:rPr>
      </w:pPr>
      <w:r>
        <w:rPr>
          <w:rFonts w:ascii="Times New Roman" w:cs="Times New Roman" w:eastAsia="Times New Roman" w:hAnsi="Times New Roman"/>
          <w:sz w:val="21"/>
          <w:szCs w:val="21"/>
          <w:color w:val="auto"/>
        </w:rPr>
        <w:t>Notwithstanding any other provisions in this Agreement to the contrary, any incentive-based compensation, or any other compensation paid to the Executive pursuant to this Agreement or any other agreement or arrangement with the Parent, or any of its Subsidiaries or affiliates (including the Company), is subject to the Parent’s Policy for Recovery of Erroneously Awarded Compensation, effective as of December 1, 2023 (the “</w:t>
      </w:r>
      <w:r>
        <w:rPr>
          <w:rFonts w:ascii="Times New Roman" w:cs="Times New Roman" w:eastAsia="Times New Roman" w:hAnsi="Times New Roman"/>
          <w:sz w:val="21"/>
          <w:szCs w:val="21"/>
          <w:u w:val="single" w:color="auto"/>
          <w:color w:val="auto"/>
        </w:rPr>
        <w:t>Clawback Policy</w:t>
      </w:r>
      <w:r>
        <w:rPr>
          <w:rFonts w:ascii="Times New Roman" w:cs="Times New Roman" w:eastAsia="Times New Roman" w:hAnsi="Times New Roman"/>
          <w:sz w:val="21"/>
          <w:szCs w:val="21"/>
          <w:color w:val="auto"/>
        </w:rPr>
        <w:t>”), and any amendments thereto (or any other policy adopted by the Parent or any of its Subsidiaries or affiliates (including the Company) pursuant to any such law, government regulation or stock exchange listing requirement). Executive acknowledges and agrees that Executive has no right to indemnification, insurance payments or other reimbursement by or from the Parent or any of its Subsidiaries or affiliates (including the Company) for any compensation that is subject to recoupment and/or forfeiture under the Clawback Policy.</w:t>
      </w:r>
    </w:p>
    <w:p>
      <w:pPr>
        <w:spacing w:after="0" w:line="210"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expressly amended by this Amendment, all of the terms of the 2022 Agreement shall remain in full force and effect.</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08" w:lineRule="exact"/>
        <w:rPr>
          <w:rFonts w:ascii="Times New Roman" w:cs="Times New Roman" w:eastAsia="Times New Roman" w:hAnsi="Times New Roman"/>
          <w:sz w:val="21"/>
          <w:szCs w:val="21"/>
          <w:color w:val="auto"/>
        </w:rPr>
      </w:pPr>
    </w:p>
    <w:p>
      <w:pPr>
        <w:ind w:left="55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54" w:name="page55"/>
    <w:bookmarkEnd w:id="54"/>
    <w:p>
      <w:pPr>
        <w:spacing w:after="0" w:line="9" w:lineRule="exact"/>
        <w:rPr>
          <w:sz w:val="20"/>
          <w:szCs w:val="20"/>
          <w:color w:val="auto"/>
        </w:rPr>
      </w:pPr>
    </w:p>
    <w:p>
      <w:pPr>
        <w:ind w:left="332" w:hanging="332"/>
        <w:spacing w:after="0" w:line="335" w:lineRule="auto"/>
        <w:tabs>
          <w:tab w:leader="none" w:pos="33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any number of counterparts, each of which shall be considered an original instrument, but all such counterparts shall together constitute one and the same agreement.</w:t>
      </w:r>
    </w:p>
    <w:p>
      <w:pPr>
        <w:spacing w:after="0" w:line="200" w:lineRule="exact"/>
        <w:rPr>
          <w:sz w:val="20"/>
          <w:szCs w:val="20"/>
          <w:color w:val="auto"/>
        </w:rPr>
      </w:pPr>
    </w:p>
    <w:p>
      <w:pPr>
        <w:spacing w:after="0" w:line="20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32"/>
          </w:cols>
          <w:pgMar w:left="328" w:top="1440" w:right="339" w:bottom="1440" w:gutter="0" w:footer="0" w:header="0"/>
        </w:sectPr>
      </w:pPr>
    </w:p>
    <w:bookmarkStart w:id="55" w:name="page56"/>
    <w:bookmarkEnd w:id="55"/>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Amendment on the date and year first above written.</w:t>
      </w:r>
    </w:p>
    <w:p>
      <w:pPr>
        <w:sectPr>
          <w:pgSz w:w="11900" w:h="16838" w:orient="portrait"/>
          <w:cols w:equalWidth="0" w:num="1">
            <w:col w:w="10320"/>
          </w:cols>
          <w:pgMar w:left="320" w:top="1440" w:right="1259" w:bottom="1440" w:gutter="0" w:footer="0" w:header="0"/>
        </w:sectPr>
      </w:pPr>
    </w:p>
    <w:p>
      <w:pPr>
        <w:spacing w:after="0" w:line="27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Caesars Enterprise Services, LLC</w:t>
      </w:r>
    </w:p>
    <w:p>
      <w:pPr>
        <w:spacing w:after="0" w:line="332" w:lineRule="exact"/>
        <w:rPr>
          <w:sz w:val="20"/>
          <w:szCs w:val="20"/>
          <w:color w:val="auto"/>
        </w:rPr>
      </w:pPr>
    </w:p>
    <w:tbl>
      <w:tblPr>
        <w:tblLayout w:type="fixed"/>
        <w:tblInd w:w="4380" w:type="dxa"/>
        <w:tblCellMar>
          <w:top w:w="0" w:type="dxa"/>
          <w:left w:w="0" w:type="dxa"/>
          <w:bottom w:w="0" w:type="dxa"/>
          <w:right w:w="0" w:type="dxa"/>
        </w:tblCellMar>
      </w:tblP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Thomas R. Reeg</w:t>
            </w:r>
          </w:p>
        </w:tc>
      </w:tr>
      <w:tr>
        <w:trPr>
          <w:trHeight w:val="251"/>
        </w:trPr>
        <w:tc>
          <w:tcPr>
            <w:tcW w:w="8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2580" w:type="dxa"/>
            <w:vAlign w:val="bottom"/>
          </w:tcPr>
          <w:p>
            <w:pPr>
              <w:ind w:left="60"/>
              <w:spacing w:after="0" w:line="251" w:lineRule="exact"/>
              <w:rPr>
                <w:sz w:val="20"/>
                <w:szCs w:val="20"/>
                <w:color w:val="auto"/>
              </w:rPr>
            </w:pPr>
            <w:r>
              <w:rPr>
                <w:rFonts w:ascii="Times New Roman" w:cs="Times New Roman" w:eastAsia="Times New Roman" w:hAnsi="Times New Roman"/>
                <w:sz w:val="22"/>
                <w:szCs w:val="22"/>
                <w:color w:val="auto"/>
              </w:rPr>
              <w:t>Thomas R. Reeg</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25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Chief Executive Officer</w:t>
            </w:r>
          </w:p>
        </w:tc>
      </w:tr>
    </w:tbl>
    <w:p>
      <w:pPr>
        <w:spacing w:after="0" w:line="9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3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/s/ Bret Yunker</w:t>
      </w:r>
    </w:p>
    <w:p>
      <w:pPr>
        <w:spacing w:after="0" w:line="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Name: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-160020</wp:posOffset>
            </wp:positionV>
            <wp:extent cx="22028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320"/>
          </w:cols>
          <w:pgMar w:left="320" w:top="1440" w:right="1259" w:bottom="1440" w:gutter="0" w:footer="0" w:header="0"/>
          <w:type w:val="continuous"/>
        </w:sectPr>
      </w:pPr>
    </w:p>
    <w:bookmarkStart w:id="56" w:name="page57"/>
    <w:bookmarkEnd w:id="56"/>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FIRST AMENDMENT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TO THE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AMENDED AND RESTATED EXECUTIVE EMPLOYMENT AGREEMENT</w:t>
      </w:r>
    </w:p>
    <w:p>
      <w:pPr>
        <w:spacing w:after="0" w:line="237" w:lineRule="exact"/>
        <w:rPr>
          <w:sz w:val="20"/>
          <w:szCs w:val="20"/>
          <w:color w:val="auto"/>
        </w:rPr>
      </w:pPr>
    </w:p>
    <w:p>
      <w:pPr>
        <w:jc w:val="both"/>
        <w:ind w:right="20" w:firstLine="648"/>
        <w:spacing w:after="0" w:line="276" w:lineRule="auto"/>
        <w:rPr>
          <w:sz w:val="20"/>
          <w:szCs w:val="20"/>
          <w:color w:val="auto"/>
        </w:rPr>
      </w:pPr>
      <w:r>
        <w:rPr>
          <w:rFonts w:ascii="Times New Roman" w:cs="Times New Roman" w:eastAsia="Times New Roman" w:hAnsi="Times New Roman"/>
          <w:sz w:val="22"/>
          <w:szCs w:val="22"/>
          <w:color w:val="auto"/>
        </w:rPr>
        <w:t>This First Amendment to the Amended and Restated Executive Employment Agreement (the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entered into as of January 26,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Caesars Enterprise Services, LLC, a Delaware limited liability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Stephanie Lepori</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3" w:lineRule="exact"/>
        <w:rPr>
          <w:sz w:val="20"/>
          <w:szCs w:val="20"/>
          <w:color w:val="auto"/>
        </w:rPr>
      </w:pPr>
    </w:p>
    <w:p>
      <w:pPr>
        <w:jc w:val="both"/>
        <w:ind w:right="20" w:firstLine="648"/>
        <w:spacing w:after="0" w:line="27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Executive and the Company desire to amend the Amended and Restated Executive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by and between Executive and the Company, dated as of August 10, 2022 (the “</w:t>
      </w:r>
      <w:r>
        <w:rPr>
          <w:rFonts w:ascii="Times New Roman" w:cs="Times New Roman" w:eastAsia="Times New Roman" w:hAnsi="Times New Roman"/>
          <w:sz w:val="22"/>
          <w:szCs w:val="22"/>
          <w:u w:val="single" w:color="auto"/>
          <w:color w:val="auto"/>
        </w:rPr>
        <w:t>2022 Agreement</w:t>
      </w:r>
      <w:r>
        <w:rPr>
          <w:rFonts w:ascii="Times New Roman" w:cs="Times New Roman" w:eastAsia="Times New Roman" w:hAnsi="Times New Roman"/>
          <w:sz w:val="22"/>
          <w:szCs w:val="22"/>
          <w:color w:val="auto"/>
        </w:rPr>
        <w:t>”), as provided for herein;</w:t>
      </w:r>
    </w:p>
    <w:p>
      <w:pPr>
        <w:spacing w:after="0" w:line="179"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capitalized terms used but not otherwise defined herein shall have the meanings assigned to such terms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2022 Agreement; and</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and exchange for the foregoing, the parties hereto hereby amend the 2022</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as follows, effective as of the date first written above: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The first sentence of Article 2 of the 2022 Agreement is hereby amended and restated in its entirety as follows:</w:t>
      </w:r>
    </w:p>
    <w:p>
      <w:pPr>
        <w:spacing w:after="0" w:line="287" w:lineRule="exact"/>
        <w:rPr>
          <w:sz w:val="20"/>
          <w:szCs w:val="20"/>
          <w:color w:val="auto"/>
        </w:rPr>
      </w:pPr>
    </w:p>
    <w:p>
      <w:pPr>
        <w:jc w:val="both"/>
        <w:ind w:left="660" w:right="640"/>
        <w:spacing w:after="0" w:line="262" w:lineRule="auto"/>
        <w:rPr>
          <w:sz w:val="20"/>
          <w:szCs w:val="20"/>
          <w:color w:val="auto"/>
        </w:rPr>
      </w:pPr>
      <w:r>
        <w:rPr>
          <w:rFonts w:ascii="Times New Roman" w:cs="Times New Roman" w:eastAsia="Times New Roman" w:hAnsi="Times New Roman"/>
          <w:sz w:val="22"/>
          <w:szCs w:val="22"/>
          <w:color w:val="auto"/>
        </w:rPr>
        <w:t>The Term of Employment shall begin on the Effective Date, and shall extend until January 1, 2027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with automatic one (1) year renewals (each a “</w:t>
      </w:r>
      <w:r>
        <w:rPr>
          <w:rFonts w:ascii="Times New Roman" w:cs="Times New Roman" w:eastAsia="Times New Roman" w:hAnsi="Times New Roman"/>
          <w:sz w:val="22"/>
          <w:szCs w:val="22"/>
          <w:u w:val="single" w:color="auto"/>
          <w:color w:val="auto"/>
        </w:rPr>
        <w:t>Renewal Term</w:t>
      </w:r>
      <w:r>
        <w:rPr>
          <w:rFonts w:ascii="Times New Roman" w:cs="Times New Roman" w:eastAsia="Times New Roman" w:hAnsi="Times New Roman"/>
          <w:sz w:val="22"/>
          <w:szCs w:val="22"/>
          <w:color w:val="auto"/>
        </w:rPr>
        <w:t>”) upon the expiration of the Term or the current Renewal Term, as applicable, unless either Party notifies the other at least three (3) months before the scheduled expiration date of the Term or Renewal Term, as applicable, that this Agreement is not to renew; provided that in the event of a Change in Control the Term or then current Renewal Term shall automatically be extended an additional two (2) years from the date of consummation of such Change in Control (and such two (2) year extension period shall be a “Renewal Term” for purposes of this Agreement.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  The first sentence of Article 4 of the 2022 Agreement is hereby amended and restated in its entirety as follows:</w:t>
      </w:r>
    </w:p>
    <w:p>
      <w:pPr>
        <w:spacing w:after="0" w:line="301" w:lineRule="exact"/>
        <w:rPr>
          <w:sz w:val="20"/>
          <w:szCs w:val="20"/>
          <w:color w:val="auto"/>
        </w:rPr>
      </w:pPr>
    </w:p>
    <w:p>
      <w:pPr>
        <w:jc w:val="both"/>
        <w:ind w:left="660" w:right="660"/>
        <w:spacing w:after="0" w:line="270" w:lineRule="auto"/>
        <w:rPr>
          <w:sz w:val="20"/>
          <w:szCs w:val="20"/>
          <w:color w:val="auto"/>
        </w:rPr>
      </w:pPr>
      <w:r>
        <w:rPr>
          <w:rFonts w:ascii="Times New Roman" w:cs="Times New Roman" w:eastAsia="Times New Roman" w:hAnsi="Times New Roman"/>
          <w:sz w:val="22"/>
          <w:szCs w:val="22"/>
          <w:color w:val="auto"/>
        </w:rPr>
        <w:t>Effective as of January 1, 2024, the Executive shall be paid an annualized Base Salary, payable in accordance with the regular payroll practices of the Company, of not less than seven hundred twenty-five thousand dollars ($725,000).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  Article 6 of the 2022 Agreement is hereby amended and restated in its entirety as follows:</w:t>
      </w:r>
    </w:p>
    <w:p>
      <w:pPr>
        <w:sectPr>
          <w:pgSz w:w="11900" w:h="16838" w:orient="portrait"/>
          <w:cols w:equalWidth="0" w:num="1">
            <w:col w:w="11240"/>
          </w:cols>
          <w:pgMar w:left="320" w:top="86" w:right="339" w:bottom="1440" w:gutter="0" w:footer="0" w:header="0"/>
        </w:sectPr>
      </w:pPr>
    </w:p>
    <w:bookmarkStart w:id="57" w:name="page58"/>
    <w:bookmarkEnd w:id="57"/>
    <w:p>
      <w:pPr>
        <w:spacing w:after="0" w:line="225"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22"/>
          <w:szCs w:val="22"/>
          <w:color w:val="auto"/>
        </w:rPr>
        <w:t>The Executive shall be eligible to participate in the Parent’s long-term incentive plan on terms commensurate with her position and duties, as determined by the Compensation Committee in its discretion. Program design, including but not limited to performance measures and weighting shall be determined by the Compensation Committee in its discretion. Effective as of January 1, 2024, the Executive’s target annual long-term incentive award opportunity will be equal to two hundred fifty percent (250%) of the Executive’s Base Salary.</w:t>
      </w:r>
    </w:p>
    <w:p>
      <w:pPr>
        <w:spacing w:after="0" w:line="205" w:lineRule="exact"/>
        <w:rPr>
          <w:sz w:val="20"/>
          <w:szCs w:val="20"/>
          <w:color w:val="auto"/>
        </w:rPr>
      </w:pPr>
    </w:p>
    <w:p>
      <w:pPr>
        <w:ind w:left="332" w:hanging="332"/>
        <w:spacing w:after="0"/>
        <w:tabs>
          <w:tab w:leader="none" w:pos="33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Article 9 of the 2022 Agreement is hereby amended and restated in its entirety as follows:</w:t>
      </w:r>
    </w:p>
    <w:p>
      <w:pPr>
        <w:spacing w:after="0" w:line="287" w:lineRule="exact"/>
        <w:rPr>
          <w:rFonts w:ascii="Times New Roman" w:cs="Times New Roman" w:eastAsia="Times New Roman" w:hAnsi="Times New Roman"/>
          <w:sz w:val="22"/>
          <w:szCs w:val="22"/>
          <w:color w:val="auto"/>
        </w:rPr>
      </w:pPr>
    </w:p>
    <w:p>
      <w:pPr>
        <w:jc w:val="both"/>
        <w:ind w:left="652" w:right="20" w:hanging="4"/>
        <w:spacing w:after="0" w:line="262" w:lineRule="auto"/>
        <w:tabs>
          <w:tab w:leader="none" w:pos="1297"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the Prior Agreement, the Executive received a one-time special signing bonus in an amount equal to one million dollars ($1,000,000) (the “</w:t>
      </w:r>
      <w:r>
        <w:rPr>
          <w:rFonts w:ascii="Times New Roman" w:cs="Times New Roman" w:eastAsia="Times New Roman" w:hAnsi="Times New Roman"/>
          <w:sz w:val="22"/>
          <w:szCs w:val="22"/>
          <w:u w:val="single" w:color="auto"/>
          <w:color w:val="auto"/>
        </w:rPr>
        <w:t>Signing Bonus</w:t>
      </w:r>
      <w:r>
        <w:rPr>
          <w:rFonts w:ascii="Times New Roman" w:cs="Times New Roman" w:eastAsia="Times New Roman" w:hAnsi="Times New Roman"/>
          <w:sz w:val="22"/>
          <w:szCs w:val="22"/>
          <w:color w:val="auto"/>
        </w:rPr>
        <w:t>”). If Executive’s employment with the Company terminates due to Executive’s resignation without Good Reason or by the Company for Cause, prior to January 1, 2025, the Executive agrees to repay a pro rata portion of the Signing Bonus to the Company, which shall be calculated based on the number of full calendar months remaining from the Date of Termination until January 1, 2025, divided by thirty-six (36) months (without reduction for any federal, state or local income and employment tax liability paid by the Executive).</w:t>
      </w:r>
    </w:p>
    <w:p>
      <w:pPr>
        <w:spacing w:after="0" w:line="213" w:lineRule="exact"/>
        <w:rPr>
          <w:rFonts w:ascii="Times New Roman" w:cs="Times New Roman" w:eastAsia="Times New Roman" w:hAnsi="Times New Roman"/>
          <w:sz w:val="22"/>
          <w:szCs w:val="22"/>
          <w:color w:val="auto"/>
        </w:rPr>
      </w:pPr>
    </w:p>
    <w:p>
      <w:pPr>
        <w:jc w:val="both"/>
        <w:ind w:left="652" w:right="20" w:hanging="4"/>
        <w:spacing w:after="0" w:line="264" w:lineRule="auto"/>
        <w:tabs>
          <w:tab w:leader="none" w:pos="1295"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approval of the Compensation Committee, the Executive will be granted a one-time sign-on award of 14,750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The RSUs will vest in equal one-third (1/3) installments on each of the first three (3) anniversaries of January 1, 2024 (i.e., January 1, 2025, January 1, 2026, and January 1, 2027), subject to the Executive’s continued service on each applicable vesting date. The sign-on RSU award will be subject to the terms, conditions and restrictions specified in the Parent’s Amended &amp; Restated 2015 Equity Incentive Plan (as the same may be amended from time to time) and award agreement.</w:t>
      </w:r>
    </w:p>
    <w:p>
      <w:pPr>
        <w:spacing w:after="0" w:line="233" w:lineRule="exact"/>
        <w:rPr>
          <w:rFonts w:ascii="Times New Roman" w:cs="Times New Roman" w:eastAsia="Times New Roman" w:hAnsi="Times New Roman"/>
          <w:sz w:val="22"/>
          <w:szCs w:val="22"/>
          <w:color w:val="auto"/>
        </w:rPr>
      </w:pPr>
    </w:p>
    <w:p>
      <w:pPr>
        <w:ind w:left="332" w:hanging="332"/>
        <w:spacing w:after="0"/>
        <w:tabs>
          <w:tab w:leader="none" w:pos="33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Article 31 of the 2022 Agreement is hereby amended and restated in its entirety as follows:</w:t>
      </w:r>
    </w:p>
    <w:p>
      <w:pPr>
        <w:spacing w:after="0" w:line="260" w:lineRule="exact"/>
        <w:rPr>
          <w:sz w:val="20"/>
          <w:szCs w:val="20"/>
          <w:color w:val="auto"/>
        </w:rPr>
      </w:pPr>
    </w:p>
    <w:p>
      <w:pPr>
        <w:jc w:val="both"/>
        <w:ind w:left="652"/>
        <w:spacing w:after="0" w:line="277" w:lineRule="auto"/>
        <w:rPr>
          <w:sz w:val="20"/>
          <w:szCs w:val="20"/>
          <w:color w:val="auto"/>
        </w:rPr>
      </w:pPr>
      <w:r>
        <w:rPr>
          <w:rFonts w:ascii="Times New Roman" w:cs="Times New Roman" w:eastAsia="Times New Roman" w:hAnsi="Times New Roman"/>
          <w:sz w:val="21"/>
          <w:szCs w:val="21"/>
          <w:color w:val="auto"/>
        </w:rPr>
        <w:t>Notwithstanding any other provisions in this Agreement to the contrary, any incentive-based compensation, or any other compensation paid to the Executive pursuant to this Agreement or any other agreement or arrangement with the Parent, or any of its Subsidiaries or affiliates (including the Company), is subject to the Parent’s Policy for Recovery of Erroneously Awarded Compensation, effective as of December 1, 2023 (the “</w:t>
      </w:r>
      <w:r>
        <w:rPr>
          <w:rFonts w:ascii="Times New Roman" w:cs="Times New Roman" w:eastAsia="Times New Roman" w:hAnsi="Times New Roman"/>
          <w:sz w:val="21"/>
          <w:szCs w:val="21"/>
          <w:u w:val="single" w:color="auto"/>
          <w:color w:val="auto"/>
        </w:rPr>
        <w:t>Clawback Policy</w:t>
      </w:r>
      <w:r>
        <w:rPr>
          <w:rFonts w:ascii="Times New Roman" w:cs="Times New Roman" w:eastAsia="Times New Roman" w:hAnsi="Times New Roman"/>
          <w:sz w:val="21"/>
          <w:szCs w:val="21"/>
          <w:color w:val="auto"/>
        </w:rPr>
        <w:t>”), and any amendments thereto (or any other policy adopted by the Parent or any of its Subsidiaries or affiliates (including the Company) pursuant to any such law, government regulation or stock exchange listing requirement). Executive acknowledges and agrees that Executive has no right to indemnification, insurance payments or other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572"/>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592"/>
          </w:cols>
          <w:pgMar w:left="328" w:top="1440" w:right="979" w:bottom="1440" w:gutter="0" w:footer="0" w:header="0"/>
        </w:sectPr>
      </w:pPr>
    </w:p>
    <w:bookmarkStart w:id="58" w:name="page59"/>
    <w:bookmarkEnd w:id="58"/>
    <w:p>
      <w:pPr>
        <w:spacing w:after="0" w:line="198" w:lineRule="exact"/>
        <w:rPr>
          <w:sz w:val="20"/>
          <w:szCs w:val="20"/>
          <w:color w:val="auto"/>
        </w:rPr>
      </w:pPr>
    </w:p>
    <w:p>
      <w:pPr>
        <w:ind w:left="660" w:right="660"/>
        <w:spacing w:after="0" w:line="284" w:lineRule="auto"/>
        <w:rPr>
          <w:sz w:val="20"/>
          <w:szCs w:val="20"/>
          <w:color w:val="auto"/>
        </w:rPr>
      </w:pPr>
      <w:r>
        <w:rPr>
          <w:rFonts w:ascii="Times New Roman" w:cs="Times New Roman" w:eastAsia="Times New Roman" w:hAnsi="Times New Roman"/>
          <w:sz w:val="22"/>
          <w:szCs w:val="22"/>
          <w:color w:val="auto"/>
        </w:rPr>
        <w:t>reimbursement by or from the Parent or any of its Subsidiaries or affiliates (including the Company) for any compensation that is subject to recoupment and/or forfeiture under the Clawback Policy.</w:t>
      </w:r>
    </w:p>
    <w:p>
      <w:pPr>
        <w:spacing w:after="0" w:line="184"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expressly amended by this Amendment, all of the terms of the 2022 Agreement shall remain in full force and effect.</w:t>
      </w:r>
    </w:p>
    <w:p>
      <w:pPr>
        <w:spacing w:after="0" w:line="325" w:lineRule="exact"/>
        <w:rPr>
          <w:rFonts w:ascii="Times New Roman" w:cs="Times New Roman" w:eastAsia="Times New Roman" w:hAnsi="Times New Roman"/>
          <w:sz w:val="21"/>
          <w:szCs w:val="21"/>
          <w:color w:val="auto"/>
        </w:rPr>
      </w:pPr>
    </w:p>
    <w:p>
      <w:pPr>
        <w:ind w:left="340" w:hanging="332"/>
        <w:spacing w:after="0" w:line="348" w:lineRule="auto"/>
        <w:tabs>
          <w:tab w:leader="none" w:pos="3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any number of counterparts, each of which shall be considered an original instrument, but all such counterparts shall together constitute one and the same agreement.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Amendment on the date and year first above written.</w:t>
      </w:r>
    </w:p>
    <w:p>
      <w:pPr>
        <w:sectPr>
          <w:pgSz w:w="11900" w:h="16838" w:orient="portrait"/>
          <w:cols w:equalWidth="0" w:num="1">
            <w:col w:w="10320"/>
          </w:cols>
          <w:pgMar w:left="320" w:top="1440" w:right="1259" w:bottom="1440" w:gutter="0" w:footer="0" w:header="0"/>
        </w:sectPr>
      </w:pPr>
    </w:p>
    <w:p>
      <w:pPr>
        <w:spacing w:after="0" w:line="27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Caesars Enterprise Services, LLC</w:t>
      </w:r>
    </w:p>
    <w:p>
      <w:pPr>
        <w:spacing w:after="0" w:line="332" w:lineRule="exact"/>
        <w:rPr>
          <w:sz w:val="20"/>
          <w:szCs w:val="20"/>
          <w:color w:val="auto"/>
        </w:rPr>
      </w:pPr>
    </w:p>
    <w:tbl>
      <w:tblPr>
        <w:tblLayout w:type="fixed"/>
        <w:tblInd w:w="4380" w:type="dxa"/>
        <w:tblCellMar>
          <w:top w:w="0" w:type="dxa"/>
          <w:left w:w="0" w:type="dxa"/>
          <w:bottom w:w="0" w:type="dxa"/>
          <w:right w:w="0" w:type="dxa"/>
        </w:tblCellMar>
      </w:tblP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Thomas R. Reeg</w:t>
            </w:r>
          </w:p>
        </w:tc>
      </w:tr>
      <w:tr>
        <w:trPr>
          <w:trHeight w:val="251"/>
        </w:trPr>
        <w:tc>
          <w:tcPr>
            <w:tcW w:w="8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2580" w:type="dxa"/>
            <w:vAlign w:val="bottom"/>
          </w:tcPr>
          <w:p>
            <w:pPr>
              <w:ind w:left="60"/>
              <w:spacing w:after="0" w:line="251" w:lineRule="exact"/>
              <w:rPr>
                <w:sz w:val="20"/>
                <w:szCs w:val="20"/>
                <w:color w:val="auto"/>
              </w:rPr>
            </w:pPr>
            <w:r>
              <w:rPr>
                <w:rFonts w:ascii="Times New Roman" w:cs="Times New Roman" w:eastAsia="Times New Roman" w:hAnsi="Times New Roman"/>
                <w:sz w:val="22"/>
                <w:szCs w:val="22"/>
                <w:color w:val="auto"/>
              </w:rPr>
              <w:t>Thomas R. Reeg</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25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Chief Executive Officer</w:t>
            </w:r>
          </w:p>
        </w:tc>
      </w:tr>
    </w:tbl>
    <w:p>
      <w:pPr>
        <w:spacing w:after="0" w:line="9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3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/s/ Stephanie D. Lepori</w:t>
      </w:r>
    </w:p>
    <w:p>
      <w:pPr>
        <w:spacing w:after="0" w:line="3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 Stephanie D. Lepori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-160020</wp:posOffset>
            </wp:positionV>
            <wp:extent cx="22028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320"/>
          </w:cols>
          <w:pgMar w:left="320" w:top="1440" w:right="1259" w:bottom="1440" w:gutter="0" w:footer="0" w:header="0"/>
          <w:type w:val="continuous"/>
        </w:sectPr>
      </w:pPr>
    </w:p>
    <w:bookmarkStart w:id="60" w:name="page61"/>
    <w:bookmarkEnd w:id="60"/>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FIRST AMENDMENT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TO THE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AMENDED AND RESTATED EXECUTIVE EMPLOYMENT AGREEMENT</w:t>
      </w:r>
    </w:p>
    <w:p>
      <w:pPr>
        <w:spacing w:after="0" w:line="237" w:lineRule="exact"/>
        <w:rPr>
          <w:sz w:val="20"/>
          <w:szCs w:val="20"/>
          <w:color w:val="auto"/>
        </w:rPr>
      </w:pPr>
    </w:p>
    <w:p>
      <w:pPr>
        <w:jc w:val="both"/>
        <w:ind w:right="20" w:firstLine="648"/>
        <w:spacing w:after="0" w:line="276" w:lineRule="auto"/>
        <w:rPr>
          <w:sz w:val="20"/>
          <w:szCs w:val="20"/>
          <w:color w:val="auto"/>
        </w:rPr>
      </w:pPr>
      <w:r>
        <w:rPr>
          <w:rFonts w:ascii="Times New Roman" w:cs="Times New Roman" w:eastAsia="Times New Roman" w:hAnsi="Times New Roman"/>
          <w:sz w:val="22"/>
          <w:szCs w:val="22"/>
          <w:color w:val="auto"/>
        </w:rPr>
        <w:t>This First Amendment to the Amended and Restated Executive Employment Agreement (the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entered into as of January 26,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Caesars Enterprise Services, LLC, a Delaware limited liability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Thomas R. Reeg</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3" w:lineRule="exact"/>
        <w:rPr>
          <w:sz w:val="20"/>
          <w:szCs w:val="20"/>
          <w:color w:val="auto"/>
        </w:rPr>
      </w:pPr>
    </w:p>
    <w:p>
      <w:pPr>
        <w:jc w:val="both"/>
        <w:ind w:right="20" w:firstLine="648"/>
        <w:spacing w:after="0" w:line="27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Executive and the Company desire to amend the Amended and Restated Executive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by and between Executive and the Company, dated as of August 10, 2022 (the “</w:t>
      </w:r>
      <w:r>
        <w:rPr>
          <w:rFonts w:ascii="Times New Roman" w:cs="Times New Roman" w:eastAsia="Times New Roman" w:hAnsi="Times New Roman"/>
          <w:sz w:val="22"/>
          <w:szCs w:val="22"/>
          <w:u w:val="single" w:color="auto"/>
          <w:color w:val="auto"/>
        </w:rPr>
        <w:t>2022 Agreement</w:t>
      </w:r>
      <w:r>
        <w:rPr>
          <w:rFonts w:ascii="Times New Roman" w:cs="Times New Roman" w:eastAsia="Times New Roman" w:hAnsi="Times New Roman"/>
          <w:sz w:val="22"/>
          <w:szCs w:val="22"/>
          <w:color w:val="auto"/>
        </w:rPr>
        <w:t>”), as provided for herein;</w:t>
      </w:r>
    </w:p>
    <w:p>
      <w:pPr>
        <w:spacing w:after="0" w:line="179"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capitalized terms used but not otherwise defined herein shall have the meanings assigned to such terms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2022 Agreement; and</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and exchange for the foregoing, the parties hereto hereby amend the 2022</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as follows, effective as of the date first written above: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The first sentence of Article 2 of the 2022 Agreement is hereby amended and restated in its entirety as follows:</w:t>
      </w:r>
    </w:p>
    <w:p>
      <w:pPr>
        <w:spacing w:after="0" w:line="287" w:lineRule="exact"/>
        <w:rPr>
          <w:sz w:val="20"/>
          <w:szCs w:val="20"/>
          <w:color w:val="auto"/>
        </w:rPr>
      </w:pPr>
    </w:p>
    <w:p>
      <w:pPr>
        <w:jc w:val="both"/>
        <w:ind w:left="660" w:right="640"/>
        <w:spacing w:after="0" w:line="262" w:lineRule="auto"/>
        <w:rPr>
          <w:sz w:val="20"/>
          <w:szCs w:val="20"/>
          <w:color w:val="auto"/>
        </w:rPr>
      </w:pPr>
      <w:r>
        <w:rPr>
          <w:rFonts w:ascii="Times New Roman" w:cs="Times New Roman" w:eastAsia="Times New Roman" w:hAnsi="Times New Roman"/>
          <w:sz w:val="22"/>
          <w:szCs w:val="22"/>
          <w:color w:val="auto"/>
        </w:rPr>
        <w:t>The Term of Employment shall begin on the Effective Date, and shall extend until January 1, 2027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with automatic one (1) year renewals (each a “</w:t>
      </w:r>
      <w:r>
        <w:rPr>
          <w:rFonts w:ascii="Times New Roman" w:cs="Times New Roman" w:eastAsia="Times New Roman" w:hAnsi="Times New Roman"/>
          <w:sz w:val="22"/>
          <w:szCs w:val="22"/>
          <w:u w:val="single" w:color="auto"/>
          <w:color w:val="auto"/>
        </w:rPr>
        <w:t>Renewal Term</w:t>
      </w:r>
      <w:r>
        <w:rPr>
          <w:rFonts w:ascii="Times New Roman" w:cs="Times New Roman" w:eastAsia="Times New Roman" w:hAnsi="Times New Roman"/>
          <w:sz w:val="22"/>
          <w:szCs w:val="22"/>
          <w:color w:val="auto"/>
        </w:rPr>
        <w:t>”) upon the expiration of the Term or the current Renewal Term, as applicable, unless either Party notifies the other at least three (3) months before the scheduled expiration date of the Term or Renewal Term, as applicable, that this Agreement is not to renew; provided that in the event of a Change in Control the Term or then current Renewal Term shall automatically be extended an additional two (2) years from the date of consummation of such Change in Control (and such two (2) year extension period shall be a “Renewal Term” for purposes of this Agreement.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  Article 6 of the 2022 Agreement is hereby amended and restated in its entirety as follows:</w:t>
      </w:r>
    </w:p>
    <w:p>
      <w:pPr>
        <w:spacing w:after="0" w:line="301" w:lineRule="exact"/>
        <w:rPr>
          <w:sz w:val="20"/>
          <w:szCs w:val="20"/>
          <w:color w:val="auto"/>
        </w:rPr>
      </w:pPr>
    </w:p>
    <w:p>
      <w:pPr>
        <w:jc w:val="both"/>
        <w:ind w:left="660" w:right="640"/>
        <w:spacing w:after="0" w:line="265" w:lineRule="auto"/>
        <w:rPr>
          <w:sz w:val="20"/>
          <w:szCs w:val="20"/>
          <w:color w:val="auto"/>
        </w:rPr>
      </w:pPr>
      <w:r>
        <w:rPr>
          <w:rFonts w:ascii="Times New Roman" w:cs="Times New Roman" w:eastAsia="Times New Roman" w:hAnsi="Times New Roman"/>
          <w:sz w:val="22"/>
          <w:szCs w:val="22"/>
          <w:color w:val="auto"/>
        </w:rPr>
        <w:t>The Executive shall be eligible to participate in the Parent’s long-term incentive plan on terms commensurate with his position and duties, as determined by the Compensation Committee in its discretion. Program design, including but not limited to performance measures and weighting shall be determined by the Compensation Committee in its discretion. Effective as of January 1, 2024, the</w:t>
      </w:r>
    </w:p>
    <w:p>
      <w:pPr>
        <w:sectPr>
          <w:pgSz w:w="11900" w:h="16838" w:orient="portrait"/>
          <w:cols w:equalWidth="0" w:num="1">
            <w:col w:w="11240"/>
          </w:cols>
          <w:pgMar w:left="320" w:top="86" w:right="339" w:bottom="1440" w:gutter="0" w:footer="0" w:header="0"/>
        </w:sectPr>
      </w:pPr>
    </w:p>
    <w:bookmarkStart w:id="61" w:name="page62"/>
    <w:bookmarkEnd w:id="61"/>
    <w:p>
      <w:pPr>
        <w:ind w:left="652" w:right="660"/>
        <w:spacing w:after="0" w:line="284" w:lineRule="auto"/>
        <w:rPr>
          <w:sz w:val="20"/>
          <w:szCs w:val="20"/>
          <w:color w:val="auto"/>
        </w:rPr>
      </w:pPr>
      <w:r>
        <w:rPr>
          <w:rFonts w:ascii="Times New Roman" w:cs="Times New Roman" w:eastAsia="Times New Roman" w:hAnsi="Times New Roman"/>
          <w:sz w:val="22"/>
          <w:szCs w:val="22"/>
          <w:color w:val="auto"/>
        </w:rPr>
        <w:t>Executive’s target annual long-term incentive award opportunity will be equal to four hundred seventy-five (475%) of the Executive’s Base Salary.</w:t>
      </w:r>
    </w:p>
    <w:p>
      <w:pPr>
        <w:spacing w:after="0" w:line="184" w:lineRule="exact"/>
        <w:rPr>
          <w:sz w:val="20"/>
          <w:szCs w:val="20"/>
          <w:color w:val="auto"/>
        </w:rPr>
      </w:pPr>
    </w:p>
    <w:p>
      <w:pPr>
        <w:ind w:left="332" w:hanging="332"/>
        <w:spacing w:after="0"/>
        <w:tabs>
          <w:tab w:leader="none" w:pos="33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Article 9 of the 2022 Agreement is hereby amended and restated in its entirety as follows:</w:t>
      </w:r>
    </w:p>
    <w:p>
      <w:pPr>
        <w:spacing w:after="0" w:line="287" w:lineRule="exact"/>
        <w:rPr>
          <w:rFonts w:ascii="Times New Roman" w:cs="Times New Roman" w:eastAsia="Times New Roman" w:hAnsi="Times New Roman"/>
          <w:sz w:val="22"/>
          <w:szCs w:val="22"/>
          <w:color w:val="auto"/>
        </w:rPr>
      </w:pPr>
    </w:p>
    <w:p>
      <w:pPr>
        <w:jc w:val="both"/>
        <w:ind w:left="652" w:right="640" w:hanging="4"/>
        <w:spacing w:after="0" w:line="262" w:lineRule="auto"/>
        <w:tabs>
          <w:tab w:leader="none" w:pos="1297"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the Prior Agreement, the Executive received a one-time special signing bonus in an amount equal to five million dollars ($5,000,000) (the “</w:t>
      </w:r>
      <w:r>
        <w:rPr>
          <w:rFonts w:ascii="Times New Roman" w:cs="Times New Roman" w:eastAsia="Times New Roman" w:hAnsi="Times New Roman"/>
          <w:sz w:val="22"/>
          <w:szCs w:val="22"/>
          <w:u w:val="single" w:color="auto"/>
          <w:color w:val="auto"/>
        </w:rPr>
        <w:t>Signing Bonus</w:t>
      </w:r>
      <w:r>
        <w:rPr>
          <w:rFonts w:ascii="Times New Roman" w:cs="Times New Roman" w:eastAsia="Times New Roman" w:hAnsi="Times New Roman"/>
          <w:sz w:val="22"/>
          <w:szCs w:val="22"/>
          <w:color w:val="auto"/>
        </w:rPr>
        <w:t>”). If Executive’s employment with the Company terminates due to Executive’s resignation without Good Reason or by the Company for Cause, prior to January 1, 2025, the Executive agrees to repay a pro rata portion of the Signing Bonus to the Company, which shall be calculated based on the number of full calendar months remaining from the Date of Termination until January 1, 2025, divided by thirty-six (36) months (without reduction for any federal, state or local income and employment tax liability paid by the Executive).</w:t>
      </w:r>
    </w:p>
    <w:p>
      <w:pPr>
        <w:spacing w:after="0" w:line="226" w:lineRule="exact"/>
        <w:rPr>
          <w:rFonts w:ascii="Times New Roman" w:cs="Times New Roman" w:eastAsia="Times New Roman" w:hAnsi="Times New Roman"/>
          <w:sz w:val="22"/>
          <w:szCs w:val="22"/>
          <w:color w:val="auto"/>
        </w:rPr>
      </w:pPr>
    </w:p>
    <w:p>
      <w:pPr>
        <w:jc w:val="both"/>
        <w:ind w:left="652" w:right="660" w:hanging="4"/>
        <w:spacing w:after="0" w:line="261" w:lineRule="auto"/>
        <w:tabs>
          <w:tab w:leader="none" w:pos="1295"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approval of the Compensation Committee, the Executive will be granted a one-time sign-on award of 70,126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The RSUs will vest in equal one-third (1/3) installments on each of the first three (3) anniversaries of January 1, 2024 (i.e., January 1, 2025, January 1, 2026, and January 1, 2027), subject to the Executive’s continued service on each applicable vesting date. The sign-on RSU award will be subject to the terms, conditions and restrictions specified in the Parent’s Amended &amp; Restated 2015 Equity Incentive Plan (as the same may be amended from time to time) and award agreement.</w:t>
      </w:r>
    </w:p>
    <w:p>
      <w:pPr>
        <w:spacing w:after="0" w:line="252" w:lineRule="exact"/>
        <w:rPr>
          <w:rFonts w:ascii="Times New Roman" w:cs="Times New Roman" w:eastAsia="Times New Roman" w:hAnsi="Times New Roman"/>
          <w:sz w:val="22"/>
          <w:szCs w:val="22"/>
          <w:color w:val="auto"/>
        </w:rPr>
      </w:pPr>
    </w:p>
    <w:p>
      <w:pPr>
        <w:ind w:left="332" w:hanging="332"/>
        <w:spacing w:after="0"/>
        <w:tabs>
          <w:tab w:leader="none" w:pos="33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Article 31 of the 2022 Agreement is hereby amended and restated in its entirety as follows:</w:t>
      </w:r>
    </w:p>
    <w:p>
      <w:pPr>
        <w:spacing w:after="0" w:line="260" w:lineRule="exact"/>
        <w:rPr>
          <w:sz w:val="20"/>
          <w:szCs w:val="20"/>
          <w:color w:val="auto"/>
        </w:rPr>
      </w:pPr>
    </w:p>
    <w:p>
      <w:pPr>
        <w:jc w:val="both"/>
        <w:ind w:left="652" w:right="640"/>
        <w:spacing w:after="0" w:line="275" w:lineRule="auto"/>
        <w:rPr>
          <w:sz w:val="20"/>
          <w:szCs w:val="20"/>
          <w:color w:val="auto"/>
        </w:rPr>
      </w:pPr>
      <w:r>
        <w:rPr>
          <w:rFonts w:ascii="Times New Roman" w:cs="Times New Roman" w:eastAsia="Times New Roman" w:hAnsi="Times New Roman"/>
          <w:sz w:val="21"/>
          <w:szCs w:val="21"/>
          <w:color w:val="auto"/>
        </w:rPr>
        <w:t>Notwithstanding any other provisions in this Agreement to the contrary, any incentive-based compensation, or any other compensation paid to the Executive pursuant to this Agreement or any other agreement or arrangement with the Parent, or any of its Subsidiaries or affiliates (including the Company), is subject to the Parent’s Policy for Recovery of Erroneously Awarded Compensation, effective as of December 1, 2023 (the “</w:t>
      </w:r>
      <w:r>
        <w:rPr>
          <w:rFonts w:ascii="Times New Roman" w:cs="Times New Roman" w:eastAsia="Times New Roman" w:hAnsi="Times New Roman"/>
          <w:sz w:val="21"/>
          <w:szCs w:val="21"/>
          <w:u w:val="single" w:color="auto"/>
          <w:color w:val="auto"/>
        </w:rPr>
        <w:t>Clawback Policy</w:t>
      </w:r>
      <w:r>
        <w:rPr>
          <w:rFonts w:ascii="Times New Roman" w:cs="Times New Roman" w:eastAsia="Times New Roman" w:hAnsi="Times New Roman"/>
          <w:sz w:val="21"/>
          <w:szCs w:val="21"/>
          <w:color w:val="auto"/>
        </w:rPr>
        <w:t>”), and any amendments thereto (or any other policy adopted by the Parent or any of its Subsidiaries or affiliates (including the Company) pursuant to any such law, government regulation or stock exchange listing requirement). Executive acknowledges and agrees that Executive has no right to indemnification, insurance payments or other reimbursement by or from the Parent or any of its Subsidiaries or affiliates (including the Company) for any compensation that is subject to recoupment and/or forfeiture under the Clawback Policy.</w:t>
      </w:r>
    </w:p>
    <w:p>
      <w:pPr>
        <w:spacing w:after="0" w:line="196" w:lineRule="exact"/>
        <w:rPr>
          <w:sz w:val="20"/>
          <w:szCs w:val="20"/>
          <w:color w:val="auto"/>
        </w:rPr>
      </w:pPr>
    </w:p>
    <w:p>
      <w:pPr>
        <w:ind w:left="332" w:hanging="332"/>
        <w:spacing w:after="0"/>
        <w:tabs>
          <w:tab w:leader="none" w:pos="332"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expressly amended by this Amendment, all of the terms of the 2022 Agreement shall remain in full force and effect.</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65" w:lineRule="exact"/>
        <w:rPr>
          <w:rFonts w:ascii="Times New Roman" w:cs="Times New Roman" w:eastAsia="Times New Roman" w:hAnsi="Times New Roman"/>
          <w:sz w:val="21"/>
          <w:szCs w:val="21"/>
          <w:color w:val="auto"/>
        </w:rPr>
      </w:pPr>
    </w:p>
    <w:p>
      <w:pPr>
        <w:ind w:left="5572"/>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w:t>
      </w:r>
    </w:p>
    <w:p>
      <w:pPr>
        <w:sectPr>
          <w:pgSz w:w="11900" w:h="16838" w:orient="portrait"/>
          <w:cols w:equalWidth="0" w:num="1">
            <w:col w:w="11232"/>
          </w:cols>
          <w:pgMar w:left="328" w:top="1422" w:right="339" w:bottom="1440" w:gutter="0" w:footer="0" w:header="0"/>
        </w:sectPr>
      </w:pPr>
    </w:p>
    <w:bookmarkStart w:id="62" w:name="page63"/>
    <w:bookmarkEnd w:id="62"/>
    <w:p>
      <w:pPr>
        <w:spacing w:after="0" w:line="252" w:lineRule="exact"/>
        <w:rPr>
          <w:sz w:val="20"/>
          <w:szCs w:val="20"/>
          <w:color w:val="auto"/>
        </w:rPr>
      </w:pPr>
    </w:p>
    <w:p>
      <w:pPr>
        <w:ind w:left="340" w:hanging="332"/>
        <w:spacing w:after="0" w:line="335" w:lineRule="auto"/>
        <w:tabs>
          <w:tab w:leader="none" w:pos="3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any number of counterparts, each of which shall be considered an original instrument, but all such counterparts shall together constitute one and the same agreement.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executed this Amendment on the date and year first above written.</w:t>
      </w:r>
    </w:p>
    <w:p>
      <w:pPr>
        <w:spacing w:after="0" w:line="27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Caesars Enterprise Services, LLC</w:t>
      </w:r>
    </w:p>
    <w:p>
      <w:pPr>
        <w:spacing w:after="0" w:line="332" w:lineRule="exact"/>
        <w:rPr>
          <w:sz w:val="20"/>
          <w:szCs w:val="20"/>
          <w:color w:val="auto"/>
        </w:rPr>
      </w:pPr>
    </w:p>
    <w:tbl>
      <w:tblPr>
        <w:tblLayout w:type="fixed"/>
        <w:tblInd w:w="4380" w:type="dxa"/>
        <w:tblCellMar>
          <w:top w:w="0" w:type="dxa"/>
          <w:left w:w="0" w:type="dxa"/>
          <w:bottom w:w="0" w:type="dxa"/>
          <w:right w:w="0" w:type="dxa"/>
        </w:tblCellMar>
      </w:tblPr>
      <w:tr>
        <w:trPr>
          <w:trHeight w:val="282"/>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Edmund L. Quatmann, Jr.</w:t>
            </w:r>
          </w:p>
        </w:tc>
      </w:tr>
      <w:tr>
        <w:trPr>
          <w:trHeight w:val="251"/>
        </w:trPr>
        <w:tc>
          <w:tcPr>
            <w:tcW w:w="74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2660" w:type="dxa"/>
            <w:vAlign w:val="bottom"/>
          </w:tcPr>
          <w:p>
            <w:pPr>
              <w:ind w:left="80"/>
              <w:spacing w:after="0" w:line="251" w:lineRule="exact"/>
              <w:rPr>
                <w:sz w:val="20"/>
                <w:szCs w:val="20"/>
                <w:color w:val="auto"/>
              </w:rPr>
            </w:pPr>
            <w:r>
              <w:rPr>
                <w:rFonts w:ascii="Times New Roman" w:cs="Times New Roman" w:eastAsia="Times New Roman" w:hAnsi="Times New Roman"/>
                <w:sz w:val="22"/>
                <w:szCs w:val="22"/>
                <w:color w:val="auto"/>
              </w:rPr>
              <w:t>Edmund L. Quatmann, Jr.</w:t>
            </w:r>
          </w:p>
        </w:tc>
      </w:tr>
      <w:tr>
        <w:trPr>
          <w:trHeight w:val="282"/>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2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Chief Legal Officer</w:t>
            </w:r>
          </w:p>
        </w:tc>
      </w:tr>
    </w:tbl>
    <w:p>
      <w:pPr>
        <w:spacing w:after="0" w:line="30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3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/s/ Thomas R. Reeg</w:t>
      </w:r>
    </w:p>
    <w:p>
      <w:pPr>
        <w:spacing w:after="0" w:line="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-160020</wp:posOffset>
            </wp:positionV>
            <wp:extent cx="22028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FIRST AMENDMENT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TO THE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AMENDED AND RESTATED EXECUTIVE EMPLOYMENT AGREEMENT</w:t>
      </w:r>
    </w:p>
    <w:p>
      <w:pPr>
        <w:spacing w:after="0" w:line="237" w:lineRule="exact"/>
        <w:rPr>
          <w:sz w:val="20"/>
          <w:szCs w:val="20"/>
          <w:color w:val="auto"/>
        </w:rPr>
      </w:pPr>
    </w:p>
    <w:p>
      <w:pPr>
        <w:jc w:val="both"/>
        <w:ind w:right="20" w:firstLine="648"/>
        <w:spacing w:after="0" w:line="276" w:lineRule="auto"/>
        <w:rPr>
          <w:sz w:val="20"/>
          <w:szCs w:val="20"/>
          <w:color w:val="auto"/>
        </w:rPr>
      </w:pPr>
      <w:r>
        <w:rPr>
          <w:rFonts w:ascii="Times New Roman" w:cs="Times New Roman" w:eastAsia="Times New Roman" w:hAnsi="Times New Roman"/>
          <w:sz w:val="22"/>
          <w:szCs w:val="22"/>
          <w:color w:val="auto"/>
        </w:rPr>
        <w:t>This First Amendment to the Amended and Restated Executive Employment Agreement (the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entered into as of January 26,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Caesars Enterprise Services, LLC, a Delaware limited liability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Anthony Carano</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3" w:lineRule="exact"/>
        <w:rPr>
          <w:sz w:val="20"/>
          <w:szCs w:val="20"/>
          <w:color w:val="auto"/>
        </w:rPr>
      </w:pPr>
    </w:p>
    <w:p>
      <w:pPr>
        <w:jc w:val="both"/>
        <w:ind w:right="20" w:firstLine="648"/>
        <w:spacing w:after="0" w:line="27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Executive and the Company desire to amend the Amended and Restated Executive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by and between Executive and the Company, dated as of August 10, 2022 (the “</w:t>
      </w:r>
      <w:r>
        <w:rPr>
          <w:rFonts w:ascii="Times New Roman" w:cs="Times New Roman" w:eastAsia="Times New Roman" w:hAnsi="Times New Roman"/>
          <w:sz w:val="22"/>
          <w:szCs w:val="22"/>
          <w:u w:val="single" w:color="auto"/>
          <w:color w:val="auto"/>
        </w:rPr>
        <w:t>2022 Agreement</w:t>
      </w:r>
      <w:r>
        <w:rPr>
          <w:rFonts w:ascii="Times New Roman" w:cs="Times New Roman" w:eastAsia="Times New Roman" w:hAnsi="Times New Roman"/>
          <w:sz w:val="22"/>
          <w:szCs w:val="22"/>
          <w:color w:val="auto"/>
        </w:rPr>
        <w:t>”), as provided for herein;</w:t>
      </w:r>
    </w:p>
    <w:p>
      <w:pPr>
        <w:spacing w:after="0" w:line="179"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capitalized terms used but not otherwise defined herein shall have the meanings assigned to such terms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2022 Agreement; and</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and exchange for the foregoing, the parties hereto hereby amend the 2022</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as follows, effective as of the date first written above: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The first sentence of Article 2 of the 2022 Agreement is hereby amended and restated in its entirety as follows:</w:t>
      </w:r>
    </w:p>
    <w:p>
      <w:pPr>
        <w:spacing w:after="0" w:line="287" w:lineRule="exact"/>
        <w:rPr>
          <w:sz w:val="20"/>
          <w:szCs w:val="20"/>
          <w:color w:val="auto"/>
        </w:rPr>
      </w:pPr>
    </w:p>
    <w:p>
      <w:pPr>
        <w:jc w:val="both"/>
        <w:ind w:left="660" w:right="640"/>
        <w:spacing w:after="0" w:line="262" w:lineRule="auto"/>
        <w:rPr>
          <w:sz w:val="20"/>
          <w:szCs w:val="20"/>
          <w:color w:val="auto"/>
        </w:rPr>
      </w:pPr>
      <w:r>
        <w:rPr>
          <w:rFonts w:ascii="Times New Roman" w:cs="Times New Roman" w:eastAsia="Times New Roman" w:hAnsi="Times New Roman"/>
          <w:sz w:val="22"/>
          <w:szCs w:val="22"/>
          <w:color w:val="auto"/>
        </w:rPr>
        <w:t>The Term of Employment shall begin on the Effective Date, and shall extend until January 1, 2027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with automatic one (1) year renewals (each a “</w:t>
      </w:r>
      <w:r>
        <w:rPr>
          <w:rFonts w:ascii="Times New Roman" w:cs="Times New Roman" w:eastAsia="Times New Roman" w:hAnsi="Times New Roman"/>
          <w:sz w:val="22"/>
          <w:szCs w:val="22"/>
          <w:u w:val="single" w:color="auto"/>
          <w:color w:val="auto"/>
        </w:rPr>
        <w:t>Renewal Term</w:t>
      </w:r>
      <w:r>
        <w:rPr>
          <w:rFonts w:ascii="Times New Roman" w:cs="Times New Roman" w:eastAsia="Times New Roman" w:hAnsi="Times New Roman"/>
          <w:sz w:val="22"/>
          <w:szCs w:val="22"/>
          <w:color w:val="auto"/>
        </w:rPr>
        <w:t>”) upon the expiration of the Term or the current Renewal Term, as applicable, unless either Party notifies the other at least three (3) months before the scheduled expiration date of the Term or Renewal Term, as applicable, that this Agreement is not to renew; provided that in the event of a Change in Control the Term or then current Renewal Term shall automatically be extended an additional two (2) years from the date of consummation of such Change in Control (and such two (2) year extension period shall be a “Renewal Term” for purposes of this Agreement.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  Article 6 of the 2022 Agreement is hereby amended and restated in its entirety as follows:</w:t>
      </w:r>
    </w:p>
    <w:p>
      <w:pPr>
        <w:spacing w:after="0" w:line="301" w:lineRule="exact"/>
        <w:rPr>
          <w:sz w:val="20"/>
          <w:szCs w:val="20"/>
          <w:color w:val="auto"/>
        </w:rPr>
      </w:pPr>
    </w:p>
    <w:p>
      <w:pPr>
        <w:jc w:val="both"/>
        <w:ind w:left="660" w:right="640"/>
        <w:spacing w:after="0" w:line="265" w:lineRule="auto"/>
        <w:rPr>
          <w:sz w:val="20"/>
          <w:szCs w:val="20"/>
          <w:color w:val="auto"/>
        </w:rPr>
      </w:pPr>
      <w:r>
        <w:rPr>
          <w:rFonts w:ascii="Times New Roman" w:cs="Times New Roman" w:eastAsia="Times New Roman" w:hAnsi="Times New Roman"/>
          <w:sz w:val="22"/>
          <w:szCs w:val="22"/>
          <w:color w:val="auto"/>
        </w:rPr>
        <w:t>The Executive shall be eligible to participate in the Parent’s long-term incentive plan on terms commensurate with his position and duties, as determined by the Compensation Committee in its discretion. Program design, including but not limited to performance measures and weighting shall be determined by the Compensation Committee in its discretion. Effective as of January 1, 2024, the</w:t>
      </w:r>
    </w:p>
    <w:p>
      <w:pPr>
        <w:sectPr>
          <w:pgSz w:w="11900" w:h="16838" w:orient="portrait"/>
          <w:cols w:equalWidth="0" w:num="1">
            <w:col w:w="11240"/>
          </w:cols>
          <w:pgMar w:left="320" w:top="86" w:right="339" w:bottom="1440" w:gutter="0" w:footer="0" w:header="0"/>
        </w:sectPr>
      </w:pPr>
    </w:p>
    <w:bookmarkStart w:id="64" w:name="page65"/>
    <w:bookmarkEnd w:id="64"/>
    <w:p>
      <w:pPr>
        <w:ind w:left="652" w:right="20"/>
        <w:spacing w:after="0" w:line="284" w:lineRule="auto"/>
        <w:rPr>
          <w:sz w:val="20"/>
          <w:szCs w:val="20"/>
          <w:color w:val="auto"/>
        </w:rPr>
      </w:pPr>
      <w:r>
        <w:rPr>
          <w:rFonts w:ascii="Times New Roman" w:cs="Times New Roman" w:eastAsia="Times New Roman" w:hAnsi="Times New Roman"/>
          <w:sz w:val="22"/>
          <w:szCs w:val="22"/>
          <w:color w:val="auto"/>
        </w:rPr>
        <w:t>Executive’s target annual long-term incentive award opportunity will be equal to three hundred twenty-five (325%) of the Executive’s Base Salary.</w:t>
      </w:r>
    </w:p>
    <w:p>
      <w:pPr>
        <w:spacing w:after="0" w:line="184" w:lineRule="exact"/>
        <w:rPr>
          <w:sz w:val="20"/>
          <w:szCs w:val="20"/>
          <w:color w:val="auto"/>
        </w:rPr>
      </w:pPr>
    </w:p>
    <w:p>
      <w:pPr>
        <w:ind w:left="332" w:hanging="332"/>
        <w:spacing w:after="0"/>
        <w:tabs>
          <w:tab w:leader="none" w:pos="33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Article 9 of the 2022 Agreement is hereby amended and restated in its entirety as follows:</w:t>
      </w:r>
    </w:p>
    <w:p>
      <w:pPr>
        <w:spacing w:after="0" w:line="287" w:lineRule="exact"/>
        <w:rPr>
          <w:rFonts w:ascii="Times New Roman" w:cs="Times New Roman" w:eastAsia="Times New Roman" w:hAnsi="Times New Roman"/>
          <w:sz w:val="22"/>
          <w:szCs w:val="22"/>
          <w:color w:val="auto"/>
        </w:rPr>
      </w:pPr>
    </w:p>
    <w:p>
      <w:pPr>
        <w:jc w:val="both"/>
        <w:ind w:left="652" w:hanging="4"/>
        <w:spacing w:after="0" w:line="262" w:lineRule="auto"/>
        <w:tabs>
          <w:tab w:leader="none" w:pos="1297"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the Prior Agreement, the Executive received a one-time special signing bonus in an amount equal to one million five hundred thousand dollars ($1,500,000) (the “</w:t>
      </w:r>
      <w:r>
        <w:rPr>
          <w:rFonts w:ascii="Times New Roman" w:cs="Times New Roman" w:eastAsia="Times New Roman" w:hAnsi="Times New Roman"/>
          <w:sz w:val="22"/>
          <w:szCs w:val="22"/>
          <w:u w:val="single" w:color="auto"/>
          <w:color w:val="auto"/>
        </w:rPr>
        <w:t>Signing Bonus</w:t>
      </w:r>
      <w:r>
        <w:rPr>
          <w:rFonts w:ascii="Times New Roman" w:cs="Times New Roman" w:eastAsia="Times New Roman" w:hAnsi="Times New Roman"/>
          <w:sz w:val="22"/>
          <w:szCs w:val="22"/>
          <w:color w:val="auto"/>
        </w:rPr>
        <w:t>”). If Executive’s employment with the Company terminates due to Executive’s resignation without Good Reason or by the Company for Cause, prior to January 1, 2025, the Executive agrees to repay a pro rata portion of the Signing Bonus to the Company, which shall be calculated based on the number of full calendar months remaining from the Date of Termination until January 1, 2025, divided by thirty-six (36) months (without reduction for any federal, state or local income and employment tax liability paid by the Executive).</w:t>
      </w:r>
    </w:p>
    <w:p>
      <w:pPr>
        <w:spacing w:after="0" w:line="226" w:lineRule="exact"/>
        <w:rPr>
          <w:rFonts w:ascii="Times New Roman" w:cs="Times New Roman" w:eastAsia="Times New Roman" w:hAnsi="Times New Roman"/>
          <w:sz w:val="22"/>
          <w:szCs w:val="22"/>
          <w:color w:val="auto"/>
        </w:rPr>
      </w:pPr>
    </w:p>
    <w:p>
      <w:pPr>
        <w:jc w:val="both"/>
        <w:ind w:left="652" w:right="20" w:hanging="4"/>
        <w:spacing w:after="0" w:line="261" w:lineRule="auto"/>
        <w:tabs>
          <w:tab w:leader="none" w:pos="1295"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approval of the Compensation Committee, the Executive will be granted a one-time sign-on award of 82,509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The RSUs will vest in equal one-third (1/3) installments on each of the first three (3) anniversaries of January 1, 2024 (i.e., January 1, 2025, January 1, 2026, and January 1, 2027), subject to the Executive’s continued service on each applicable vesting date. The sign-on RSU award will be subject to the terms, conditions and restrictions specified in the Parent’s Amended &amp; Restated 2015 Equity Incentive Plan (as the same may be amended from time to time) and award agreement.</w:t>
      </w:r>
    </w:p>
    <w:p>
      <w:pPr>
        <w:spacing w:after="0" w:line="252" w:lineRule="exact"/>
        <w:rPr>
          <w:rFonts w:ascii="Times New Roman" w:cs="Times New Roman" w:eastAsia="Times New Roman" w:hAnsi="Times New Roman"/>
          <w:sz w:val="22"/>
          <w:szCs w:val="22"/>
          <w:color w:val="auto"/>
        </w:rPr>
      </w:pPr>
    </w:p>
    <w:p>
      <w:pPr>
        <w:ind w:left="332" w:hanging="332"/>
        <w:spacing w:after="0"/>
        <w:tabs>
          <w:tab w:leader="none" w:pos="33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Article 31 of the 2022 Agreement is hereby amended and restated in its entirety as follows:</w:t>
      </w:r>
    </w:p>
    <w:p>
      <w:pPr>
        <w:spacing w:after="0" w:line="260" w:lineRule="exact"/>
        <w:rPr>
          <w:sz w:val="20"/>
          <w:szCs w:val="20"/>
          <w:color w:val="auto"/>
        </w:rPr>
      </w:pPr>
    </w:p>
    <w:p>
      <w:pPr>
        <w:jc w:val="both"/>
        <w:ind w:left="652"/>
        <w:spacing w:after="0" w:line="275" w:lineRule="auto"/>
        <w:rPr>
          <w:sz w:val="20"/>
          <w:szCs w:val="20"/>
          <w:color w:val="auto"/>
        </w:rPr>
      </w:pPr>
      <w:r>
        <w:rPr>
          <w:rFonts w:ascii="Times New Roman" w:cs="Times New Roman" w:eastAsia="Times New Roman" w:hAnsi="Times New Roman"/>
          <w:sz w:val="21"/>
          <w:szCs w:val="21"/>
          <w:color w:val="auto"/>
        </w:rPr>
        <w:t>Notwithstanding any other provisions in this Agreement to the contrary, any incentive-based compensation, or any other compensation paid to the Executive pursuant to this Agreement or any other agreement or arrangement with the Parent, or any of its Subsidiaries or affiliates (including the Company), is subject to the Parent’s Policy for Recovery of Erroneously Awarded Compensation, effective as of December 1, 2023 (the “</w:t>
      </w:r>
      <w:r>
        <w:rPr>
          <w:rFonts w:ascii="Times New Roman" w:cs="Times New Roman" w:eastAsia="Times New Roman" w:hAnsi="Times New Roman"/>
          <w:sz w:val="21"/>
          <w:szCs w:val="21"/>
          <w:u w:val="single" w:color="auto"/>
          <w:color w:val="auto"/>
        </w:rPr>
        <w:t>Clawback Policy</w:t>
      </w:r>
      <w:r>
        <w:rPr>
          <w:rFonts w:ascii="Times New Roman" w:cs="Times New Roman" w:eastAsia="Times New Roman" w:hAnsi="Times New Roman"/>
          <w:sz w:val="21"/>
          <w:szCs w:val="21"/>
          <w:color w:val="auto"/>
        </w:rPr>
        <w:t>”), and any amendments thereto (or any other policy adopted by the Parent or any of its Subsidiaries or affiliates (including the Company) pursuant to any such law, government regulation or stock exchange listing requirement). Executive acknowledges and agrees that Executive has no right to indemnification, insurance payments or other reimbursement by or from the Parent or any of its Subsidiaries or affiliates (including the Company) for any compensation that is subject to recoupment and/or forfeiture under the Clawback Policy.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572"/>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592"/>
          </w:cols>
          <w:pgMar w:left="328" w:top="1422" w:right="979" w:bottom="1440" w:gutter="0" w:footer="0" w:header="0"/>
        </w:sectPr>
      </w:pPr>
    </w:p>
    <w:bookmarkStart w:id="65" w:name="page66"/>
    <w:bookmarkEnd w:id="65"/>
    <w:p>
      <w:pPr>
        <w:spacing w:after="0" w:line="225"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expressly amended by this Amendment, all of the terms of the 2022 Agreement shall remain in full force and effect.</w:t>
      </w:r>
    </w:p>
    <w:p>
      <w:pPr>
        <w:spacing w:after="0" w:line="325" w:lineRule="exact"/>
        <w:rPr>
          <w:rFonts w:ascii="Times New Roman" w:cs="Times New Roman" w:eastAsia="Times New Roman" w:hAnsi="Times New Roman"/>
          <w:sz w:val="21"/>
          <w:szCs w:val="21"/>
          <w:color w:val="auto"/>
        </w:rPr>
      </w:pPr>
    </w:p>
    <w:p>
      <w:pPr>
        <w:ind w:left="340" w:hanging="332"/>
        <w:spacing w:after="0" w:line="335" w:lineRule="auto"/>
        <w:tabs>
          <w:tab w:leader="none" w:pos="3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any number of counterparts, each of which shall be considered an original instrument, but all such counterparts shall together constitute one and the same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executed this Amendment on the date and year first above written.</w:t>
      </w:r>
    </w:p>
    <w:p>
      <w:pPr>
        <w:spacing w:after="0" w:line="26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Caesars Enterprise Services, LLC</w:t>
      </w:r>
    </w:p>
    <w:p>
      <w:pPr>
        <w:spacing w:after="0" w:line="332" w:lineRule="exact"/>
        <w:rPr>
          <w:sz w:val="20"/>
          <w:szCs w:val="20"/>
          <w:color w:val="auto"/>
        </w:rPr>
      </w:pPr>
    </w:p>
    <w:tbl>
      <w:tblPr>
        <w:tblLayout w:type="fixed"/>
        <w:tblInd w:w="4380" w:type="dxa"/>
        <w:tblCellMar>
          <w:top w:w="0" w:type="dxa"/>
          <w:left w:w="0" w:type="dxa"/>
          <w:bottom w:w="0" w:type="dxa"/>
          <w:right w:w="0" w:type="dxa"/>
        </w:tblCellMar>
      </w:tblP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Thomas R. Reeg</w:t>
            </w:r>
          </w:p>
        </w:tc>
      </w:tr>
      <w:tr>
        <w:trPr>
          <w:trHeight w:val="251"/>
        </w:trPr>
        <w:tc>
          <w:tcPr>
            <w:tcW w:w="8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2580" w:type="dxa"/>
            <w:vAlign w:val="bottom"/>
          </w:tcPr>
          <w:p>
            <w:pPr>
              <w:ind w:left="60"/>
              <w:spacing w:after="0" w:line="251" w:lineRule="exact"/>
              <w:rPr>
                <w:sz w:val="20"/>
                <w:szCs w:val="20"/>
                <w:color w:val="auto"/>
              </w:rPr>
            </w:pPr>
            <w:r>
              <w:rPr>
                <w:rFonts w:ascii="Times New Roman" w:cs="Times New Roman" w:eastAsia="Times New Roman" w:hAnsi="Times New Roman"/>
                <w:sz w:val="22"/>
                <w:szCs w:val="22"/>
                <w:color w:val="auto"/>
              </w:rPr>
              <w:t>Thomas R. Reeg</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25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Chief Executive Officer</w:t>
            </w:r>
          </w:p>
        </w:tc>
      </w:tr>
    </w:tbl>
    <w:p>
      <w:pPr>
        <w:spacing w:after="0" w:line="30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3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/s/ Anthony Carano</w:t>
      </w:r>
    </w:p>
    <w:p>
      <w:pPr>
        <w:spacing w:after="0" w:line="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 Anthony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-160020</wp:posOffset>
            </wp:positionV>
            <wp:extent cx="22028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FIRST AMENDMENT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TO THE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AMENDED AND RESTATED EXECUTIVE EMPLOYMENT AGREEMENT</w:t>
      </w:r>
    </w:p>
    <w:p>
      <w:pPr>
        <w:spacing w:after="0" w:line="237" w:lineRule="exact"/>
        <w:rPr>
          <w:sz w:val="20"/>
          <w:szCs w:val="20"/>
          <w:color w:val="auto"/>
        </w:rPr>
      </w:pPr>
    </w:p>
    <w:p>
      <w:pPr>
        <w:jc w:val="both"/>
        <w:ind w:right="20" w:firstLine="648"/>
        <w:spacing w:after="0" w:line="276" w:lineRule="auto"/>
        <w:rPr>
          <w:sz w:val="20"/>
          <w:szCs w:val="20"/>
          <w:color w:val="auto"/>
        </w:rPr>
      </w:pPr>
      <w:r>
        <w:rPr>
          <w:rFonts w:ascii="Times New Roman" w:cs="Times New Roman" w:eastAsia="Times New Roman" w:hAnsi="Times New Roman"/>
          <w:sz w:val="22"/>
          <w:szCs w:val="22"/>
          <w:color w:val="auto"/>
        </w:rPr>
        <w:t>This First Amendment to the Amended and Restated Executive Employment Agreement (the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entered into as of January 26,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Caesars Enterprise Services, LLC, a Delaware limited liability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Edmund Quatmann</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3" w:lineRule="exact"/>
        <w:rPr>
          <w:sz w:val="20"/>
          <w:szCs w:val="20"/>
          <w:color w:val="auto"/>
        </w:rPr>
      </w:pPr>
    </w:p>
    <w:p>
      <w:pPr>
        <w:jc w:val="both"/>
        <w:ind w:right="20" w:firstLine="648"/>
        <w:spacing w:after="0" w:line="27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Executive and the Company desire to amend the Amended and Restated Executive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by and between Executive and the Company, dated as of August 10, 2022 (the “</w:t>
      </w:r>
      <w:r>
        <w:rPr>
          <w:rFonts w:ascii="Times New Roman" w:cs="Times New Roman" w:eastAsia="Times New Roman" w:hAnsi="Times New Roman"/>
          <w:sz w:val="22"/>
          <w:szCs w:val="22"/>
          <w:u w:val="single" w:color="auto"/>
          <w:color w:val="auto"/>
        </w:rPr>
        <w:t>2022 Agreement</w:t>
      </w:r>
      <w:r>
        <w:rPr>
          <w:rFonts w:ascii="Times New Roman" w:cs="Times New Roman" w:eastAsia="Times New Roman" w:hAnsi="Times New Roman"/>
          <w:sz w:val="22"/>
          <w:szCs w:val="22"/>
          <w:color w:val="auto"/>
        </w:rPr>
        <w:t>”), as provided for herein;</w:t>
      </w:r>
    </w:p>
    <w:p>
      <w:pPr>
        <w:spacing w:after="0" w:line="179"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capitalized terms used but not otherwise defined herein shall have the meanings assigned to such terms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2022 Agreement; and</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and exchange for the foregoing, the parties hereto hereby amend the 2022</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as follows, effective as of the date first written above: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The first sentence of Article 2 of the 2022 Agreement is hereby amended and restated in its entirety as follows:</w:t>
      </w:r>
    </w:p>
    <w:p>
      <w:pPr>
        <w:spacing w:after="0" w:line="287" w:lineRule="exact"/>
        <w:rPr>
          <w:sz w:val="20"/>
          <w:szCs w:val="20"/>
          <w:color w:val="auto"/>
        </w:rPr>
      </w:pPr>
    </w:p>
    <w:p>
      <w:pPr>
        <w:jc w:val="both"/>
        <w:ind w:left="660" w:right="640"/>
        <w:spacing w:after="0" w:line="262" w:lineRule="auto"/>
        <w:rPr>
          <w:sz w:val="20"/>
          <w:szCs w:val="20"/>
          <w:color w:val="auto"/>
        </w:rPr>
      </w:pPr>
      <w:r>
        <w:rPr>
          <w:rFonts w:ascii="Times New Roman" w:cs="Times New Roman" w:eastAsia="Times New Roman" w:hAnsi="Times New Roman"/>
          <w:sz w:val="22"/>
          <w:szCs w:val="22"/>
          <w:color w:val="auto"/>
        </w:rPr>
        <w:t>The Term of Employment shall begin on the Effective Date, and shall extend until January 1, 2027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with automatic one (1) year renewals (each a “</w:t>
      </w:r>
      <w:r>
        <w:rPr>
          <w:rFonts w:ascii="Times New Roman" w:cs="Times New Roman" w:eastAsia="Times New Roman" w:hAnsi="Times New Roman"/>
          <w:sz w:val="22"/>
          <w:szCs w:val="22"/>
          <w:u w:val="single" w:color="auto"/>
          <w:color w:val="auto"/>
        </w:rPr>
        <w:t>Renewal Term</w:t>
      </w:r>
      <w:r>
        <w:rPr>
          <w:rFonts w:ascii="Times New Roman" w:cs="Times New Roman" w:eastAsia="Times New Roman" w:hAnsi="Times New Roman"/>
          <w:sz w:val="22"/>
          <w:szCs w:val="22"/>
          <w:color w:val="auto"/>
        </w:rPr>
        <w:t>”) upon the expiration of the Term or the current Renewal Term, as applicable, unless either Party notifies the other at least three (3) months before the scheduled expiration date of the Term or Renewal Term, as applicable, that this Agreement is not to renew; provided that in the event of a Change in Control the Term or then current Renewal Term shall automatically be extended an additional two (2) years from the date of consummation of such Change in Control (and such two (2) year extension period shall be a “Renewal Term” for purposes of this Agreement.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  The first sentence of Article 4 of the 2022 Agreement is hereby amended and restated in its entirety as follows:</w:t>
      </w:r>
    </w:p>
    <w:p>
      <w:pPr>
        <w:spacing w:after="0" w:line="301" w:lineRule="exact"/>
        <w:rPr>
          <w:sz w:val="20"/>
          <w:szCs w:val="20"/>
          <w:color w:val="auto"/>
        </w:rPr>
      </w:pPr>
    </w:p>
    <w:p>
      <w:pPr>
        <w:jc w:val="both"/>
        <w:ind w:left="660" w:right="660"/>
        <w:spacing w:after="0" w:line="284" w:lineRule="auto"/>
        <w:rPr>
          <w:sz w:val="20"/>
          <w:szCs w:val="20"/>
          <w:color w:val="auto"/>
        </w:rPr>
      </w:pPr>
      <w:r>
        <w:rPr>
          <w:rFonts w:ascii="Times New Roman" w:cs="Times New Roman" w:eastAsia="Times New Roman" w:hAnsi="Times New Roman"/>
          <w:sz w:val="22"/>
          <w:szCs w:val="22"/>
          <w:color w:val="auto"/>
        </w:rPr>
        <w:t>Effective as of January 1, 2024, the Executive shall be paid an annualized Base Salary, payable in accordance with the regular payroll practices of the Company, of not less than eight hundred thousand dollars ($800,000).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  Article 6 of the 2022 Agreement is hereby amended and restated in its entirety as follows:</w:t>
      </w:r>
    </w:p>
    <w:p>
      <w:pPr>
        <w:sectPr>
          <w:pgSz w:w="11900" w:h="16838" w:orient="portrait"/>
          <w:cols w:equalWidth="0" w:num="1">
            <w:col w:w="11240"/>
          </w:cols>
          <w:pgMar w:left="320" w:top="86" w:right="339" w:bottom="1440" w:gutter="0" w:footer="0" w:header="0"/>
        </w:sectPr>
      </w:pPr>
    </w:p>
    <w:bookmarkStart w:id="67" w:name="page68"/>
    <w:bookmarkEnd w:id="67"/>
    <w:p>
      <w:pPr>
        <w:spacing w:after="0" w:line="225"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22"/>
          <w:szCs w:val="22"/>
          <w:color w:val="auto"/>
        </w:rPr>
        <w:t>The Executive shall be eligible to participate in the Parent’s long-term incentive plan on terms commensurate with his position and duties, as determined by the Compensation Committee in its discretion. Program design, including but not limited to performance measures and weighting shall be determined by the Compensation Committee in its discretion. Effective as of January 1, 2024, the Executive’s target annual long-term incentive award opportunity will be equal to two hundred fifty percent (250%) of the Executive’s Base Salary.</w:t>
      </w:r>
    </w:p>
    <w:p>
      <w:pPr>
        <w:spacing w:after="0" w:line="205" w:lineRule="exact"/>
        <w:rPr>
          <w:sz w:val="20"/>
          <w:szCs w:val="20"/>
          <w:color w:val="auto"/>
        </w:rPr>
      </w:pPr>
    </w:p>
    <w:p>
      <w:pPr>
        <w:ind w:left="332" w:hanging="332"/>
        <w:spacing w:after="0"/>
        <w:tabs>
          <w:tab w:leader="none" w:pos="33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Article 9 of the 2022 Agreement is hereby amended and restated in its entirety as follows:</w:t>
      </w:r>
    </w:p>
    <w:p>
      <w:pPr>
        <w:spacing w:after="0" w:line="287" w:lineRule="exact"/>
        <w:rPr>
          <w:rFonts w:ascii="Times New Roman" w:cs="Times New Roman" w:eastAsia="Times New Roman" w:hAnsi="Times New Roman"/>
          <w:sz w:val="22"/>
          <w:szCs w:val="22"/>
          <w:color w:val="auto"/>
        </w:rPr>
      </w:pPr>
    </w:p>
    <w:p>
      <w:pPr>
        <w:jc w:val="both"/>
        <w:ind w:left="652" w:right="20" w:hanging="4"/>
        <w:spacing w:after="0" w:line="262" w:lineRule="auto"/>
        <w:tabs>
          <w:tab w:leader="none" w:pos="1297"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the Prior Agreement, the Executive received a one-time special signing bonus in an amount equal to one million dollars ($1,000,000) (the “</w:t>
      </w:r>
      <w:r>
        <w:rPr>
          <w:rFonts w:ascii="Times New Roman" w:cs="Times New Roman" w:eastAsia="Times New Roman" w:hAnsi="Times New Roman"/>
          <w:sz w:val="22"/>
          <w:szCs w:val="22"/>
          <w:u w:val="single" w:color="auto"/>
          <w:color w:val="auto"/>
        </w:rPr>
        <w:t>Signing Bonus</w:t>
      </w:r>
      <w:r>
        <w:rPr>
          <w:rFonts w:ascii="Times New Roman" w:cs="Times New Roman" w:eastAsia="Times New Roman" w:hAnsi="Times New Roman"/>
          <w:sz w:val="22"/>
          <w:szCs w:val="22"/>
          <w:color w:val="auto"/>
        </w:rPr>
        <w:t>”). If Executive’s employment with the Company terminates due to Executive’s resignation without Good Reason or by the Company for Cause, prior to January 1, 2025, the Executive agrees to repay a pro rata portion of the Signing Bonus to the Company, which shall be calculated based on the number of full calendar months remaining from the Date of Termination until January 1, 2025, divided by thirty-six (36) months (without reduction for any federal, state or local income and employment tax liability paid by the Executive).</w:t>
      </w:r>
    </w:p>
    <w:p>
      <w:pPr>
        <w:spacing w:after="0" w:line="213" w:lineRule="exact"/>
        <w:rPr>
          <w:rFonts w:ascii="Times New Roman" w:cs="Times New Roman" w:eastAsia="Times New Roman" w:hAnsi="Times New Roman"/>
          <w:sz w:val="22"/>
          <w:szCs w:val="22"/>
          <w:color w:val="auto"/>
        </w:rPr>
      </w:pPr>
    </w:p>
    <w:p>
      <w:pPr>
        <w:jc w:val="both"/>
        <w:ind w:left="652" w:right="20" w:hanging="4"/>
        <w:spacing w:after="0" w:line="264" w:lineRule="auto"/>
        <w:tabs>
          <w:tab w:leader="none" w:pos="1295"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approval of the Compensation Committee, the Executive will be granted a one-time sign-on award of 49,505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The RSUs will vest in equal one-third (1/3) installments on each of the first three (3) anniversaries of January 1, 2024 (i.e., January 1, 2025, January 1, 2026, and January 1, 2027), subject to the Executive’s continued service on each applicable vesting date. The sign-on RSU award will be subject to the terms, conditions and restrictions specified in the Parent’s Amended &amp; Restated 2015 Equity Incentive Plan (as the same may be amended from time to time) and award agreement.</w:t>
      </w:r>
    </w:p>
    <w:p>
      <w:pPr>
        <w:spacing w:after="0" w:line="233" w:lineRule="exact"/>
        <w:rPr>
          <w:rFonts w:ascii="Times New Roman" w:cs="Times New Roman" w:eastAsia="Times New Roman" w:hAnsi="Times New Roman"/>
          <w:sz w:val="22"/>
          <w:szCs w:val="22"/>
          <w:color w:val="auto"/>
        </w:rPr>
      </w:pPr>
    </w:p>
    <w:p>
      <w:pPr>
        <w:ind w:left="332" w:hanging="332"/>
        <w:spacing w:after="0"/>
        <w:tabs>
          <w:tab w:leader="none" w:pos="33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Article 31 of the 2022 Agreement is hereby amended and restated in its entirety as follows:</w:t>
      </w:r>
    </w:p>
    <w:p>
      <w:pPr>
        <w:spacing w:after="0" w:line="260" w:lineRule="exact"/>
        <w:rPr>
          <w:sz w:val="20"/>
          <w:szCs w:val="20"/>
          <w:color w:val="auto"/>
        </w:rPr>
      </w:pPr>
    </w:p>
    <w:p>
      <w:pPr>
        <w:jc w:val="both"/>
        <w:ind w:left="652"/>
        <w:spacing w:after="0" w:line="277" w:lineRule="auto"/>
        <w:rPr>
          <w:sz w:val="20"/>
          <w:szCs w:val="20"/>
          <w:color w:val="auto"/>
        </w:rPr>
      </w:pPr>
      <w:r>
        <w:rPr>
          <w:rFonts w:ascii="Times New Roman" w:cs="Times New Roman" w:eastAsia="Times New Roman" w:hAnsi="Times New Roman"/>
          <w:sz w:val="21"/>
          <w:szCs w:val="21"/>
          <w:color w:val="auto"/>
        </w:rPr>
        <w:t>Notwithstanding any other provisions in this Agreement to the contrary, any incentive-based compensation, or any other compensation paid to the Executive pursuant to this Agreement or any other agreement or arrangement with the Parent, or any of its Subsidiaries or affiliates (including the Company), is subject to the Parent’s Policy for Recovery of Erroneously Awarded Compensation, effective as of December 1, 2023 (the “</w:t>
      </w:r>
      <w:r>
        <w:rPr>
          <w:rFonts w:ascii="Times New Roman" w:cs="Times New Roman" w:eastAsia="Times New Roman" w:hAnsi="Times New Roman"/>
          <w:sz w:val="21"/>
          <w:szCs w:val="21"/>
          <w:u w:val="single" w:color="auto"/>
          <w:color w:val="auto"/>
        </w:rPr>
        <w:t>Clawback Policy</w:t>
      </w:r>
      <w:r>
        <w:rPr>
          <w:rFonts w:ascii="Times New Roman" w:cs="Times New Roman" w:eastAsia="Times New Roman" w:hAnsi="Times New Roman"/>
          <w:sz w:val="21"/>
          <w:szCs w:val="21"/>
          <w:color w:val="auto"/>
        </w:rPr>
        <w:t>”), and any amendments thereto (or any other policy adopted by the Parent or any of its Subsidiaries or affiliates (including the Company) pursuant to any such law, government regulation or stock exchange listing requirement). Executive acknowledges and agrees that Executive has no right to indemnification, insurance payments or other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572"/>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592"/>
          </w:cols>
          <w:pgMar w:left="328" w:top="1440" w:right="979" w:bottom="1440" w:gutter="0" w:footer="0" w:header="0"/>
        </w:sectPr>
      </w:pPr>
    </w:p>
    <w:bookmarkStart w:id="68" w:name="page69"/>
    <w:bookmarkEnd w:id="68"/>
    <w:p>
      <w:pPr>
        <w:spacing w:after="0" w:line="198" w:lineRule="exact"/>
        <w:rPr>
          <w:sz w:val="20"/>
          <w:szCs w:val="20"/>
          <w:color w:val="auto"/>
        </w:rPr>
      </w:pPr>
    </w:p>
    <w:p>
      <w:pPr>
        <w:ind w:left="660" w:right="660"/>
        <w:spacing w:after="0" w:line="284" w:lineRule="auto"/>
        <w:rPr>
          <w:sz w:val="20"/>
          <w:szCs w:val="20"/>
          <w:color w:val="auto"/>
        </w:rPr>
      </w:pPr>
      <w:r>
        <w:rPr>
          <w:rFonts w:ascii="Times New Roman" w:cs="Times New Roman" w:eastAsia="Times New Roman" w:hAnsi="Times New Roman"/>
          <w:sz w:val="22"/>
          <w:szCs w:val="22"/>
          <w:color w:val="auto"/>
        </w:rPr>
        <w:t>reimbursement by or from the Parent or any of its Subsidiaries or affiliates (including the Company) for any compensation that is subject to recoupment and/or forfeiture under the Clawback Policy.</w:t>
      </w:r>
    </w:p>
    <w:p>
      <w:pPr>
        <w:spacing w:after="0" w:line="184"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expressly amended by this Amendment, all of the terms of the 2022 Agreement shall remain in full force and effect.</w:t>
      </w:r>
    </w:p>
    <w:p>
      <w:pPr>
        <w:spacing w:after="0" w:line="325" w:lineRule="exact"/>
        <w:rPr>
          <w:rFonts w:ascii="Times New Roman" w:cs="Times New Roman" w:eastAsia="Times New Roman" w:hAnsi="Times New Roman"/>
          <w:sz w:val="21"/>
          <w:szCs w:val="21"/>
          <w:color w:val="auto"/>
        </w:rPr>
      </w:pPr>
    </w:p>
    <w:p>
      <w:pPr>
        <w:ind w:left="340" w:hanging="332"/>
        <w:spacing w:after="0" w:line="348" w:lineRule="auto"/>
        <w:tabs>
          <w:tab w:leader="none" w:pos="3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any number of counterparts, each of which shall be considered an original instrument, but all such counterparts shall together constitute one and the same agreement.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Amendment on the date and year first above written.</w:t>
      </w:r>
    </w:p>
    <w:p>
      <w:pPr>
        <w:sectPr>
          <w:pgSz w:w="11900" w:h="16838" w:orient="portrait"/>
          <w:cols w:equalWidth="0" w:num="1">
            <w:col w:w="10320"/>
          </w:cols>
          <w:pgMar w:left="320" w:top="1440" w:right="1259" w:bottom="1440" w:gutter="0" w:footer="0" w:header="0"/>
        </w:sectPr>
      </w:pPr>
    </w:p>
    <w:p>
      <w:pPr>
        <w:spacing w:after="0" w:line="27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Caesars Enterprise Services, LLC</w:t>
      </w:r>
    </w:p>
    <w:p>
      <w:pPr>
        <w:spacing w:after="0" w:line="332" w:lineRule="exact"/>
        <w:rPr>
          <w:sz w:val="20"/>
          <w:szCs w:val="20"/>
          <w:color w:val="auto"/>
        </w:rPr>
      </w:pPr>
    </w:p>
    <w:tbl>
      <w:tblPr>
        <w:tblLayout w:type="fixed"/>
        <w:tblInd w:w="4380" w:type="dxa"/>
        <w:tblCellMar>
          <w:top w:w="0" w:type="dxa"/>
          <w:left w:w="0" w:type="dxa"/>
          <w:bottom w:w="0" w:type="dxa"/>
          <w:right w:w="0" w:type="dxa"/>
        </w:tblCellMar>
      </w:tblP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Thomas R. Reeg</w:t>
            </w:r>
          </w:p>
        </w:tc>
      </w:tr>
      <w:tr>
        <w:trPr>
          <w:trHeight w:val="251"/>
        </w:trPr>
        <w:tc>
          <w:tcPr>
            <w:tcW w:w="8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2580" w:type="dxa"/>
            <w:vAlign w:val="bottom"/>
          </w:tcPr>
          <w:p>
            <w:pPr>
              <w:ind w:left="60"/>
              <w:spacing w:after="0" w:line="251" w:lineRule="exact"/>
              <w:rPr>
                <w:sz w:val="20"/>
                <w:szCs w:val="20"/>
                <w:color w:val="auto"/>
              </w:rPr>
            </w:pPr>
            <w:r>
              <w:rPr>
                <w:rFonts w:ascii="Times New Roman" w:cs="Times New Roman" w:eastAsia="Times New Roman" w:hAnsi="Times New Roman"/>
                <w:sz w:val="22"/>
                <w:szCs w:val="22"/>
                <w:color w:val="auto"/>
              </w:rPr>
              <w:t>Thomas R. Reeg</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25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Chief Executive Officer</w:t>
            </w:r>
          </w:p>
        </w:tc>
      </w:tr>
    </w:tbl>
    <w:p>
      <w:pPr>
        <w:spacing w:after="0" w:line="9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3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/s/ Edmund L. Quatmann, Jr.</w:t>
      </w:r>
    </w:p>
    <w:p>
      <w:pPr>
        <w:spacing w:after="0" w:line="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-160020</wp:posOffset>
            </wp:positionV>
            <wp:extent cx="22028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320"/>
          </w:cols>
          <w:pgMar w:left="320" w:top="1440" w:right="1259" w:bottom="1440" w:gutter="0" w:footer="0" w:header="0"/>
          <w:type w:val="continuous"/>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AND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R. Reeg, certify that:</w:t>
      </w:r>
    </w:p>
    <w:p>
      <w:pPr>
        <w:spacing w:after="0" w:line="117"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Caesars Entertainment, Inc.;</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2024</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3056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Thomas R. Reeg</w:t>
      </w:r>
    </w:p>
    <w:p>
      <w:pPr>
        <w:ind w:left="5620"/>
        <w:spacing w:after="0" w:line="203"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95"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AND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Bret Yunker, certify that:</w:t>
      </w:r>
    </w:p>
    <w:p>
      <w:pPr>
        <w:spacing w:after="0" w:line="117"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Caesars Entertainment, Inc.;</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2024</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30568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Bret Yunker</w:t>
      </w:r>
    </w:p>
    <w:p>
      <w:pPr>
        <w:ind w:left="5620"/>
        <w:spacing w:after="0" w:line="203"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995"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Thomas R. Reeg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Thomas R. Reeg, Chief Executive Officer of Caesars Entertainment, Inc. (the “Company”), do hereby certify in accordance with 18 U.S.C. 1350, as adopted pursuant to Section 906 of the Sarbanes-Oxley Act of 2002, that, to my knowledge:</w:t>
      </w:r>
    </w:p>
    <w:p>
      <w:pPr>
        <w:spacing w:after="0" w:line="54" w:lineRule="exact"/>
        <w:rPr>
          <w:sz w:val="20"/>
          <w:szCs w:val="20"/>
          <w:color w:val="auto"/>
        </w:rPr>
      </w:pPr>
    </w:p>
    <w:p>
      <w:pPr>
        <w:ind w:left="660" w:hanging="652"/>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March 31, 2024 (the “Periodic Report”) fully complies with the requirements of Section 13(a) or 15(d) of the Securities Exchange Act of 1934 (15 U.S.C. 78m or 78o(d)); and</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represents,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2024</w:t>
      </w:r>
    </w:p>
    <w:p>
      <w:pPr>
        <w:spacing w:after="0" w:line="27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3056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Thomas R. Reeg</w:t>
      </w:r>
    </w:p>
    <w:p>
      <w:pPr>
        <w:spacing w:after="0" w:line="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995"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Bret Yunker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Bret Yunker, Chief Financial Officer of Caesars Entertainment, Inc. (the “Company”), do hereby certify in accordance with 18 U.S.C. 1350, as adopted pursuant to Section 906 of the Sarbanes-Oxley Act of 2002, that, to my knowledge:</w:t>
      </w:r>
    </w:p>
    <w:p>
      <w:pPr>
        <w:spacing w:after="0" w:line="54" w:lineRule="exact"/>
        <w:rPr>
          <w:sz w:val="20"/>
          <w:szCs w:val="20"/>
          <w:color w:val="auto"/>
        </w:rPr>
      </w:pPr>
    </w:p>
    <w:p>
      <w:pPr>
        <w:ind w:left="66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March 31, 2024 (the “Periodic Report”) fully complies with the requirements of Section 13(a) or 15(d) of the Securities Exchange Act of 1934 (15 U.S.C. 78m or 78o(d)); and</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represents,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2024</w:t>
      </w:r>
    </w:p>
    <w:p>
      <w:pPr>
        <w:spacing w:after="0" w:line="27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3056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Bret Yunker</w:t>
      </w:r>
    </w:p>
    <w:p>
      <w:pPr>
        <w:spacing w:after="0" w:line="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9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lowerLetter"/>
      <w:start w:val="1"/>
    </w:lvl>
  </w:abstractNum>
  <w:abstractNum w:abstractNumId="5">
    <w:nsid w:val="B03E0C6"/>
    <w:multiLevelType w:val="hybridMultilevel"/>
    <w:lvl w:ilvl="0">
      <w:lvlJc w:val="left"/>
      <w:lvlText w:val="(%1)"/>
      <w:numFmt w:val="lowerLetter"/>
      <w:start w:val="1"/>
    </w:lvl>
  </w:abstractNum>
  <w:abstractNum w:abstractNumId="6">
    <w:nsid w:val="189A769B"/>
    <w:multiLevelType w:val="hybridMultilevel"/>
    <w:lvl w:ilvl="0">
      <w:lvlJc w:val="left"/>
      <w:lvlText w:val="(%1)"/>
      <w:numFmt w:val="lowerLetter"/>
      <w:start w:val="1"/>
    </w:lvl>
  </w:abstractNum>
  <w:abstractNum w:abstractNumId="7">
    <w:nsid w:val="54E49EB4"/>
    <w:multiLevelType w:val="hybridMultilevel"/>
    <w:lvl w:ilvl="0">
      <w:lvlJc w:val="left"/>
      <w:lvlText w:val="(%1)"/>
      <w:numFmt w:val="lowerLetter"/>
      <w:start w:val="1"/>
    </w:lvl>
  </w:abstractNum>
  <w:abstractNum w:abstractNumId="8">
    <w:nsid w:val="71F32454"/>
    <w:multiLevelType w:val="hybridMultilevel"/>
    <w:lvl w:ilvl="0">
      <w:lvlJc w:val="left"/>
      <w:lvlText w:val="(%1)"/>
      <w:numFmt w:val="lowerLetter"/>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1)"/>
      <w:numFmt w:val="lowerLetter"/>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1)"/>
      <w:numFmt w:val="lowerLetter"/>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1)"/>
      <w:numFmt w:val="lowerLetter"/>
      <w:start w:val="1"/>
    </w:lvl>
  </w:abstractNum>
  <w:abstractNum w:abstractNumId="17">
    <w:nsid w:val="6CEAF087"/>
    <w:multiLevelType w:val="hybridMultilevel"/>
    <w:lvl w:ilvl="0">
      <w:lvlJc w:val="left"/>
      <w:lvlText w:val="(%1)"/>
      <w:numFmt w:val="lowerLetter"/>
      <w:start w:val="1"/>
    </w:lvl>
  </w:abstractNum>
  <w:abstractNum w:abstractNumId="18">
    <w:nsid w:val="22221A70"/>
    <w:multiLevelType w:val="hybridMultilevel"/>
    <w:lvl w:ilvl="0">
      <w:lvlJc w:val="left"/>
      <w:lvlText w:val="(%1)"/>
      <w:numFmt w:val="lowerLetter"/>
      <w:start w:val="1"/>
    </w:lvl>
  </w:abstractNum>
  <w:abstractNum w:abstractNumId="19">
    <w:nsid w:val="4516DDE9"/>
    <w:multiLevelType w:val="hybridMultilevel"/>
    <w:lvl w:ilvl="0">
      <w:lvlJc w:val="left"/>
      <w:lvlText w:val="(%1)"/>
      <w:numFmt w:val="lowerLetter"/>
      <w:start w:val="1"/>
    </w:lvl>
  </w:abstractNum>
  <w:abstractNum w:abstractNumId="20">
    <w:nsid w:val="3006C83E"/>
    <w:multiLevelType w:val="hybridMultilevel"/>
    <w:lvl w:ilvl="0">
      <w:lvlJc w:val="left"/>
      <w:lvlText w:val="(%1)"/>
      <w:numFmt w:val="lowerLetter"/>
      <w:start w:val="2"/>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1)"/>
      <w:numFmt w:val="lowerLetter"/>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44"/>
    </w:lvl>
  </w:abstractNum>
  <w:abstractNum w:abstractNumId="26">
    <w:nsid w:val="3804823E"/>
    <w:multiLevelType w:val="hybridMultilevel"/>
    <w:lvl w:ilvl="0">
      <w:lvlJc w:val="left"/>
      <w:lvlText w:val="%1."/>
      <w:numFmt w:val="decimal"/>
      <w:start w:val="3"/>
    </w:lvl>
  </w:abstractNum>
  <w:abstractNum w:abstractNumId="27">
    <w:nsid w:val="77465F01"/>
    <w:multiLevelType w:val="hybridMultilevel"/>
    <w:lvl w:ilvl="0">
      <w:lvlJc w:val="left"/>
      <w:lvlText w:val="(%1)"/>
      <w:numFmt w:val="lowerLetter"/>
      <w:start w:val="2"/>
    </w:lvl>
  </w:abstractNum>
  <w:abstractNum w:abstractNumId="28">
    <w:nsid w:val="7724C67E"/>
    <w:multiLevelType w:val="hybridMultilevel"/>
    <w:lvl w:ilvl="0">
      <w:lvlJc w:val="left"/>
      <w:lvlText w:val="%1."/>
      <w:numFmt w:val="decimal"/>
      <w:start w:val="4"/>
    </w:lvl>
  </w:abstractNum>
  <w:abstractNum w:abstractNumId="29">
    <w:nsid w:val="5C482A97"/>
    <w:multiLevelType w:val="hybridMultilevel"/>
    <w:lvl w:ilvl="0">
      <w:lvlJc w:val="left"/>
      <w:lvlText w:val="%1."/>
      <w:numFmt w:val="decimal"/>
      <w:start w:val="8"/>
    </w:lvl>
  </w:abstractNum>
  <w:abstractNum w:abstractNumId="30">
    <w:nsid w:val="2463B9EA"/>
    <w:multiLevelType w:val="hybridMultilevel"/>
    <w:lvl w:ilvl="0">
      <w:lvlJc w:val="left"/>
      <w:lvlText w:val="(%1)"/>
      <w:numFmt w:val="lowerLetter"/>
      <w:start w:val="1"/>
    </w:lvl>
  </w:abstractNum>
  <w:abstractNum w:abstractNumId="31">
    <w:nsid w:val="5E884ADC"/>
    <w:multiLevelType w:val="hybridMultilevel"/>
    <w:lvl w:ilvl="0">
      <w:lvlJc w:val="left"/>
      <w:lvlText w:val="%1."/>
      <w:numFmt w:val="decimal"/>
      <w:start w:val="5"/>
    </w:lvl>
  </w:abstractNum>
  <w:abstractNum w:abstractNumId="32">
    <w:nsid w:val="51EAD36B"/>
    <w:multiLevelType w:val="hybridMultilevel"/>
    <w:lvl w:ilvl="0">
      <w:lvlJc w:val="left"/>
      <w:lvlText w:val="%1."/>
      <w:numFmt w:val="decimal"/>
      <w:start w:val="6"/>
    </w:lvl>
  </w:abstractNum>
  <w:abstractNum w:abstractNumId="33">
    <w:nsid w:val="2D517796"/>
    <w:multiLevelType w:val="hybridMultilevel"/>
    <w:lvl w:ilvl="0">
      <w:lvlJc w:val="left"/>
      <w:lvlText w:val="%1."/>
      <w:numFmt w:val="decimal"/>
      <w:start w:val="4"/>
    </w:lvl>
    <w:lvl w:ilvl="1">
      <w:lvlJc w:val="left"/>
      <w:lvlText w:val="(%2)"/>
      <w:numFmt w:val="lowerLetter"/>
      <w:start w:val="1"/>
    </w:lvl>
  </w:abstractNum>
  <w:abstractNum w:abstractNumId="34">
    <w:nsid w:val="580BD78F"/>
    <w:multiLevelType w:val="hybridMultilevel"/>
    <w:lvl w:ilvl="0">
      <w:lvlJc w:val="left"/>
      <w:lvlText w:val="%1."/>
      <w:numFmt w:val="decimal"/>
      <w:start w:val="6"/>
    </w:lvl>
  </w:abstractNum>
  <w:abstractNum w:abstractNumId="35">
    <w:nsid w:val="153EA438"/>
    <w:multiLevelType w:val="hybridMultilevel"/>
    <w:lvl w:ilvl="0">
      <w:lvlJc w:val="left"/>
      <w:lvlText w:val="%1."/>
      <w:numFmt w:val="decimal"/>
      <w:start w:val="3"/>
    </w:lvl>
    <w:lvl w:ilvl="1">
      <w:lvlJc w:val="left"/>
      <w:lvlText w:val="(%2)"/>
      <w:numFmt w:val="lowerLetter"/>
      <w:start w:val="1"/>
    </w:lvl>
  </w:abstractNum>
  <w:abstractNum w:abstractNumId="36">
    <w:nsid w:val="3855585C"/>
    <w:multiLevelType w:val="hybridMultilevel"/>
    <w:lvl w:ilvl="0">
      <w:lvlJc w:val="left"/>
      <w:lvlText w:val="%1."/>
      <w:numFmt w:val="decimal"/>
      <w:start w:val="5"/>
    </w:lvl>
  </w:abstractNum>
  <w:abstractNum w:abstractNumId="37">
    <w:nsid w:val="70A64E2A"/>
    <w:multiLevelType w:val="hybridMultilevel"/>
    <w:lvl w:ilvl="0">
      <w:lvlJc w:val="left"/>
      <w:lvlText w:val="%1."/>
      <w:numFmt w:val="decimal"/>
      <w:start w:val="6"/>
    </w:lvl>
  </w:abstractNum>
  <w:abstractNum w:abstractNumId="38">
    <w:nsid w:val="6A2342EC"/>
    <w:multiLevelType w:val="hybridMultilevel"/>
    <w:lvl w:ilvl="0">
      <w:lvlJc w:val="left"/>
      <w:lvlText w:val="%1."/>
      <w:numFmt w:val="decimal"/>
      <w:start w:val="3"/>
    </w:lvl>
    <w:lvl w:ilvl="1">
      <w:lvlJc w:val="left"/>
      <w:lvlText w:val="(%2)"/>
      <w:numFmt w:val="lowerLetter"/>
      <w:start w:val="1"/>
    </w:lvl>
  </w:abstractNum>
  <w:abstractNum w:abstractNumId="39">
    <w:nsid w:val="2A487CB0"/>
    <w:multiLevelType w:val="hybridMultilevel"/>
    <w:lvl w:ilvl="0">
      <w:lvlJc w:val="left"/>
      <w:lvlText w:val="%1."/>
      <w:numFmt w:val="decimal"/>
      <w:start w:val="5"/>
    </w:lvl>
  </w:abstractNum>
  <w:abstractNum w:abstractNumId="40">
    <w:nsid w:val="1D4ED43B"/>
    <w:multiLevelType w:val="hybridMultilevel"/>
    <w:lvl w:ilvl="0">
      <w:lvlJc w:val="left"/>
      <w:lvlText w:val="%1."/>
      <w:numFmt w:val="decimal"/>
      <w:start w:val="4"/>
    </w:lvl>
    <w:lvl w:ilvl="1">
      <w:lvlJc w:val="left"/>
      <w:lvlText w:val="(%2)"/>
      <w:numFmt w:val="lowerLetter"/>
      <w:start w:val="1"/>
    </w:lvl>
  </w:abstractNum>
  <w:abstractNum w:abstractNumId="41">
    <w:nsid w:val="725A06FB"/>
    <w:multiLevelType w:val="hybridMultilevel"/>
    <w:lvl w:ilvl="0">
      <w:lvlJc w:val="left"/>
      <w:lvlText w:val="%1."/>
      <w:numFmt w:val="decimal"/>
      <w:start w:val="6"/>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59" Type="http://schemas.openxmlformats.org/officeDocument/2006/relationships/hyperlink" Target="https://www.sec.gov/Archives/edgar/data/1590895/000119312523169019/d522744dex31.htm" TargetMode="External"/><Relationship Id="rId60" Type="http://schemas.openxmlformats.org/officeDocument/2006/relationships/hyperlink" Target="https://www.sec.gov/Archives/edgar/data/1590895/000119312522208845/d332982dex31.htm" TargetMode="External"/><Relationship Id="rId61" Type="http://schemas.openxmlformats.org/officeDocument/2006/relationships/hyperlink" Target="https://www.sec.gov/Archives/edgar/data/1590895/000119312524026847/d739529dex101.htm" TargetMode="External"/><Relationship Id="rId62" Type="http://schemas.openxmlformats.org/officeDocument/2006/relationships/hyperlink" Target="https://www.sec.gov/Archives/edgar/data/1590895/000119312524026847/d739529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2024-04-30T15:34:31Z</dcterms:created>
  <dcterms:modified xsi:type="dcterms:W3CDTF">2024-04-30T15:34:31Z</dcterms:modified>
</cp:coreProperties>
</file>