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pPr>
      <w:r>
        <w:rPr>
          <w:rFonts w:ascii="Times New Roman;serif" w:hAnsi="Times New Roman;serif"/>
          <w:b/>
          <w:color w:val="000000"/>
          <w:sz w:val="20"/>
        </w:rPr>
        <w:t>Commission File No. 001</w:t>
      </w:r>
      <w:r>
        <w:rPr>
          <w:rFonts w:ascii="Arial;sans-serif" w:hAnsi="Arial;sans-serif"/>
          <w:b w:val="false"/>
          <w:color w:val="000000"/>
          <w:sz w:val="18"/>
        </w:rPr>
        <w:t>-</w:t>
      </w:r>
      <w:r>
        <w:rPr>
          <w:rFonts w:ascii="Times New Roman;serif" w:hAnsi="Times New Roman;serif"/>
          <w:b/>
          <w:color w:val="000000"/>
          <w:sz w:val="20"/>
        </w:rPr>
        <w:t xml:space="preserve">36629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CAESARS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46-3657681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 West Liberty Street, 12th Floor, Reno, Nevada 89501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and zip code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(775) 328-0100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40" w:after="283"/>
        <w:ind w:left="0" w:right="0" w:firstLine="90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722" w:type="dxa"/>
        <w:jc w:val="left"/>
        <w:tblInd w:w="0" w:type="dxa"/>
        <w:tblLayout w:type="fixed"/>
        <w:tblCellMar>
          <w:top w:w="28" w:type="dxa"/>
          <w:left w:w="28" w:type="dxa"/>
          <w:bottom w:w="28" w:type="dxa"/>
          <w:right w:w="28" w:type="dxa"/>
        </w:tblCellMar>
      </w:tblPr>
      <w:tblGrid>
        <w:gridCol w:w="1030"/>
        <w:gridCol w:w="903"/>
        <w:gridCol w:w="916"/>
        <w:gridCol w:w="519"/>
        <w:gridCol w:w="519"/>
        <w:gridCol w:w="521"/>
        <w:gridCol w:w="970"/>
        <w:gridCol w:w="970"/>
        <w:gridCol w:w="1374"/>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$0.00001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CZR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Stock Market</w:t>
            </w:r>
          </w:p>
        </w:tc>
      </w:tr>
    </w:tbl>
    <w:p>
      <w:pPr>
        <w:pStyle w:val="TextBody"/>
        <w:bidi w:val="0"/>
        <w:spacing w:lineRule="auto" w:line="288" w:before="0" w:after="0"/>
        <w:ind w:left="0" w:right="0" w:firstLine="90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pP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20"/>
        </w:rPr>
        <w:t>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20"/>
        </w:rPr>
        <w:t>number of shares of the Registrant’s Common Stock, $0.00001 par value per share, outstanding as of July 24, 2025 was 207,991,539.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0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
              <w:r>
                <w:rPr>
                  <w:rStyle w:val="InternetLink"/>
                  <w:rFonts w:ascii="Times New Roman;serif" w:hAnsi="Times New Roman;serif"/>
                  <w:b/>
                  <w:color w:val="0000FF"/>
                  <w:sz w:val="20"/>
                  <w:u w:val="singl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e51d5a89a70f4793bddd722fbe83b866_13">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
              <w:r>
                <w:rPr>
                  <w:rStyle w:val="InternetLink"/>
                  <w:rFonts w:ascii="Times New Roman;serif" w:hAnsi="Times New Roman;serif"/>
                  <w:b w:val="false"/>
                  <w:color w:val="0000FF"/>
                  <w:sz w:val="20"/>
                  <w:u w:val="single"/>
                </w:rPr>
                <w:t>Unaudited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3">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6">
              <w:r>
                <w:rPr>
                  <w:rStyle w:val="InternetLink"/>
                  <w:rFonts w:ascii="Times New Roman;serif" w:hAnsi="Times New Roman;serif"/>
                  <w:b w:val="false"/>
                  <w:color w:val="0000FF"/>
                  <w:sz w:val="20"/>
                  <w:u w:val="single"/>
                </w:rPr>
                <w:t>Consolidated Condensed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6">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9">
              <w:r>
                <w:rPr>
                  <w:rStyle w:val="InternetLink"/>
                  <w:rFonts w:ascii="Times New Roman;serif" w:hAnsi="Times New Roman;serif"/>
                  <w:b w:val="false"/>
                  <w:color w:val="0000FF"/>
                  <w:sz w:val="20"/>
                  <w:u w:val="single"/>
                </w:rPr>
                <w:t>Consolidated Condensed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9">
              <w:r>
                <w:rPr>
                  <w:rStyle w:val="InternetLink"/>
                  <w:rFonts w:ascii="Times New Roman;serif" w:hAnsi="Times New Roman;serif"/>
                  <w:b w:val="false"/>
                  <w:strike w:val="false"/>
                  <w:dstrike w:val="false"/>
                  <w:color w:val="0000FF"/>
                  <w:sz w:val="20"/>
                  <w:u w:val="none"/>
                  <w:effect w:val="none"/>
                </w:rPr>
                <w:t>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22">
              <w:r>
                <w:rPr>
                  <w:rStyle w:val="InternetLink"/>
                  <w:rFonts w:ascii="Times New Roman;serif" w:hAnsi="Times New Roman;serif"/>
                  <w:b w:val="false"/>
                  <w:color w:val="0000FF"/>
                  <w:sz w:val="20"/>
                  <w:u w:val="single"/>
                </w:rPr>
                <w:t>Consolidated Condensed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22">
              <w:r>
                <w:rPr>
                  <w:rStyle w:val="InternetLink"/>
                  <w:rFonts w:ascii="Times New Roman;serif" w:hAnsi="Times New Roman;serif"/>
                  <w:b w:val="false"/>
                  <w:strike w:val="false"/>
                  <w:dstrike w:val="false"/>
                  <w:color w:val="0000FF"/>
                  <w:sz w:val="20"/>
                  <w:u w:val="none"/>
                  <w:effect w:val="none"/>
                </w:rPr>
                <w:t>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25">
              <w:r>
                <w:rPr>
                  <w:rStyle w:val="InternetLink"/>
                  <w:rFonts w:ascii="Times New Roman;serif" w:hAnsi="Times New Roman;serif"/>
                  <w:b w:val="false"/>
                  <w:color w:val="0000FF"/>
                  <w:sz w:val="20"/>
                  <w:u w:val="single"/>
                </w:rPr>
                <w:t>Consolidated Condensed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25">
              <w:r>
                <w:rPr>
                  <w:rStyle w:val="InternetLink"/>
                  <w:rFonts w:ascii="Times New Roman;serif" w:hAnsi="Times New Roman;serif"/>
                  <w:b w:val="false"/>
                  <w:strike w:val="false"/>
                  <w:dstrike w:val="false"/>
                  <w:color w:val="0000FF"/>
                  <w:sz w:val="20"/>
                  <w:u w:val="none"/>
                  <w:effect w:val="none"/>
                </w:rPr>
                <w:t>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28">
              <w:r>
                <w:rPr>
                  <w:rStyle w:val="InternetLink"/>
                  <w:rFonts w:ascii="Times New Roman;serif" w:hAnsi="Times New Roman;serif"/>
                  <w:b w:val="false"/>
                  <w:color w:val="0000FF"/>
                  <w:sz w:val="20"/>
                  <w:u w:val="single"/>
                </w:rPr>
                <w:t>Consolidated Condensed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28">
              <w:r>
                <w:rPr>
                  <w:rStyle w:val="InternetLink"/>
                  <w:rFonts w:ascii="Times New Roman;serif" w:hAnsi="Times New Roman;serif"/>
                  <w:b w:val="false"/>
                  <w:strike w:val="false"/>
                  <w:dstrike w:val="false"/>
                  <w:color w:val="0000FF"/>
                  <w:sz w:val="20"/>
                  <w:u w:val="none"/>
                  <w:effect w:val="none"/>
                </w:rPr>
                <w:t>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34">
              <w:r>
                <w:rPr>
                  <w:rStyle w:val="InternetLink"/>
                  <w:rFonts w:ascii="Times New Roman;serif" w:hAnsi="Times New Roman;serif"/>
                  <w:b w:val="false"/>
                  <w:color w:val="0000FF"/>
                  <w:sz w:val="20"/>
                  <w:u w:val="single"/>
                </w:rPr>
                <w:t>Notes to Consolidated Condensed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51d5a89a70f4793bddd722fbe83b866_34">
              <w:r>
                <w:rPr>
                  <w:rStyle w:val="InternetLink"/>
                  <w:rFonts w:ascii="Times New Roman;serif" w:hAnsi="Times New Roman;serif"/>
                  <w:b w:val="false"/>
                  <w:strike w:val="false"/>
                  <w:dstrike w:val="false"/>
                  <w:color w:val="0000FF"/>
                  <w:sz w:val="20"/>
                  <w:u w:val="none"/>
                  <w:effect w:val="none"/>
                </w:rPr>
                <w:t>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85">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51d5a89a70f4793bddd722fbe83b866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85">
              <w:r>
                <w:rPr>
                  <w:rStyle w:val="InternetLink"/>
                  <w:rFonts w:ascii="Times New Roman;serif" w:hAnsi="Times New Roman;serif"/>
                  <w:b w:val="false"/>
                  <w:strike w:val="false"/>
                  <w:dstrike w:val="false"/>
                  <w:color w:val="0000FF"/>
                  <w:sz w:val="20"/>
                  <w:u w:val="none"/>
                  <w:effect w:val="none"/>
                </w:rPr>
                <w:t>27</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15">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51d5a89a70f4793bddd722fbe83b866_115">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15">
              <w:r>
                <w:rPr>
                  <w:rStyle w:val="InternetLink"/>
                  <w:rFonts w:ascii="Times New Roman;serif" w:hAnsi="Times New Roman;serif"/>
                  <w:b w:val="false"/>
                  <w:strike w:val="false"/>
                  <w:dstrike w:val="false"/>
                  <w:color w:val="0000FF"/>
                  <w:sz w:val="20"/>
                  <w:u w:val="none"/>
                  <w:effect w:val="none"/>
                </w:rPr>
                <w:t>39</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18">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18">
              <w:r>
                <w:rPr>
                  <w:rStyle w:val="InternetLink"/>
                  <w:rFonts w:ascii="Times New Roman;serif" w:hAnsi="Times New Roman;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18">
              <w:r>
                <w:rPr>
                  <w:rStyle w:val="InternetLink"/>
                  <w:rFonts w:ascii="Times New Roman;serif" w:hAnsi="Times New Roman;serif"/>
                  <w:b w:val="false"/>
                  <w:strike w:val="false"/>
                  <w:dstrike w:val="false"/>
                  <w:color w:val="0000FF"/>
                  <w:sz w:val="20"/>
                  <w:u w:val="none"/>
                  <w:effect w:val="none"/>
                </w:rPr>
                <w:t>40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21">
              <w:r>
                <w:rPr>
                  <w:rStyle w:val="InternetLink"/>
                  <w:rFonts w:ascii="Times New Roman;serif" w:hAnsi="Times New Roman;serif"/>
                  <w:b/>
                  <w:color w:val="0000FF"/>
                  <w:sz w:val="20"/>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21">
              <w:r>
                <w:rPr>
                  <w:rStyle w:val="InternetLink"/>
                  <w:rFonts w:ascii="Times New Roman;serif" w:hAnsi="Times New Roman;serif"/>
                  <w:b w:val="false"/>
                  <w:strike w:val="false"/>
                  <w:dstrike w:val="false"/>
                  <w:color w:val="0000FF"/>
                  <w:sz w:val="20"/>
                  <w:u w:val="none"/>
                  <w:effect w:val="none"/>
                </w:rPr>
                <w:t>41</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24">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24">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24">
              <w:r>
                <w:rPr>
                  <w:rStyle w:val="InternetLink"/>
                  <w:rFonts w:ascii="Times New Roman;serif" w:hAnsi="Times New Roman;serif"/>
                  <w:b w:val="false"/>
                  <w:strike w:val="false"/>
                  <w:dstrike w:val="false"/>
                  <w:color w:val="0000FF"/>
                  <w:sz w:val="20"/>
                  <w:u w:val="none"/>
                  <w:effect w:val="none"/>
                </w:rPr>
                <w:t>41</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0">
              <w:r>
                <w:rPr>
                  <w:rStyle w:val="InternetLink"/>
                  <w:rFonts w:ascii="Times New Roman;serif" w:hAnsi="Times New Roman;serif"/>
                  <w:b w:val="false"/>
                  <w:strike w:val="false"/>
                  <w:dstrike w:val="false"/>
                  <w:color w:val="0000FF"/>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0">
              <w:r>
                <w:rPr>
                  <w:rStyle w:val="InternetLink"/>
                  <w:rFonts w:ascii="Times New Roman;serif" w:hAnsi="Times New Roman;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30">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3">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3">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33">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9">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39">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39">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42">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42">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42">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45">
              <w:r>
                <w:rPr>
                  <w:rStyle w:val="InternetLink"/>
                  <w:rFonts w:ascii="Times New Roman;serif" w:hAnsi="Times New Roman;serif"/>
                  <w:b w:val="false"/>
                  <w:strike w:val="false"/>
                  <w:dstrike w:val="false"/>
                  <w:color w:val="0000FF"/>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45">
              <w:r>
                <w:rPr>
                  <w:rStyle w:val="InternetLink"/>
                  <w:rFonts w:ascii="Times New Roman;serif" w:hAnsi="Times New Roman;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45">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51d5a89a70f4793bddd722fbe83b866_151">
              <w:r>
                <w:rPr>
                  <w:rStyle w:val="InternetLink"/>
                  <w:rFonts w:ascii="Times New Roman;serif" w:hAnsi="Times New Roman;serif"/>
                  <w:b w:val="false"/>
                  <w:strike w:val="false"/>
                  <w:dstrike w:val="false"/>
                  <w:color w:val="0000FF"/>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51d5a89a70f4793bddd722fbe83b866_151">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51d5a89a70f4793bddd722fbe83b866_151">
              <w:r>
                <w:rPr>
                  <w:rStyle w:val="InternetLink"/>
                  <w:rFonts w:ascii="Times New Roman;serif" w:hAnsi="Times New Roman;serif"/>
                  <w:b w:val="false"/>
                  <w:strike w:val="false"/>
                  <w:dstrike w:val="false"/>
                  <w:color w:val="0000FF"/>
                  <w:sz w:val="20"/>
                  <w:u w:val="none"/>
                  <w:effect w:val="none"/>
                </w:rPr>
                <w:t>44</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d5a89a70f4793bddd722fbe83b866_157">
              <w:r>
                <w:rPr>
                  <w:rStyle w:val="InternetLink"/>
                  <w:rFonts w:ascii="Times New Roman;serif" w:hAnsi="Times New Roman;serif"/>
                  <w:b/>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51d5a89a70f4793bddd722fbe83b866_157">
              <w:r>
                <w:rPr>
                  <w:rStyle w:val="InternetLink"/>
                  <w:rFonts w:ascii="Times New Roman;serif" w:hAnsi="Times New Roman;serif"/>
                  <w:b w:val="false"/>
                  <w:strike w:val="false"/>
                  <w:dstrike w:val="false"/>
                  <w:color w:val="0000FF"/>
                  <w:sz w:val="20"/>
                  <w:u w:val="none"/>
                  <w:effect w:val="none"/>
                </w:rPr>
                <w:t>45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center"/>
        <w:rPr>
          <w:rFonts w:ascii="Times New Roman;serif" w:hAnsi="Times New Roman;serif"/>
          <w:b/>
          <w:color w:val="BF2115"/>
          <w:sz w:val="24"/>
        </w:rPr>
      </w:pPr>
      <w:r>
        <w:rPr>
          <w:rFonts w:ascii="Times New Roman;serif" w:hAnsi="Times New Roman;serif"/>
          <w:b/>
          <w:color w:val="BF2115"/>
          <w:sz w:val="24"/>
        </w:rPr>
        <w:t>PART I - FINANCIAL INFORMATION</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166" w:type="dxa"/>
        <w:jc w:val="left"/>
        <w:tblInd w:w="0" w:type="dxa"/>
        <w:tblLayout w:type="fixed"/>
        <w:tblCellMar>
          <w:top w:w="28" w:type="dxa"/>
          <w:left w:w="28" w:type="dxa"/>
          <w:bottom w:w="28" w:type="dxa"/>
          <w:right w:w="28" w:type="dxa"/>
        </w:tblCellMar>
      </w:tblPr>
      <w:tblGrid>
        <w:gridCol w:w="1485"/>
        <w:gridCol w:w="1303"/>
        <w:gridCol w:w="1307"/>
        <w:gridCol w:w="238"/>
        <w:gridCol w:w="785"/>
        <w:gridCol w:w="132"/>
        <w:gridCol w:w="109"/>
        <w:gridCol w:w="109"/>
        <w:gridCol w:w="109"/>
        <w:gridCol w:w="313"/>
        <w:gridCol w:w="1031"/>
        <w:gridCol w:w="245"/>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unconsolidated affiliates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other than goodwill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financing obligations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Commitments and contingencies (</w:t>
            </w:r>
            <w:hyperlink w:anchor="ie51d5a89a70f4793bddd722fbe83b866_49">
              <w:r>
                <w:rPr>
                  <w:rStyle w:val="InternetLink"/>
                  <w:rFonts w:ascii="Times New Roman;serif" w:hAnsi="Times New Roman;serif"/>
                  <w:b w:val="false"/>
                  <w:color w:val="0000FF"/>
                  <w:sz w:val="18"/>
                  <w:u w:val="single"/>
                </w:rPr>
                <w:t>Note 5</w:t>
              </w:r>
            </w:hyperlink>
            <w:r>
              <w:rPr>
                <w:rFonts w:ascii="Times New Roman;serif" w:hAnsi="Times New Roman;serif"/>
                <w:b w:val="false"/>
                <w:color w:val="000000"/>
                <w:sz w:val="18"/>
              </w:rPr>
              <w:t>)</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stockholders’ equity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4165"/>
                <wp:effectExtent l="0" t="0" r="0" b="0"/>
                <wp:wrapNone/>
                <wp:docPr id="3" name="Frame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88" w:type="dxa"/>
        <w:jc w:val="left"/>
        <w:tblInd w:w="0" w:type="dxa"/>
        <w:tblLayout w:type="fixed"/>
        <w:tblCellMar>
          <w:top w:w="28" w:type="dxa"/>
          <w:left w:w="28" w:type="dxa"/>
          <w:bottom w:w="28" w:type="dxa"/>
          <w:right w:w="28" w:type="dxa"/>
        </w:tblCellMar>
      </w:tblPr>
      <w:tblGrid>
        <w:gridCol w:w="1320"/>
        <w:gridCol w:w="1157"/>
        <w:gridCol w:w="1167"/>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loss per share - basic and diluted: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share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share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shares outstanding</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4165"/>
                <wp:effectExtent l="0" t="0" r="0" b="0"/>
                <wp:wrapNone/>
                <wp:docPr id="4" name="Frame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41" w:type="dxa"/>
        <w:jc w:val="left"/>
        <w:tblInd w:w="0" w:type="dxa"/>
        <w:tblLayout w:type="fixed"/>
        <w:tblCellMar>
          <w:top w:w="28" w:type="dxa"/>
          <w:left w:w="28" w:type="dxa"/>
          <w:bottom w:w="28" w:type="dxa"/>
          <w:right w:w="28" w:type="dxa"/>
        </w:tblCellMar>
      </w:tblPr>
      <w:tblGrid>
        <w:gridCol w:w="1628"/>
        <w:gridCol w:w="1430"/>
        <w:gridCol w:w="1442"/>
        <w:gridCol w:w="260"/>
        <w:gridCol w:w="540"/>
        <w:gridCol w:w="144"/>
        <w:gridCol w:w="144"/>
        <w:gridCol w:w="144"/>
        <w:gridCol w:w="144"/>
        <w:gridCol w:w="260"/>
        <w:gridCol w:w="659"/>
        <w:gridCol w:w="144"/>
        <w:gridCol w:w="109"/>
        <w:gridCol w:w="109"/>
        <w:gridCol w:w="109"/>
        <w:gridCol w:w="226"/>
        <w:gridCol w:w="573"/>
        <w:gridCol w:w="125"/>
        <w:gridCol w:w="125"/>
        <w:gridCol w:w="125"/>
        <w:gridCol w:w="125"/>
        <w:gridCol w:w="226"/>
        <w:gridCol w:w="573"/>
        <w:gridCol w:w="177"/>
      </w:tblGrid>
      <w:tr>
        <w:trPr/>
        <w:tc>
          <w:tcPr>
            <w:tcW w:w="162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Caesars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4165"/>
                <wp:effectExtent l="0" t="0" r="0" b="0"/>
                <wp:wrapNone/>
                <wp:docPr id="5" name="Frame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47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196"/>
        <w:gridCol w:w="556"/>
        <w:gridCol w:w="109"/>
        <w:gridCol w:w="109"/>
        <w:gridCol w:w="109"/>
        <w:gridCol w:w="109"/>
        <w:gridCol w:w="251"/>
        <w:gridCol w:w="733"/>
        <w:gridCol w:w="142"/>
        <w:gridCol w:w="109"/>
        <w:gridCol w:w="109"/>
        <w:gridCol w:w="109"/>
        <w:gridCol w:w="402"/>
        <w:gridCol w:w="679"/>
        <w:gridCol w:w="225"/>
        <w:gridCol w:w="109"/>
        <w:gridCol w:w="109"/>
        <w:gridCol w:w="109"/>
        <w:gridCol w:w="223"/>
        <w:gridCol w:w="463"/>
        <w:gridCol w:w="125"/>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withheld related to net share settlement of stock awards </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2024</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Cancellation of shares issued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2024</w:t>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6" name="Frame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71"/>
        <w:gridCol w:w="2487"/>
        <w:gridCol w:w="2514"/>
        <w:gridCol w:w="207"/>
        <w:gridCol w:w="590"/>
        <w:gridCol w:w="115"/>
        <w:gridCol w:w="115"/>
        <w:gridCol w:w="115"/>
        <w:gridCol w:w="115"/>
        <w:gridCol w:w="207"/>
        <w:gridCol w:w="498"/>
        <w:gridCol w:w="171"/>
      </w:tblGrid>
      <w:tr>
        <w:trPr/>
        <w:tc>
          <w:tcPr>
            <w:tcW w:w="3071"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8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discounts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 and disposal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 to net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 and payable,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from unconsolidated affiliate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revolving credit facilities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 payments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extinguishment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owners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AMOUNTS REPORTED WITHIN THE CONSOLIDATED CONDENSED BALANCE SHEETS: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and escrow cash included in other long-term assets,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80" w:after="283"/>
        <w:jc w:val="left"/>
        <w:rPr/>
      </w:pPr>
      <w:r>
        <w:rPr/>
      </w:r>
    </w:p>
    <w:tbl>
      <w:tblPr>
        <w:tblW w:w="7738" w:type="dxa"/>
        <w:jc w:val="center"/>
        <w:tblInd w:w="0" w:type="dxa"/>
        <w:tblLayout w:type="fixed"/>
        <w:tblCellMar>
          <w:top w:w="28" w:type="dxa"/>
          <w:left w:w="28" w:type="dxa"/>
          <w:bottom w:w="28" w:type="dxa"/>
          <w:right w:w="28" w:type="dxa"/>
        </w:tblCellMar>
      </w:tblPr>
      <w:tblGrid>
        <w:gridCol w:w="1976"/>
        <w:gridCol w:w="1733"/>
        <w:gridCol w:w="1751"/>
        <w:gridCol w:w="245"/>
        <w:gridCol w:w="526"/>
        <w:gridCol w:w="136"/>
        <w:gridCol w:w="136"/>
        <w:gridCol w:w="136"/>
        <w:gridCol w:w="136"/>
        <w:gridCol w:w="245"/>
        <w:gridCol w:w="526"/>
        <w:gridCol w:w="192"/>
      </w:tblGrid>
      <w:tr>
        <w:trPr/>
        <w:tc>
          <w:tcPr>
            <w:tcW w:w="197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debt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rent related to financing obligations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for capital expenditures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Form 10-Q should be read in conjunction with our Annual Report on Form 10-K for the year ended December 31, 2024 (the “2024 Annual Report”). Capitalized terms used but not defined in this Form 10-Q have the same meanings as in the 2024 Annual Report.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pStyle w:val="TextBody"/>
        <w:bidi w:val="0"/>
        <w:spacing w:lineRule="auto" w:line="288" w:before="0" w:after="0"/>
        <w:jc w:val="both"/>
        <w:rPr>
          <w:rFonts w:ascii="Times New Roman;serif" w:hAnsi="Times New Roman;serif"/>
          <w:b/>
          <w:color w:val="BF2115"/>
          <w:sz w:val="24"/>
        </w:rPr>
      </w:pPr>
      <w:r>
        <w:rPr>
          <w:rFonts w:ascii="Times New Roman;serif" w:hAnsi="Times New Roman;serif"/>
          <w:b/>
          <w:color w:val="BF2115"/>
          <w:sz w:val="24"/>
        </w:rPr>
        <w:t>Note 1. Organization and Description of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leases, brands or manages an aggregate of 53 domestic properties in 18 states with approximately 51,900 slot machines, video lottery terminals and e-tables, approximately 2,800 table games and approximately 45,900 hotel rooms as of June 30, 2025. In addition, the Company has other properties in North America that are authorized to use the brands and marks of Caesars Entertainment, Inc., as well as other non-gaming properties. The Company’s primary source of revenue is generated by its gaming operations, which includes its casino properties, retail and online sports betting, and online gaming. Additionally,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for retail and online sports betting, iGaming, horse racing and online poker are included under the Caesars Digital segment. The Company operates retail and online sports wagering in 33 jurisdictions in North America, 26 of which offer online sports betting, and operates iGaming in five jurisdictions in North America as of June 30, 2025. The Company operates the Caesars Sportsbook app, the Caesars Racebook app, the Caesars Palace Online Casino app and the Horseshoe Online Casino app which initially launched in October 2024. The Company also expects to continue to grow its operations in the Caesars Digital segment as new jurisdictions legalize retail and online sports betting and iGaming.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periodically divests assets that it may not consider core to its business to raise capital or, in some cases, to comply with conditions, terms, obligations or restrictions imposed by antitrust, gaming and other regulatory entities.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December 12, 2024, the Company closed the sale of the LINQ Promenade to a joint venture between TPG Real Estate and the Investment Management Platform of Acadia Realty Trust for $275 million. The LINQ Promenade was reported within the Las Vegas segment. For the three and six months ended June 30, 2024, the operations of the LINQ Promenade resulted in $6 million and $12 million of net revenues, respectively, and $4 million and $8 million of net income, respectively.</w:t>
      </w:r>
    </w:p>
    <w:p>
      <w:pPr>
        <w:pStyle w:val="TextBody"/>
        <w:bidi w:val="0"/>
        <w:spacing w:lineRule="auto" w:line="288" w:before="180" w:after="283"/>
        <w:jc w:val="both"/>
        <w:rPr/>
      </w:pPr>
      <w:r>
        <w:rPr>
          <w:rFonts w:ascii="Times New Roman;serif" w:hAnsi="Times New Roman;serif"/>
          <w:b w:val="false"/>
          <w:color w:val="000000"/>
          <w:sz w:val="20"/>
        </w:rPr>
        <w:t xml:space="preserve">On October 29, 2024, the Company closed the sale of the World Series of Poker (“WSOP”) trademark to NSUS Group Inc. for total consideration of $500 million, which included a $250 million note receivable. In July 2025, the Company monetized $225 million of notes receivable and applied the proceeds to the redemption of outstanding debt. See </w:t>
      </w:r>
      <w:hyperlink w:anchor="ie51d5a89a70f4793bddd722fbe83b866_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2. Basis of Presentation and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pStyle w:val="TextBody"/>
        <w:bidi w:val="0"/>
        <w:spacing w:lineRule="auto" w:line="288" w:before="180" w:after="283"/>
        <w:jc w:val="both"/>
        <w:rPr/>
      </w:pPr>
      <w:r>
        <w:rPr>
          <w:rFonts w:ascii="Times New Roman;serif" w:hAnsi="Times New Roman;serif"/>
          <w:b w:val="false"/>
          <w:color w:val="000000"/>
          <w:sz w:val="20"/>
        </w:rPr>
        <w:t xml:space="preserve">The presentation of financial information herein for the periods after the divestiture of the LINQ Promenade is not fully comparable to the periods prior to such divestiture. See </w:t>
      </w:r>
      <w:hyperlink w:anchor="ie51d5a89a70f4793bddd722fbe83b866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include the accounts of Caesars Entertainment, Inc. and its subsidiaries after elimination of all intercompany accounts and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Consolidation of Subsidiaries and Variable Interest Entities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Observable inputs such as quoted prices in active markets.</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color w:val="000000"/>
          <w:sz w:val="20"/>
        </w:rPr>
        <w:t>Level 2: Inputs other than quoted prices in active markets that are either directly or indirectly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Unobservable inputs that reflect the Company’s own assumptions, as there is little, if any, related market activity.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Restricted cash includes cash or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Marketable Securities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 1) and represent the amounts the Company would expect to receive if the Company sold these marketable securities. As of both June 30, 2025 and December 31, 2024, the Company held $2 million in Level 1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may enter into derivative instruments to hedge the risk of fluctuations in interest rates, foreign exchange rates or pricing for other commodities. These agreements are designated as cash flow hedges. As of June 30, 2025 and December 31, 2024, the Company did not hold any cash flow hedges or any derivative financial instruments for trading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the advertising first occurs. Advertising costs for the three months ended June 30, 2025 and 2024 were $49 million and $48 million, respectively, and for the six months ended June 30, 2025 and 2024 totaled $109 million and $112 million, respectively, and are included within operating expenses. Advertising costs related to the Caesars Digital segment are primarily recorded in Casino expense.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6990" w:type="dxa"/>
        <w:jc w:val="left"/>
        <w:tblInd w:w="0" w:type="dxa"/>
        <w:tblLayout w:type="fixed"/>
        <w:tblCellMar>
          <w:top w:w="28" w:type="dxa"/>
          <w:left w:w="28" w:type="dxa"/>
          <w:bottom w:w="28" w:type="dxa"/>
          <w:right w:w="28" w:type="dxa"/>
        </w:tblCellMar>
      </w:tblPr>
      <w:tblGrid>
        <w:gridCol w:w="707"/>
        <w:gridCol w:w="620"/>
        <w:gridCol w:w="622"/>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net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Pronouncements to Be Implemented in Future Periods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(as clarified in January 2025 by ASU 2025-01), the Financial Accounting Standards Board (“FASB”) issued Accounting Standards Update (“ASU”) 2024-03, “Income Statement—Reporting Comprehensive Income—Expense Disaggregation Disclosures,” which requires additional disclosure about specific expense categories in the notes to financial statements. This information is generally not presented in the financial statements today. This update applies to all public business entities and will be effective for annual reporting periods beginning after December 15, 2026, and interim reporting periods within annual reporting periods beginning after December 15, 2027. Early adoption is permitted. We do not expect the amendments in this update to have a material impact on our Financial Statements.</w:t>
      </w:r>
    </w:p>
    <w:p>
      <w:pPr>
        <w:pStyle w:val="TextBody"/>
        <w:bidi w:val="0"/>
        <w:spacing w:lineRule="auto" w:line="288" w:before="180" w:after="283"/>
        <w:jc w:val="both"/>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Improvements to Income Tax Disclosures,</w:t>
      </w:r>
      <w:r>
        <w:rPr>
          <w:color w:val="000000"/>
        </w:rPr>
        <w:t xml:space="preserve">” </w:t>
      </w:r>
      <w:r>
        <w:rPr>
          <w:rFonts w:ascii="Times New Roman;serif" w:hAnsi="Times New Roman;serif"/>
          <w:b w:val="false"/>
          <w:color w:val="000000"/>
          <w:sz w:val="20"/>
        </w:rPr>
        <w:t>which requires disaggregated information about an entity’s effective tax rate reconciliation as well as information on income taxes paid. These updates apply to all entities subject to income taxes and will be effective for annual periods beginning after December 15, 2024. Early adoption is permitted. Updates are to be applied on a prospective basis with the option to apply the standard retrospectively. We do not expect the amendments in this update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3. Property and Equipment</w:t>
      </w:r>
    </w:p>
    <w:tbl>
      <w:tblPr>
        <w:tblW w:w="7421" w:type="dxa"/>
        <w:jc w:val="left"/>
        <w:tblInd w:w="0" w:type="dxa"/>
        <w:tblLayout w:type="fixed"/>
        <w:tblCellMar>
          <w:top w:w="28" w:type="dxa"/>
          <w:left w:w="28" w:type="dxa"/>
          <w:bottom w:w="28" w:type="dxa"/>
          <w:right w:w="28" w:type="dxa"/>
        </w:tblCellMar>
      </w:tblPr>
      <w:tblGrid>
        <w:gridCol w:w="1576"/>
        <w:gridCol w:w="1383"/>
        <w:gridCol w:w="1391"/>
        <w:gridCol w:w="238"/>
        <w:gridCol w:w="785"/>
        <w:gridCol w:w="132"/>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riverboats, and leasehold and land improvements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portion of our property and equipment is subject to various operating leases for which we are the lessor. Leased property includes our hotel rooms, convention space and retail space through various short-term and long-term operating leases.</w:t>
      </w:r>
    </w:p>
    <w:tbl>
      <w:tblPr>
        <w:tblW w:w="7402" w:type="dxa"/>
        <w:jc w:val="left"/>
        <w:tblInd w:w="0" w:type="dxa"/>
        <w:tblLayout w:type="fixed"/>
        <w:tblCellMar>
          <w:top w:w="28" w:type="dxa"/>
          <w:left w:w="28" w:type="dxa"/>
          <w:bottom w:w="28" w:type="dxa"/>
          <w:right w:w="28" w:type="dxa"/>
        </w:tblCellMar>
      </w:tblPr>
      <w:tblGrid>
        <w:gridCol w:w="695"/>
        <w:gridCol w:w="611"/>
        <w:gridCol w:w="614"/>
        <w:gridCol w:w="269"/>
        <w:gridCol w:w="578"/>
        <w:gridCol w:w="149"/>
        <w:gridCol w:w="149"/>
        <w:gridCol w:w="149"/>
        <w:gridCol w:w="149"/>
        <w:gridCol w:w="269"/>
        <w:gridCol w:w="578"/>
        <w:gridCol w:w="149"/>
        <w:gridCol w:w="109"/>
        <w:gridCol w:w="109"/>
        <w:gridCol w:w="109"/>
        <w:gridCol w:w="246"/>
        <w:gridCol w:w="529"/>
        <w:gridCol w:w="137"/>
        <w:gridCol w:w="137"/>
        <w:gridCol w:w="137"/>
        <w:gridCol w:w="137"/>
        <w:gridCol w:w="246"/>
        <w:gridCol w:w="529"/>
        <w:gridCol w:w="137"/>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Depreciation Expense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4. Goodwill and Intangible Assets,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for impairment annually on October 1 of each year, or whenever events or circumstances make it more likely than not that an impairment may have occurred. When such events or circumstances are noted, the Company then compares estimated future cash flows, discounted, to the carrying value of the asset. If the discounted cash flows exceed the carrying value, no impairment is recorded. Impairment charges are presented on the statements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did not recognize any impairment charges. During the three and six months ended June 30, 2024, the Company recognized impairment charges in our Regional segment related to trademarks, gaming rights and goodwill totaling $118 million.</w:t>
      </w:r>
    </w:p>
    <w:tbl>
      <w:tblPr>
        <w:tblW w:w="10205" w:type="dxa"/>
        <w:jc w:val="left"/>
        <w:tblInd w:w="0" w:type="dxa"/>
        <w:tblLayout w:type="fixed"/>
        <w:tblCellMar>
          <w:top w:w="28" w:type="dxa"/>
          <w:left w:w="28" w:type="dxa"/>
          <w:bottom w:w="28" w:type="dxa"/>
          <w:right w:w="28" w:type="dxa"/>
        </w:tblCellMar>
      </w:tblPr>
      <w:tblGrid>
        <w:gridCol w:w="1830"/>
        <w:gridCol w:w="1595"/>
        <w:gridCol w:w="1600"/>
        <w:gridCol w:w="579"/>
        <w:gridCol w:w="1246"/>
        <w:gridCol w:w="326"/>
        <w:gridCol w:w="109"/>
        <w:gridCol w:w="109"/>
        <w:gridCol w:w="109"/>
        <w:gridCol w:w="242"/>
        <w:gridCol w:w="798"/>
        <w:gridCol w:w="134"/>
        <w:gridCol w:w="134"/>
        <w:gridCol w:w="134"/>
        <w:gridCol w:w="134"/>
        <w:gridCol w:w="242"/>
        <w:gridCol w:w="687"/>
        <w:gridCol w:w="197"/>
      </w:tblGrid>
      <w:tr>
        <w:trPr/>
        <w:tc>
          <w:tcPr>
            <w:tcW w:w="183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Carrying Value of Goodwill and Other Intangible Assets</w:t>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Non-Amortizing Intangible Assets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Amortizing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2024</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June 30, 2025</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0"/>
        <w:gridCol w:w="269"/>
        <w:gridCol w:w="270"/>
        <w:gridCol w:w="215"/>
        <w:gridCol w:w="215"/>
        <w:gridCol w:w="216"/>
        <w:gridCol w:w="111"/>
        <w:gridCol w:w="111"/>
        <w:gridCol w:w="111"/>
        <w:gridCol w:w="223"/>
        <w:gridCol w:w="634"/>
        <w:gridCol w:w="124"/>
        <w:gridCol w:w="111"/>
        <w:gridCol w:w="111"/>
        <w:gridCol w:w="111"/>
        <w:gridCol w:w="327"/>
        <w:gridCol w:w="729"/>
        <w:gridCol w:w="183"/>
        <w:gridCol w:w="111"/>
        <w:gridCol w:w="111"/>
        <w:gridCol w:w="111"/>
        <w:gridCol w:w="219"/>
        <w:gridCol w:w="622"/>
        <w:gridCol w:w="121"/>
        <w:gridCol w:w="111"/>
        <w:gridCol w:w="111"/>
        <w:gridCol w:w="111"/>
        <w:gridCol w:w="223"/>
        <w:gridCol w:w="634"/>
        <w:gridCol w:w="124"/>
        <w:gridCol w:w="111"/>
        <w:gridCol w:w="111"/>
        <w:gridCol w:w="111"/>
        <w:gridCol w:w="327"/>
        <w:gridCol w:w="729"/>
        <w:gridCol w:w="183"/>
        <w:gridCol w:w="109"/>
        <w:gridCol w:w="109"/>
        <w:gridCol w:w="109"/>
        <w:gridCol w:w="218"/>
        <w:gridCol w:w="618"/>
        <w:gridCol w:w="190"/>
      </w:tblGrid>
      <w:tr>
        <w:trPr/>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5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Gross Carrying Value and Accumulated Amortization of Intangible Assets Other Than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3 - 7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rights and other</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10 - 34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Reacquired rights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3 - 6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Non-amortizing intangible assets other than Goodwill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rights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Rewards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amortizing and non-amortizing intangible assets other than Goodwill,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with respect to intangible assets totaled $33 million for both the three months ended June 30, 2025 and 2024, and for the six months ended June 30, 2025 and 2024 totaled $66 million and $69 million, respectively, which is included in Depreciation and amortization in the Statements of Operations.</w:t>
      </w:r>
    </w:p>
    <w:tbl>
      <w:tblPr>
        <w:tblW w:w="9178" w:type="dxa"/>
        <w:jc w:val="left"/>
        <w:tblInd w:w="0" w:type="dxa"/>
        <w:tblLayout w:type="fixed"/>
        <w:tblCellMar>
          <w:top w:w="28" w:type="dxa"/>
          <w:left w:w="28" w:type="dxa"/>
          <w:bottom w:w="28" w:type="dxa"/>
          <w:right w:w="28" w:type="dxa"/>
        </w:tblCellMar>
      </w:tblPr>
      <w:tblGrid>
        <w:gridCol w:w="1044"/>
        <w:gridCol w:w="915"/>
        <w:gridCol w:w="920"/>
        <w:gridCol w:w="415"/>
        <w:gridCol w:w="702"/>
        <w:gridCol w:w="232"/>
        <w:gridCol w:w="109"/>
        <w:gridCol w:w="109"/>
        <w:gridCol w:w="109"/>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Estimated Five-Year Amortization</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Estimated amortization expense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 xml:space="preserve">Note 5. Litigation, Commitments and Contingencies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proceedings, which have arisen in the normal course of our business. Such proceedings can be costly, time consuming,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certain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changes in such estimates are not expected to have a material impact on our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Commitments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Sports Sponsorship/Partnership Obligations</w:t>
      </w:r>
    </w:p>
    <w:p>
      <w:pPr>
        <w:pStyle w:val="TextBody"/>
        <w:bidi w:val="0"/>
        <w:spacing w:lineRule="auto" w:line="288" w:before="180" w:after="283"/>
        <w:jc w:val="both"/>
        <w:rPr/>
      </w:pPr>
      <w:r>
        <w:rPr>
          <w:rFonts w:ascii="Times New Roman;serif" w:hAnsi="Times New Roman;serif"/>
          <w:b w:val="false"/>
          <w:color w:val="222222"/>
          <w:sz w:val="20"/>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w:t>
      </w:r>
      <w:r>
        <w:rPr>
          <w:rFonts w:ascii="Times New Roman;serif" w:hAnsi="Times New Roman;serif"/>
          <w:b w:val="false"/>
          <w:color w:val="000000"/>
          <w:sz w:val="20"/>
        </w:rPr>
        <w:t>June 30, 2025 and December 31, 2024</w:t>
      </w:r>
      <w:r>
        <w:rPr>
          <w:rFonts w:ascii="Times New Roman;serif" w:hAnsi="Times New Roman;serif"/>
          <w:b w:val="false"/>
          <w:color w:val="222222"/>
          <w:sz w:val="20"/>
        </w:rPr>
        <w:t>, obligations related to these agreements were $372 million and $421 million, respectively, with contracts extending through 2040. These obligations are composed of various third-party agreements which have been entered into by the Company for certain of our Las Vegas and Regional properties, or our Caesars Digital segment. The agreements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165"/>
                <wp:effectExtent l="0" t="0" r="0" b="0"/>
                <wp:wrapNone/>
                <wp:docPr id="13" name="Frame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Self-Insurance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self-insured for workers compensation and other risk insurance, as well as health insurance and general liability. The Company’s total estimated self-insurance liability was $214 million and $204 million as of June 30, 2025 and December 31, 2024, respectively, which is included in Accrued other liabilities in our Balance Sheets.</w:t>
      </w:r>
    </w:p>
    <w:p>
      <w:pPr>
        <w:pStyle w:val="TextBody"/>
        <w:bidi w:val="0"/>
        <w:spacing w:lineRule="auto" w:line="288" w:before="180" w:after="283"/>
        <w:jc w:val="both"/>
        <w:rPr>
          <w:rFonts w:ascii="Times New Roman;serif" w:hAnsi="Times New Roman;serif"/>
          <w:b w:val="false"/>
          <w:color w:val="222222"/>
          <w:sz w:val="20"/>
        </w:rPr>
      </w:pPr>
      <w:r>
        <w:rPr>
          <w:rFonts w:ascii="Times New Roman;serif" w:hAnsi="Times New Roman;serif"/>
          <w:b w:val="false"/>
          <w:color w:val="222222"/>
          <w:sz w:val="20"/>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Note 6. Long-Term Debt</w:t>
      </w:r>
    </w:p>
    <w:tbl>
      <w:tblPr>
        <w:tblW w:w="9951" w:type="dxa"/>
        <w:jc w:val="left"/>
        <w:tblInd w:w="0" w:type="dxa"/>
        <w:tblLayout w:type="fixed"/>
        <w:tblCellMar>
          <w:top w:w="28" w:type="dxa"/>
          <w:left w:w="28" w:type="dxa"/>
          <w:bottom w:w="28" w:type="dxa"/>
          <w:right w:w="28" w:type="dxa"/>
        </w:tblCellMar>
      </w:tblPr>
      <w:tblGrid>
        <w:gridCol w:w="1078"/>
        <w:gridCol w:w="950"/>
        <w:gridCol w:w="953"/>
        <w:gridCol w:w="451"/>
        <w:gridCol w:w="451"/>
        <w:gridCol w:w="454"/>
        <w:gridCol w:w="120"/>
        <w:gridCol w:w="120"/>
        <w:gridCol w:w="120"/>
        <w:gridCol w:w="241"/>
        <w:gridCol w:w="241"/>
        <w:gridCol w:w="246"/>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0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Debt</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A</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CVA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CVA Delayed Draw Term Loan</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B</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B-1</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Secured Notes due 2030</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Secured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Debt</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CEI Senior Notes due 2027</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Notes due 2029</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Improvement District Bonds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notes and other payables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finance charges associated with the CEI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discounts and deferred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5"/>
        <w:gridCol w:w="640"/>
        <w:gridCol w:w="635"/>
        <w:gridCol w:w="255"/>
        <w:gridCol w:w="548"/>
        <w:gridCol w:w="143"/>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03"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Annual Estimated Debt Service Requirements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2027 </w:t>
            </w:r>
            <w:r>
              <w:rPr>
                <w:rFonts w:ascii="Times New Roman;serif" w:hAnsi="Times New Roman;serif"/>
                <w:b/>
                <w:i/>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maturities of long-term debt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interest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debt service obligation </w:t>
            </w:r>
            <w:r>
              <w:rPr>
                <w:rFonts w:ascii="Times New Roman;serif" w:hAnsi="Times New Roman;serif"/>
                <w:b w:val="false"/>
                <w:i/>
                <w:color w:val="000000"/>
                <w:sz w:val="12"/>
              </w:rPr>
              <w:t>(b)</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Maturities of $546 million in 2027 were repaid with borrowings under the CEI Revolving Credit Facility and proceeds received from the partial repayment and sale of notes receivable related to our previously disclosed WSOP trademark sale. See “CEI Senior Notes due 2027” below.</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Debt principal payments are estimated amounts based on contractual maturity and scheduled repayment dates. Interest payments are estimated based on the forward-looking SOFR curve, where applicable. Actual payments may differ from these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Current Portion of Long-Term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current portion of long-term debt as of June 30, 2025 includes the principal payments on the term loans, special improvement district bonds, and other unsecured borrowings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165"/>
                <wp:effectExtent l="0" t="0" r="0" b="0"/>
                <wp:wrapNone/>
                <wp:docPr id="14" name="Frame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Discounts or Premiums and Deferred Finance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amortization of the debt issuance costs and the discount and/or premium associated with the Company’s indebtedness totaled $7 million for both the three months ended June 30, 2025 and 2024, and $13 million and $15 million for the six months ended June 30, 2025 and 2024, respectively, and is included in interest expense.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debt has been calculated primarily based on the borrowing rates available as of June 30, 2025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Terms of Outstanding Debt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Term Loans and CEI Revolving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The CEI Revolving Credit Facility includes a letter of credit sub-facility of $388 million and contains reserves of $40 million which are available only for certain permitted uses.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The CEI Term Loan A requires scheduled quarterly payments in amounts equal to 1.25% of the original aggregate principal amount of the CEI Term Loan A, with the balance payable at maturity.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CEI Revolving Credit Facility and the CEI Term Loan A bear interest, paid at least quarterly, at a rate equal to, at the Company’s option, either (a) 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pStyle w:val="TextBody"/>
        <w:bidi w:val="0"/>
        <w:spacing w:lineRule="auto" w:line="288" w:before="18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On February 6, 2023, the Company entered into an Incremental Assumption Agreement No. 2 pursuant to which the Company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 will mature on February 6,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165"/>
                <wp:effectExtent l="0" t="0" r="0" b="0"/>
                <wp:wrapNone/>
                <wp:docPr id="15" name="Frame1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pPr>
      <w:r>
        <w:rPr>
          <w:rFonts w:ascii="Times New Roman;serif" w:hAnsi="Times New Roman;serif"/>
          <w:b w:val="false"/>
          <w:color w:val="212529"/>
          <w:sz w:val="20"/>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bear interest</w:t>
      </w:r>
      <w:r>
        <w:rPr>
          <w:rFonts w:ascii="Times New Roman;serif" w:hAnsi="Times New Roman;serif"/>
          <w:b w:val="false"/>
          <w:color w:val="000000"/>
          <w:sz w:val="20"/>
        </w:rPr>
        <w:t>, paid at least quarterly,</w:t>
      </w:r>
      <w:r>
        <w:rPr>
          <w:color w:val="212529"/>
        </w:rPr>
        <w:t xml:space="preserve"> </w:t>
      </w:r>
      <w:r>
        <w:rPr>
          <w:rFonts w:ascii="Times New Roman;serif" w:hAnsi="Times New Roman;serif"/>
          <w:b w:val="false"/>
          <w:color w:val="212529"/>
          <w:sz w:val="20"/>
        </w:rPr>
        <w:t>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B-1 will mature on February 6, 2031.</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utilized and fully repaid the CEI Revolving Credit Facility. Such activity is presented in the financing section in the Statements of Cash Flows. As of June 30, 2025, the Company had $2.1 billion of available borrowing capacity under the CEI Revolving Credit Facility, after consideration of $90 million in outstanding letters of credit, $46 million committed for regulatory purposes, and the reserves described above.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Virginia Credit Facility due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up to an aggregate principal amount of $400 million (the “CVA Delayed Draw Term Loan”) and a senior secured first lien revolving credit facility in an aggregate principal amount of $25 million (the “CVA Revolving Credit Facility”), both maturing on April 26, 2029.</w:t>
      </w:r>
    </w:p>
    <w:p>
      <w:pPr>
        <w:pStyle w:val="TextBody"/>
        <w:bidi w:val="0"/>
        <w:spacing w:lineRule="auto" w:line="288" w:before="180" w:after="283"/>
        <w:jc w:val="both"/>
        <w:rPr/>
      </w:pPr>
      <w:r>
        <w:rPr>
          <w:rFonts w:ascii="Times New Roman;serif" w:hAnsi="Times New Roman;serif"/>
          <w:b w:val="false"/>
          <w:color w:val="212529"/>
          <w:sz w:val="20"/>
        </w:rPr>
        <w:t xml:space="preserve">The CVA Delayed Draw Term Loan requires quarterly principal payments which began on </w:t>
      </w:r>
      <w:r>
        <w:rPr>
          <w:rFonts w:ascii="Times New Roman;serif" w:hAnsi="Times New Roman;serif"/>
          <w:b w:val="false"/>
          <w:color w:val="000000"/>
          <w:sz w:val="20"/>
        </w:rPr>
        <w:t>June 30, 2025</w:t>
      </w:r>
      <w:r>
        <w:rPr>
          <w:rFonts w:ascii="Times New Roman;serif" w:hAnsi="Times New Roman;serif"/>
          <w:b w:val="false"/>
          <w:color w:val="212529"/>
          <w:sz w:val="20"/>
        </w:rPr>
        <w:t xml:space="preserve">. </w:t>
      </w:r>
      <w:r>
        <w:rPr>
          <w:rFonts w:ascii="Times New Roman;serif" w:hAnsi="Times New Roman;serif"/>
          <w:b w:val="false"/>
          <w:color w:val="000000"/>
          <w:sz w:val="20"/>
        </w:rPr>
        <w:t>The CVA Revolving Credit Facility and the CVA Delayed Draw Term Loan are subject to a variable rate of interest based on</w:t>
      </w:r>
      <w:r>
        <w:rPr>
          <w:color w:val="212529"/>
        </w:rPr>
        <w:t xml:space="preserve"> </w:t>
      </w:r>
      <w:r>
        <w:rPr>
          <w:rFonts w:ascii="Times New Roman;serif" w:hAnsi="Times New Roman;serif"/>
          <w:b w:val="false"/>
          <w:color w:val="212529"/>
          <w:sz w:val="20"/>
        </w:rPr>
        <w:t xml:space="preserve">Term SOFR plus an applicable margin. </w:t>
      </w:r>
      <w:r>
        <w:rPr>
          <w:rFonts w:ascii="Times New Roman;serif" w:hAnsi="Times New Roman;serif"/>
          <w:b w:val="false"/>
          <w:color w:val="000000"/>
          <w:sz w:val="20"/>
        </w:rPr>
        <w:t xml:space="preserve">The CVA Revolving Credit Facility includes a $10 million letter of credit sub-facility. As of June 30, 2025, there was $75 million of remaining available borrowing capacity under the </w:t>
      </w:r>
      <w:r>
        <w:rPr>
          <w:rFonts w:ascii="Times New Roman;serif" w:hAnsi="Times New Roman;serif"/>
          <w:b w:val="false"/>
          <w:color w:val="212529"/>
          <w:sz w:val="20"/>
        </w:rPr>
        <w:t>CVA Delayed Draw Term Loan</w:t>
      </w:r>
      <w:r>
        <w:rPr>
          <w:color w:val="000000"/>
        </w:rPr>
        <w:t xml:space="preserve"> </w:t>
      </w:r>
      <w:r>
        <w:rPr>
          <w:rFonts w:ascii="Times New Roman;serif" w:hAnsi="Times New Roman;serif"/>
          <w:b w:val="false"/>
          <w:color w:val="000000"/>
          <w:sz w:val="20"/>
        </w:rPr>
        <w:t>and $25 million of available borrowing capacity under the CVA Revolving Credit Facility.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Secured Notes due 2030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Secured Notes due 2032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2027</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2020, Colt Merger Sub, Inc.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8, 2025, the Company fully redeemed all of the $546 million outstanding principal amount of the CEI Senior Notes due 2027 and paid the related accrued interest and expenses with borrowings under the CEI Revolving Credit Facility and proceeds received from the partial repayment and sale of $225 million of notes receivable related to the previously disclosed WSOP trademark sale. As a result of the early repayment, the Company recognized approximately $4 million of loss on extinguishment of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165"/>
                <wp:effectExtent l="0" t="0" r="0" b="0"/>
                <wp:wrapNone/>
                <wp:docPr id="16" name="Frame1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2032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17, 2024, the Company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Debt Covenant Compliance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2027, the CEI Senior Notes due 2029 and the CEI Senior Notes due 2032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was in compliance with all of the applicable financial covenants described above.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Guarantees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2027, the CEI Senior Notes due 2029 and the CEI Senior Notes due 2032 are guaranteed on a senior unsecured basis by such subsidiaries.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7. Revenue Recognition</w:t>
      </w:r>
    </w:p>
    <w:p>
      <w:pPr>
        <w:pStyle w:val="TextBody"/>
        <w:bidi w:val="0"/>
        <w:spacing w:lineRule="auto" w:line="288" w:before="180" w:after="283"/>
        <w:jc w:val="both"/>
        <w:rPr/>
      </w:pPr>
      <w:r>
        <w:rPr>
          <w:rFonts w:ascii="Times New Roman;serif" w:hAnsi="Times New Roman;serif"/>
          <w:b w:val="false"/>
          <w:color w:val="000000"/>
          <w:sz w:val="20"/>
        </w:rPr>
        <w:t xml:space="preserve">The Company’s Statements of Operations present net revenue disaggregated by type or nature of the good or service. A summary of net revenues disaggregated by type of revenue and reportable segment is presented below. Refer to </w:t>
      </w:r>
      <w:hyperlink w:anchor="ie51d5a89a70f4793bddd722fbe83b866_76">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for additional information on the Company’s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165"/>
                <wp:effectExtent l="0" t="0" r="0" b="0"/>
                <wp:wrapNone/>
                <wp:docPr id="17" name="Frame1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445"/>
        <w:gridCol w:w="922"/>
        <w:gridCol w:w="249"/>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60" w:type="dxa"/>
        <w:jc w:val="left"/>
        <w:tblInd w:w="0" w:type="dxa"/>
        <w:tblLayout w:type="fixed"/>
        <w:tblCellMar>
          <w:top w:w="28" w:type="dxa"/>
          <w:left w:w="28" w:type="dxa"/>
          <w:bottom w:w="28" w:type="dxa"/>
          <w:right w:w="28" w:type="dxa"/>
        </w:tblCellMar>
      </w:tblPr>
      <w:tblGrid>
        <w:gridCol w:w="793"/>
        <w:gridCol w:w="696"/>
        <w:gridCol w:w="700"/>
        <w:gridCol w:w="312"/>
        <w:gridCol w:w="670"/>
        <w:gridCol w:w="173"/>
        <w:gridCol w:w="109"/>
        <w:gridCol w:w="109"/>
        <w:gridCol w:w="109"/>
        <w:gridCol w:w="402"/>
        <w:gridCol w:w="868"/>
        <w:gridCol w:w="319"/>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Net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and hotel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 and Contract Related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contract or contract 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165"/>
                <wp:effectExtent l="0" t="0" r="0" b="0"/>
                <wp:wrapNone/>
                <wp:docPr id="18" name="Frame1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Liabilities expected to be recognized as revenue beyond one year of being purchased, earned, or deposited are recorded within Other long-term liabilities on the Company’s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contract and contract related liabilities:</w:t>
      </w:r>
    </w:p>
    <w:tbl>
      <w:tblPr>
        <w:tblW w:w="9987" w:type="dxa"/>
        <w:jc w:val="left"/>
        <w:tblInd w:w="0" w:type="dxa"/>
        <w:tblLayout w:type="fixed"/>
        <w:tblCellMar>
          <w:top w:w="28" w:type="dxa"/>
          <w:left w:w="28" w:type="dxa"/>
          <w:bottom w:w="28" w:type="dxa"/>
          <w:right w:w="28" w:type="dxa"/>
        </w:tblCellMar>
      </w:tblPr>
      <w:tblGrid>
        <w:gridCol w:w="571"/>
        <w:gridCol w:w="501"/>
        <w:gridCol w:w="503"/>
        <w:gridCol w:w="270"/>
        <w:gridCol w:w="456"/>
        <w:gridCol w:w="150"/>
        <w:gridCol w:w="150"/>
        <w:gridCol w:w="150"/>
        <w:gridCol w:w="150"/>
        <w:gridCol w:w="270"/>
        <w:gridCol w:w="456"/>
        <w:gridCol w:w="150"/>
        <w:gridCol w:w="109"/>
        <w:gridCol w:w="109"/>
        <w:gridCol w:w="109"/>
        <w:gridCol w:w="196"/>
        <w:gridCol w:w="331"/>
        <w:gridCol w:w="109"/>
        <w:gridCol w:w="109"/>
        <w:gridCol w:w="109"/>
        <w:gridCol w:w="109"/>
        <w:gridCol w:w="196"/>
        <w:gridCol w:w="406"/>
        <w:gridCol w:w="109"/>
        <w:gridCol w:w="109"/>
        <w:gridCol w:w="109"/>
        <w:gridCol w:w="109"/>
        <w:gridCol w:w="417"/>
        <w:gridCol w:w="896"/>
        <w:gridCol w:w="232"/>
        <w:gridCol w:w="232"/>
        <w:gridCol w:w="232"/>
        <w:gridCol w:w="232"/>
        <w:gridCol w:w="417"/>
        <w:gridCol w:w="896"/>
        <w:gridCol w:w="32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Deposits and Other Deferred Revenue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 Revenue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Lodging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June 30, 2025 and 2024, we recognized lease revenue of approximately $509 million and $514 million, respectively, and during the six months ended June 30, 2025 and 2024, we recognized approximately $991 million and $1.0 billion, respectively, which is included in Hotel revenues in the Statements of Operations.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Conventions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June 30, 2025 and 2024, lease revenue related to conventions was approximately $14 million and $12 million, respectively, and during the six months ended June 30, 2025 and 2024, lease revenue related to conventions was approximately $29 million and $25 million, respectively.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Real Estate Operating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revenue is included in Other revenue in the Statements of Operations. During the three months ended June 30, 2025 and 2024, we recognized approximately $32 million and $37 million, respectively, and during the six months ended June 30, 2025 and 2024, we recognized approximately $61 million and $72 million, respectively, of real estate lease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revenue includes $15 million of variable rental income for both the three months ended June 30, 2025 and 2024, and $29 million and $28 million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8. Earnings per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reconciliation of the numerators and denominators of the basic and diluted net income (loss) per share computations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889"/>
        <w:gridCol w:w="1645"/>
        <w:gridCol w:w="1658"/>
        <w:gridCol w:w="235"/>
        <w:gridCol w:w="647"/>
        <w:gridCol w:w="131"/>
        <w:gridCol w:w="131"/>
        <w:gridCol w:w="131"/>
        <w:gridCol w:w="131"/>
        <w:gridCol w:w="235"/>
        <w:gridCol w:w="647"/>
        <w:gridCol w:w="131"/>
        <w:gridCol w:w="109"/>
        <w:gridCol w:w="109"/>
        <w:gridCol w:w="109"/>
        <w:gridCol w:w="215"/>
        <w:gridCol w:w="592"/>
        <w:gridCol w:w="119"/>
        <w:gridCol w:w="119"/>
        <w:gridCol w:w="119"/>
        <w:gridCol w:w="119"/>
        <w:gridCol w:w="215"/>
        <w:gridCol w:w="592"/>
        <w:gridCol w:w="177"/>
      </w:tblGrid>
      <w:tr>
        <w:trPr/>
        <w:tc>
          <w:tcPr>
            <w:tcW w:w="188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attributable to common stockholders – basic:</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attributable to common stockholders – diluted: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165"/>
                <wp:effectExtent l="0" t="0" r="0" b="0"/>
                <wp:wrapNone/>
                <wp:docPr id="19" name="Frame1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a period in which the Company generated a net loss attributable to Caesars, the weighted average shares outstanding - basic was used in calculating diluted loss per share because using diluted shares would have been anti-dilutive to loss per share.</w:t>
      </w:r>
    </w:p>
    <w:tbl>
      <w:tblPr>
        <w:tblW w:w="10144" w:type="dxa"/>
        <w:jc w:val="left"/>
        <w:tblInd w:w="0" w:type="dxa"/>
        <w:tblLayout w:type="fixed"/>
        <w:tblCellMar>
          <w:top w:w="28" w:type="dxa"/>
          <w:left w:w="28" w:type="dxa"/>
          <w:bottom w:w="28" w:type="dxa"/>
          <w:right w:w="28" w:type="dxa"/>
        </w:tblCellMar>
      </w:tblPr>
      <w:tblGrid>
        <w:gridCol w:w="930"/>
        <w:gridCol w:w="817"/>
        <w:gridCol w:w="817"/>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500"/>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014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Weighted-Average Number of Anti-Dilutive Shares Excluded from the Calculation of Earnings per Share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common stock</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9. Stock-Based Compensation and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Stock-Based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long-term incentive plan, adopted by the Board of Directors (“Board”) and approved by the Company’s stockholders, which allows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in the accompanying Statements of Operations totaled $24 million during both the three months ended June 30, 2025 and 2024, and $50 million and $49 million during the six months ended June 30, 2025 and 2024, respectively. These amounts are included in Corporate expense in the Company’s Statements of Operations.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2015 Equity Incentive Plan (the “2015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as part of the annual incentive program, the Company granted 2.2 million RSUs to eligible participants with an aggregate fair value of $76 million and generally vest ratably on each anniversary over three years from the grant date. Each RSU represents the right to receive payment in respect of one share of the Company’s Common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also granted 232 thousand PSUs to eligible participants with an aggregate fair value of $7 million that are primarily scheduled to cliff vest after three years from the date of grant. On the vesting date, recipients will receive between 0% and 200% of the target number of PSUs granted, in the form of Company Common Stock, based on the achievement of specified performance and service conditions and terms of the underlying award granted. The fair value of the PSUs is based on the market price of our common stock when a mutual understanding of the key terms and conditions of the awards between the Company and recipient is achieved. The awards are remeasured each period until such an understanding is reached.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during the six months ended June 30, 2025, the Company granted 348 thousand MSUs to eligible participants with an aggregate fair value of $16 million that are primarily scheduled to cliff vest after three years from the date of grant. On the vesting date, recipients will receive between 0% and 200% of the target number of MSUs granted, in the form of Company Common Stock, based on the achievement of specified market and service conditions and terms of the underlying award granted.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1.1 million, 80 thousand and 107 thousand of RSUs, PSUs and MSUs, respectively, vested under the 2015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165"/>
                <wp:effectExtent l="0" t="0" r="0" b="0"/>
                <wp:wrapNone/>
                <wp:docPr id="20" name="Frame2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Outstanding at End of Period</w:t>
      </w:r>
    </w:p>
    <w:tbl>
      <w:tblPr>
        <w:tblW w:w="6627" w:type="dxa"/>
        <w:jc w:val="left"/>
        <w:tblInd w:w="0" w:type="dxa"/>
        <w:tblLayout w:type="fixed"/>
        <w:tblCellMar>
          <w:top w:w="28" w:type="dxa"/>
          <w:left w:w="28" w:type="dxa"/>
          <w:bottom w:w="28" w:type="dxa"/>
          <w:right w:w="28" w:type="dxa"/>
        </w:tblCellMar>
      </w:tblPr>
      <w:tblGrid>
        <w:gridCol w:w="690"/>
        <w:gridCol w:w="606"/>
        <w:gridCol w:w="608"/>
        <w:gridCol w:w="274"/>
        <w:gridCol w:w="274"/>
        <w:gridCol w:w="278"/>
        <w:gridCol w:w="109"/>
        <w:gridCol w:w="109"/>
        <w:gridCol w:w="109"/>
        <w:gridCol w:w="232"/>
        <w:gridCol w:w="659"/>
        <w:gridCol w:w="129"/>
        <w:gridCol w:w="109"/>
        <w:gridCol w:w="109"/>
        <w:gridCol w:w="109"/>
        <w:gridCol w:w="274"/>
        <w:gridCol w:w="274"/>
        <w:gridCol w:w="278"/>
        <w:gridCol w:w="111"/>
        <w:gridCol w:w="111"/>
        <w:gridCol w:w="111"/>
        <w:gridCol w:w="229"/>
        <w:gridCol w:w="654"/>
        <w:gridCol w:w="18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Wtd-Avg </w:t>
            </w:r>
            <w:r>
              <w:rPr>
                <w:rFonts w:ascii="Times New Roman;serif" w:hAnsi="Times New Roman;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Quantity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Wtd-Avg </w:t>
            </w:r>
            <w:r>
              <w:rPr>
                <w:rFonts w:ascii="Times New Roman;serif" w:hAnsi="Times New Roman;serif"/>
                <w:b/>
                <w:i/>
                <w:color w:val="000000"/>
                <w:sz w:val="12"/>
              </w:rPr>
              <w:t>(a)</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2,668,811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Performance stock units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397,156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Market-based stock units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1,096,104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net of tax, for the periods through June 30, 2025 and 2024 are shown below.</w:t>
      </w:r>
    </w:p>
    <w:tbl>
      <w:tblPr>
        <w:tblW w:w="7799" w:type="dxa"/>
        <w:jc w:val="left"/>
        <w:tblInd w:w="0" w:type="dxa"/>
        <w:tblLayout w:type="fixed"/>
        <w:tblCellMar>
          <w:top w:w="28" w:type="dxa"/>
          <w:left w:w="28" w:type="dxa"/>
          <w:bottom w:w="28" w:type="dxa"/>
          <w:right w:w="28" w:type="dxa"/>
        </w:tblCellMar>
      </w:tblPr>
      <w:tblGrid>
        <w:gridCol w:w="1356"/>
        <w:gridCol w:w="1192"/>
        <w:gridCol w:w="1201"/>
        <w:gridCol w:w="1163"/>
        <w:gridCol w:w="1967"/>
        <w:gridCol w:w="920"/>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2023</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net of tax</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March 31, 2024</w:t>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 net of tax</w:t>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June 30, 2024</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2024</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 net of tax</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March 31, 2025</w:t>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net of tax</w:t>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June 30, 2025</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the Company announced that its Board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In April 2025, the Company acquired 4,188,466 shares of our common stock at an aggregate value of $100 million, at an average of $23.84 per share, excluding commissions or applicable excise tax. As of June 30, 2025, we are authorized to repurchase up to $350 million of common stock under the 2024 Share Repurchase Program. The 2024 Share Repurchase Program has no time limit and may be suspended or discontinued at any time without notice. There is no minimum number of shares of common stock that the Company is required to repurchase under the 2024 Share Repurchase Program. All share repurchases under the 2024 Share Repurchase Program are retired upon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10.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4, 2025, a new tax policy was enacted into law. The new tax policy makes permanent key elements of the Tax Cuts and Jobs Act from 2017, including 100% bonus depreciation, domestic research cost expensing, and the business interest expense limitation. As a result of the enactment of the legislation, the Company expects a favorable impact to tax expense during the remainder of 2025, primarily related to changes in the business interest expense limitation. The Company continues to evaluate the impact of the new tax policy and is not able to quantify the impact on the Financial Statements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165"/>
                <wp:effectExtent l="0" t="0" r="0" b="0"/>
                <wp:wrapNone/>
                <wp:docPr id="21" name="Frame2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utilized a discrete effective tax rate method, as allowed by ASC 740-270 “Income Taxes, Interim Reporting,” to calculate taxes for the three and six months ended June 30, 2025 and 2024. The Company determined that small changes in estimated “ordinary” income would result in significant changes in the estimated annual effective tax rate (“AETR”), and therefore, the AETR method would not provide a reliable estimate.</w:t>
      </w:r>
    </w:p>
    <w:tbl>
      <w:tblPr>
        <w:tblW w:w="7069" w:type="dxa"/>
        <w:jc w:val="left"/>
        <w:tblInd w:w="0" w:type="dxa"/>
        <w:tblLayout w:type="fixed"/>
        <w:tblCellMar>
          <w:top w:w="28" w:type="dxa"/>
          <w:left w:w="28" w:type="dxa"/>
          <w:bottom w:w="28" w:type="dxa"/>
          <w:right w:w="28" w:type="dxa"/>
        </w:tblCellMar>
      </w:tblPr>
      <w:tblGrid>
        <w:gridCol w:w="734"/>
        <w:gridCol w:w="643"/>
        <w:gridCol w:w="647"/>
        <w:gridCol w:w="234"/>
        <w:gridCol w:w="486"/>
        <w:gridCol w:w="306"/>
        <w:gridCol w:w="130"/>
        <w:gridCol w:w="130"/>
        <w:gridCol w:w="130"/>
        <w:gridCol w:w="234"/>
        <w:gridCol w:w="486"/>
        <w:gridCol w:w="306"/>
        <w:gridCol w:w="109"/>
        <w:gridCol w:w="109"/>
        <w:gridCol w:w="109"/>
        <w:gridCol w:w="197"/>
        <w:gridCol w:w="498"/>
        <w:gridCol w:w="257"/>
        <w:gridCol w:w="109"/>
        <w:gridCol w:w="109"/>
        <w:gridCol w:w="109"/>
        <w:gridCol w:w="197"/>
        <w:gridCol w:w="498"/>
        <w:gridCol w:w="302"/>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Allocation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assesses the available positive and negative evidence to estimate if sufficient future taxable income will be generated to use existing deferred tax assets. The Company is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six months ended June 30, 2025 and 2024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2021, and it is possible that the amount of the liability for unrecognized tax benefits could change during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11. Related Party and Affiliate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 S. &amp; Y. Associates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June 30, 2025 and December 31, 2024, there were no amounts due to or from CSY.</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i/>
          <w:color w:val="000000"/>
          <w:sz w:val="20"/>
        </w:rPr>
        <w:t>VA Holdco, LLC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May 2023, the Company entered into a joint venture, CVA Holdco, LLC, with the Eastern Band of Cherokee Indians (“EBCI”) to construct, own and operate a gaming facility in Danville, Virginia (“Caesars Virginia”). Caesars Virginia opened in a temporary facility on May 15, 2023 followed by the completion of construction and opening of the permanent facility on December 17, 2024. As the managing member, the Company operates the business and has managed the development, construction, financing, marketing, leasing, maintenance and day-to-day operation of the various phases of the project. The Company holds a 50.0% variable interest in the joint venture and is the primary beneficiary; as such, the joint venture’s operations are included in the Financial Statements, with a minority interest recorded reflecting the operations attributed to the other partner. The Company participates ratably, based on ownership percentage, in the profits and losses of the joint venture. During the six months ended June 30, 2025, the Company made distributions totaling $30 million to the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165"/>
                <wp:effectExtent l="0" t="0" r="0" b="0"/>
                <wp:wrapNone/>
                <wp:docPr id="22" name="Frame2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Pompano Joint Venture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Investments in and advances to unconsolidated affiliates on the Balance Sheets. The Company participates evenly with Cordish in the profits and losses of the joint venture, which are included in Transaction and other costs, net on the Statements of Operations. </w:t>
      </w:r>
    </w:p>
    <w:tbl>
      <w:tblPr>
        <w:tblW w:w="3951" w:type="dxa"/>
        <w:jc w:val="left"/>
        <w:tblInd w:w="0" w:type="dxa"/>
        <w:tblLayout w:type="fixed"/>
        <w:tblCellMar>
          <w:top w:w="28" w:type="dxa"/>
          <w:left w:w="28" w:type="dxa"/>
          <w:bottom w:w="28" w:type="dxa"/>
          <w:right w:w="28" w:type="dxa"/>
        </w:tblCellMar>
      </w:tblPr>
      <w:tblGrid>
        <w:gridCol w:w="1152"/>
        <w:gridCol w:w="1011"/>
        <w:gridCol w:w="1017"/>
        <w:gridCol w:w="196"/>
        <w:gridCol w:w="42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Investment in Pompano Joint Venture</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earnings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165"/>
                <wp:effectExtent l="0" t="0" r="0" b="0"/>
                <wp:wrapNone/>
                <wp:docPr id="23" name="Frame2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12. Segment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properties (listed by segment in which each property is reported) as of June 30, 2025:</w:t>
      </w:r>
    </w:p>
    <w:tbl>
      <w:tblPr>
        <w:tblW w:w="10205" w:type="dxa"/>
        <w:jc w:val="left"/>
        <w:tblInd w:w="0" w:type="dxa"/>
        <w:tblLayout w:type="fixed"/>
        <w:tblCellMar>
          <w:top w:w="28" w:type="dxa"/>
          <w:left w:w="28" w:type="dxa"/>
          <w:bottom w:w="28" w:type="dxa"/>
          <w:right w:w="28" w:type="dxa"/>
        </w:tblCellMar>
      </w:tblPr>
      <w:tblGrid>
        <w:gridCol w:w="858"/>
        <w:gridCol w:w="677"/>
        <w:gridCol w:w="685"/>
        <w:gridCol w:w="109"/>
        <w:gridCol w:w="109"/>
        <w:gridCol w:w="109"/>
        <w:gridCol w:w="881"/>
        <w:gridCol w:w="804"/>
        <w:gridCol w:w="807"/>
        <w:gridCol w:w="109"/>
        <w:gridCol w:w="109"/>
        <w:gridCol w:w="109"/>
        <w:gridCol w:w="775"/>
        <w:gridCol w:w="727"/>
        <w:gridCol w:w="729"/>
        <w:gridCol w:w="109"/>
        <w:gridCol w:w="109"/>
        <w:gridCol w:w="109"/>
        <w:gridCol w:w="665"/>
        <w:gridCol w:w="665"/>
        <w:gridCol w:w="951"/>
      </w:tblGrid>
      <w:tr>
        <w:trPr/>
        <w:tc>
          <w:tcPr>
            <w:tcW w:w="8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Managed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The Cromwell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Ak-Chin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Flamingo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Republic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Cherokee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Cherokee Valley River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Circus Circus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Resort Southern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Eldorado Gaming Scioto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Windsor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Paris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Eldorado Resort Casino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Horseshoe Indianapolis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Branded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Grand Victoria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Republic Scottsdale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Caesars Southern Indiana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Harrah’s Columbus Nebraska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Northern California</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Hoosier Park Racing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Laughlin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Metropolis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North Kansas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Philadelphia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properties operate off-track betting locations, including Harrah’s Hoosier Park Racing &amp; Casino, which operates Winner’s Circle Indianapolis and Winner’s Circle New Haven, and Horseshoe Indianapolis, which operates Winner’s Circle Clarksville. On December 12, 2024, we sold the LINQ Promenade, which is an open-air dining, entertainment, and retail promenade next to The LINQ Hotel &amp; Casino (the “LINQ”). We continue to operate the High Roller, a 550-foot observation wheel, and the Fly LINQ Zipline attraction, located on the east side of the Las Vegas Strip next to the LINQ. The CAESARS FORUM is a 550,000 square feet conference center with 300,000 square feet of flexible meeting space, two of the largest pillarless ballrooms in the world and direct access to the LINQ.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CODM assesses segment performance by using Adjusted EBITDA, which is defined and reconciled to net income (loss) below.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CODM uses Adjusted EBITDA during the annual budgeting process and evaluates budget-to-actual variances on a regular basis to make decisions about the allocation of operating and capital resources. Annual incentive awards have historically been based on the achievement of Adjusted EBITDA as a primary metric as the Company believes it most accurately reflects our results and represents a key metric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165"/>
                <wp:effectExtent l="0" t="0" r="0" b="0"/>
                <wp:wrapNone/>
                <wp:docPr id="24" name="Frame2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certain operating data for the Company’s four reportable segments, in addition to Corporate and Other:</w:t>
      </w:r>
    </w:p>
    <w:tbl>
      <w:tblPr>
        <w:tblW w:w="6874" w:type="dxa"/>
        <w:jc w:val="left"/>
        <w:tblInd w:w="0" w:type="dxa"/>
        <w:tblLayout w:type="fixed"/>
        <w:tblCellMar>
          <w:top w:w="28" w:type="dxa"/>
          <w:left w:w="28" w:type="dxa"/>
          <w:bottom w:w="28" w:type="dxa"/>
          <w:right w:w="28" w:type="dxa"/>
        </w:tblCellMar>
      </w:tblPr>
      <w:tblGrid>
        <w:gridCol w:w="664"/>
        <w:gridCol w:w="582"/>
        <w:gridCol w:w="584"/>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Las Vegas: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Regional:</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Caesars Digital:</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Managed and Branded: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Corporate and Other: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Disaggregation of Certain Significant Expenses by Segment</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165"/>
                <wp:effectExtent l="0" t="0" r="0" b="0"/>
                <wp:wrapNone/>
                <wp:docPr id="25" name="Frame2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28"/>
        <w:gridCol w:w="923"/>
        <w:gridCol w:w="243"/>
        <w:gridCol w:w="109"/>
        <w:gridCol w:w="109"/>
        <w:gridCol w:w="109"/>
        <w:gridCol w:w="453"/>
        <w:gridCol w:w="799"/>
        <w:gridCol w:w="253"/>
        <w:gridCol w:w="109"/>
        <w:gridCol w:w="109"/>
        <w:gridCol w:w="109"/>
        <w:gridCol w:w="196"/>
        <w:gridCol w:w="556"/>
        <w:gridCol w:w="161"/>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28"/>
        <w:gridCol w:w="923"/>
        <w:gridCol w:w="243"/>
        <w:gridCol w:w="109"/>
        <w:gridCol w:w="109"/>
        <w:gridCol w:w="109"/>
        <w:gridCol w:w="453"/>
        <w:gridCol w:w="799"/>
        <w:gridCol w:w="253"/>
        <w:gridCol w:w="109"/>
        <w:gridCol w:w="109"/>
        <w:gridCol w:w="109"/>
        <w:gridCol w:w="196"/>
        <w:gridCol w:w="556"/>
        <w:gridCol w:w="161"/>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The ‘Other segment expenses’ category for each of our reportable segments primarily includes: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Las Vegas and Regional Segments</w:t>
      </w:r>
      <w:r>
        <w:rPr>
          <w:color w:val="000000"/>
        </w:rPr>
        <w:t xml:space="preserve"> </w:t>
      </w:r>
      <w:r>
        <w:rPr>
          <w:rFonts w:ascii="Times New Roman;serif" w:hAnsi="Times New Roman;serif"/>
          <w:b w:val="false"/>
          <w:i/>
          <w:color w:val="000000"/>
          <w:sz w:val="16"/>
        </w:rPr>
        <w:t>- Cost of sales associated with food, beverage and retail offerings; commission fees, talent fees and ticketing expenses associated with entertainment offerings; utility costs; costs of supplies; repairs and maintenance charges; professional fees; marketing and advertising expenses; software and licensing expenses; rental costs; and insurance expense.</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Caesars Digital</w:t>
      </w:r>
      <w:r>
        <w:rPr>
          <w:color w:val="000000"/>
        </w:rPr>
        <w:t xml:space="preserve"> </w:t>
      </w:r>
      <w:r>
        <w:rPr>
          <w:rFonts w:ascii="Times New Roman;serif" w:hAnsi="Times New Roman;serif"/>
          <w:b w:val="false"/>
          <w:i/>
          <w:color w:val="000000"/>
          <w:sz w:val="16"/>
        </w:rPr>
        <w:t>- Labor costs directly associated with the operation and maintenance of the digital platforms; professional fees; marketing and advertising expenses; and software and licenses expenses.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 xml:space="preserve">Managed and Branded </w:t>
      </w:r>
      <w:r>
        <w:rPr>
          <w:rFonts w:ascii="Times New Roman;serif" w:hAnsi="Times New Roman;serif"/>
          <w:b w:val="false"/>
          <w:i/>
          <w:color w:val="000000"/>
          <w:sz w:val="16"/>
        </w:rPr>
        <w:t>- Reimbursable expenses which are primarily payroll costs associated with our managed properties.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 xml:space="preserve">Corporate and Other </w:t>
      </w:r>
      <w:r>
        <w:rPr>
          <w:rFonts w:ascii="Times New Roman;serif" w:hAnsi="Times New Roman;serif"/>
          <w:b w:val="false"/>
          <w:i/>
          <w:color w:val="000000"/>
          <w:sz w:val="16"/>
        </w:rPr>
        <w:t>- Unallocated corporate payroll and overhead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financial measure commonly used in our industry and should not be construed as an alternative to net income (loss) as an indicator of operating performance or as an alternative to cash flows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165"/>
                <wp:effectExtent l="0" t="0" r="0" b="0"/>
                <wp:wrapNone/>
                <wp:docPr id="26" name="Frame2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90" w:type="dxa"/>
        <w:jc w:val="left"/>
        <w:tblInd w:w="0" w:type="dxa"/>
        <w:tblLayout w:type="fixed"/>
        <w:tblCellMar>
          <w:top w:w="28" w:type="dxa"/>
          <w:left w:w="28" w:type="dxa"/>
          <w:bottom w:w="28" w:type="dxa"/>
          <w:right w:w="28" w:type="dxa"/>
        </w:tblCellMar>
      </w:tblPr>
      <w:tblGrid>
        <w:gridCol w:w="1322"/>
        <w:gridCol w:w="1160"/>
        <w:gridCol w:w="1163"/>
        <w:gridCol w:w="250"/>
        <w:gridCol w:w="538"/>
        <w:gridCol w:w="139"/>
        <w:gridCol w:w="139"/>
        <w:gridCol w:w="139"/>
        <w:gridCol w:w="139"/>
        <w:gridCol w:w="250"/>
        <w:gridCol w:w="710"/>
        <w:gridCol w:w="139"/>
        <w:gridCol w:w="109"/>
        <w:gridCol w:w="109"/>
        <w:gridCol w:w="109"/>
        <w:gridCol w:w="213"/>
        <w:gridCol w:w="605"/>
        <w:gridCol w:w="118"/>
        <w:gridCol w:w="118"/>
        <w:gridCol w:w="118"/>
        <w:gridCol w:w="118"/>
        <w:gridCol w:w="213"/>
        <w:gridCol w:w="605"/>
        <w:gridCol w:w="167"/>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loss </w:t>
            </w:r>
            <w:r>
              <w:rPr>
                <w:rFonts w:ascii="Times New Roman;serif" w:hAnsi="Times New Roman;serif"/>
                <w:b w:val="false"/>
                <w:i/>
                <w:color w:val="000000"/>
                <w:sz w:val="12"/>
              </w:rPr>
              <w:t>(a)</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Impairment charges</w:t>
            </w:r>
            <w:r>
              <w:rPr>
                <w:color w:val="000000"/>
              </w:rPr>
              <w:t xml:space="preserve"> </w:t>
            </w:r>
            <w:r>
              <w:rPr>
                <w:rFonts w:ascii="Times New Roman;serif" w:hAnsi="Times New Roman;serif"/>
                <w:b w:val="false"/>
                <w:i/>
                <w:color w:val="000000"/>
                <w:sz w:val="12"/>
              </w:rPr>
              <w:t>(b)</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 and other, net</w:t>
            </w:r>
            <w:r>
              <w:rPr>
                <w:color w:val="000000"/>
              </w:rPr>
              <w:t xml:space="preserve"> </w:t>
            </w:r>
            <w:r>
              <w:rPr>
                <w:rFonts w:ascii="Times New Roman;serif" w:hAnsi="Times New Roman;serif"/>
                <w:b w:val="false"/>
                <w:i/>
                <w:color w:val="000000"/>
                <w:sz w:val="12"/>
              </w:rPr>
              <w:t>(c)</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by Segment:</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 xml:space="preserve">Other (income) loss for the six months ended June 30, 2024 primarily represents a change in the estimate of our disputed claims liability. </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Impairment charges for the three and six months ended June 30, 2024 includes impairment within our Regional segment as a result of a decrease in projected cash flows at certain properties primarily due to localized competition.</w:t>
      </w:r>
    </w:p>
    <w:p>
      <w:pPr>
        <w:pStyle w:val="TextBody"/>
        <w:bidi w:val="0"/>
        <w:spacing w:lineRule="auto" w:line="288" w:before="60" w:after="283"/>
        <w:ind w:left="0" w:right="0" w:hanging="360"/>
        <w:jc w:val="both"/>
        <w:rPr/>
      </w:pPr>
      <w:r>
        <w:rPr>
          <w:rFonts w:ascii="Times New Roman;serif" w:hAnsi="Times New Roman;serif"/>
          <w:b w:val="false"/>
          <w:i/>
          <w:color w:val="000000"/>
          <w:sz w:val="10"/>
        </w:rPr>
        <w:t>(c)</w:t>
      </w:r>
      <w:r>
        <w:rPr>
          <w:rFonts w:ascii="Times New Roman;serif" w:hAnsi="Times New Roman;serif"/>
          <w:b w:val="false"/>
          <w:i/>
          <w:color w:val="000000"/>
          <w:sz w:val="16"/>
        </w:rPr>
        <w:t xml:space="preserve">Transaction costs and other, net primarily includes costs related to non-cash losses on the write down and disposal of assets, certain non-recurring litigation reserves, professional services for transaction and integration costs, various contract exit or termination costs, pre-opening costs in connection with new property openings and non-cash changes in equity method investments. </w:t>
      </w:r>
    </w:p>
    <w:tbl>
      <w:tblPr>
        <w:tblW w:w="8389" w:type="dxa"/>
        <w:jc w:val="left"/>
        <w:tblInd w:w="0" w:type="dxa"/>
        <w:tblLayout w:type="fixed"/>
        <w:tblCellMar>
          <w:top w:w="28" w:type="dxa"/>
          <w:left w:w="28" w:type="dxa"/>
          <w:bottom w:w="28" w:type="dxa"/>
          <w:right w:w="28" w:type="dxa"/>
        </w:tblCellMar>
      </w:tblPr>
      <w:tblGrid>
        <w:gridCol w:w="1211"/>
        <w:gridCol w:w="1066"/>
        <w:gridCol w:w="1068"/>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Capital Expenditures, Net - By Segment</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61" w:type="dxa"/>
        <w:jc w:val="left"/>
        <w:tblInd w:w="0" w:type="dxa"/>
        <w:tblLayout w:type="fixed"/>
        <w:tblCellMar>
          <w:top w:w="28" w:type="dxa"/>
          <w:left w:w="28" w:type="dxa"/>
          <w:bottom w:w="28" w:type="dxa"/>
          <w:right w:w="28" w:type="dxa"/>
        </w:tblCellMar>
      </w:tblPr>
      <w:tblGrid>
        <w:gridCol w:w="794"/>
        <w:gridCol w:w="697"/>
        <w:gridCol w:w="699"/>
        <w:gridCol w:w="238"/>
        <w:gridCol w:w="785"/>
        <w:gridCol w:w="132"/>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Assets - By Segment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Managed and Branded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4165"/>
                <wp:effectExtent l="0" t="0" r="0" b="0"/>
                <wp:wrapNone/>
                <wp:docPr id="27" name="Frame2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operating results of Caesars Entertainment, Inc., a Delaware corporation, and its consolidated subsidiaries, which may be referred to as the “Company,” “CEI,” “Caesars,” “we,” “our,” or “us,” for the three and six months ended June 30, 2025 and 2024 should be read in conjunction with the unaudited consolidated condensed financial statements and the notes thereto and other financial information included elsewhere in this Form 10-Q as well as our Annual Report on Form 10-K for the fiscal year ended December 31, 2024 (the “2024 Annual Report”). Capitalized terms used but not defined in this Form 10-Q have the same meanings as in the 2024 Annual Report.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Objective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own, lease or manage an aggregate of 53 domestic properties in 18 states with approximately 51,900 slot machines, video lottery terminals and e-tables, approximately 2,800 table games and approximately 45,900 hotel rooms as of June 30, 2025. In addition, we have other properties in North America that are authorized to use the brands and marks of Caesars Entertainment, Inc., as well as other non-gaming properties. Our primary source of revenue is generated by our gaming operations, which includes our casino properties, retail and online sports betting, and online gaming. Additionally,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4165"/>
                <wp:effectExtent l="0" t="0" r="0" b="0"/>
                <wp:wrapNone/>
                <wp:docPr id="28" name="Frame2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and conduct retail and online sports wagering across 33 jurisdictions in North America, 26 of which offer online sports betting. Additionally, we operate iGaming in five jurisdictions in North America. The map below illustrates Caesars Digital’s presence as of June 30, 2025:</w:t>
      </w:r>
    </w:p>
    <w:p>
      <w:pPr>
        <w:pStyle w:val="TextBody"/>
        <w:bidi w:val="0"/>
        <w:spacing w:before="180" w:after="283"/>
        <w:jc w:val="center"/>
        <w:rPr/>
      </w:pPr>
      <w:r>
        <w:rPr/>
        <w:drawing>
          <wp:inline distT="0" distB="0" distL="0" distR="0">
            <wp:extent cx="6515100" cy="5153025"/>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6515100" cy="5153025"/>
                    </a:xfrm>
                    <a:prstGeom prst="rect">
                      <a:avLst/>
                    </a:prstGeom>
                  </pic:spPr>
                </pic:pic>
              </a:graphicData>
            </a:graphic>
          </wp:inline>
        </w:drawing>
      </w:r>
      <w:bookmarkStart w:id="0" w:name="i-1"/>
      <w:bookmarkEnd w:id="0"/>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 partnership with NYRABets LLC, the official online wagering platform of the New York Racing Association, Inc., and operate the Caesars Racebook app in 22 states as of June 30, 2025.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continue to expand our Caesars Digital footprint into other states with the Caesars Sportsbook, Caesars Racebook and iGaming mobile apps as jurisdictions legalize or provide necessary approvals. No customers under 21 years old are allowed to wager on any of the Caesars Sportsbook, Caesars Racebook or iGaming mobile apps.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periodically divest assets to raise capital or, in previous cases, to comply with conditions, terms, obligations or restrictions imposed by antitrust, gaming and other regulatory entities. The following is a summary of divestitures recently completed as of June 30, 2025:</w:t>
      </w:r>
    </w:p>
    <w:tbl>
      <w:tblPr>
        <w:tblW w:w="8059" w:type="dxa"/>
        <w:jc w:val="left"/>
        <w:tblInd w:w="0" w:type="dxa"/>
        <w:tblLayout w:type="fixed"/>
        <w:tblCellMar>
          <w:top w:w="28" w:type="dxa"/>
          <w:left w:w="28" w:type="dxa"/>
          <w:bottom w:w="28" w:type="dxa"/>
          <w:right w:w="28" w:type="dxa"/>
        </w:tblCellMar>
      </w:tblPr>
      <w:tblGrid>
        <w:gridCol w:w="435"/>
        <w:gridCol w:w="381"/>
        <w:gridCol w:w="384"/>
        <w:gridCol w:w="109"/>
        <w:gridCol w:w="109"/>
        <w:gridCol w:w="109"/>
        <w:gridCol w:w="1108"/>
        <w:gridCol w:w="1108"/>
        <w:gridCol w:w="1113"/>
        <w:gridCol w:w="109"/>
        <w:gridCol w:w="109"/>
        <w:gridCol w:w="109"/>
        <w:gridCol w:w="499"/>
        <w:gridCol w:w="499"/>
        <w:gridCol w:w="502"/>
        <w:gridCol w:w="109"/>
        <w:gridCol w:w="109"/>
        <w:gridCol w:w="109"/>
        <w:gridCol w:w="306"/>
        <w:gridCol w:w="306"/>
        <w:gridCol w:w="437"/>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 Price</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World Series of Poker (“WSOP”) Trademark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 million</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LINQ Promenade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 million</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376" w:type="dxa"/>
            <w:gridSpan w:val="6"/>
            <w:tcBorders/>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4165"/>
                <wp:effectExtent l="0" t="0" r="0" b="0"/>
                <wp:wrapNone/>
                <wp:docPr id="30" name="Frame2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and Partnerships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investments in unconsolidated affiliates accounted for under the equity method which are recorded in Investments in and advances to unconsolidated affiliates on the Balance Sheets.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Pompano Joint Venture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April 2018, we entered into a joint venture with Cordish Companies (“Cordish”) to plan and develop a mixed-use entertainment and hospitality destination expected to be located on unused land adjacent to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the Statements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received distributions totaling $23 million and recorded $1 million of income related to the joint venture. As of June 30, 2025 and December 31, 2024, our investment in the joint venture was $97 million and $119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Presentation of Financial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financial information herein for the periods after our completed divestitures, described above, is not fully comparable to the periods prior to such divestitures.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Key Performance Metrics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revenue is generated by our gaming operations, which includes our casino properties,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 </w:t>
      </w:r>
    </w:p>
    <w:p>
      <w:pPr>
        <w:pStyle w:val="TextBody"/>
        <w:bidi w:val="0"/>
        <w:spacing w:lineRule="auto" w:line="288" w:before="180" w:after="283"/>
        <w:jc w:val="both"/>
        <w:rPr/>
      </w:pPr>
      <w:r>
        <w:rPr>
          <w:rFonts w:ascii="Times New Roman;serif" w:hAnsi="Times New Roman;serif"/>
          <w:b w:val="false"/>
          <w:color w:val="000000"/>
          <w:sz w:val="20"/>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Table games hold percentage is typically in the range of approximately 16% to 23% of table games drop.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Complimentary and discounted rooms are treated as occupied rooms in our calculation of hotel occupancy. The key metrics we utilize to measure our profitability and performance are Adjusted EBITDA and Adjusted EBITDA margin. See “</w:t>
      </w:r>
      <w:hyperlink w:anchor="ie51d5a89a70f4793bddd722fbe83b866_100">
        <w:r>
          <w:rPr>
            <w:rStyle w:val="InternetLink"/>
            <w:rFonts w:ascii="Times New Roman;serif" w:hAnsi="Times New Roman;serif"/>
            <w:b w:val="false"/>
            <w:color w:val="0000FF"/>
            <w:sz w:val="20"/>
            <w:u w:val="single"/>
          </w:rPr>
          <w:t>Results of Operations</w:t>
        </w:r>
      </w:hyperlink>
      <w:r>
        <w:rPr>
          <w:color w:val="000000"/>
        </w:rPr>
        <w:t xml:space="preserve">” </w:t>
      </w:r>
      <w:r>
        <w:rPr>
          <w:rFonts w:ascii="Times New Roman;serif" w:hAnsi="Times New Roman;serif"/>
          <w:b w:val="false"/>
          <w:color w:val="000000"/>
          <w:sz w:val="20"/>
        </w:rPr>
        <w:t xml:space="preserve">section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4165"/>
                <wp:effectExtent l="0" t="0" r="0" b="0"/>
                <wp:wrapNone/>
                <wp:docPr id="31" name="Frame3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Significant Factors Impacting Financial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summary highlights the significant factors impacting our financial results for the three and six months ended June 30, 2025 and 2024:</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i/>
          <w:color w:val="000000"/>
          <w:sz w:val="20"/>
        </w:rPr>
        <w:t xml:space="preserve">Economic Factors Impacting Discretionary Spending – </w:t>
      </w:r>
      <w:r>
        <w:rPr>
          <w:rFonts w:ascii="Times New Roman;serif" w:hAnsi="Times New Roman;serif"/>
          <w:b w:val="false"/>
          <w:color w:val="212529"/>
          <w:sz w:val="20"/>
        </w:rPr>
        <w:t>Gaming and other leisure activities we offer represent discretionary expenditures that may be sensitive to economic downturns, which impact the behavior among the components of our customer mix differently. W</w:t>
      </w:r>
      <w:r>
        <w:rPr>
          <w:rFonts w:ascii="Times New Roman;serif" w:hAnsi="Times New Roman;serif"/>
          <w:b w:val="false"/>
          <w:color w:val="000000"/>
          <w:sz w:val="20"/>
        </w:rPr>
        <w:t>e monitor current and recent trends, including inflation, interest rates, global hostilities, trade tension and related actions, such as the imposition of tariffs between the United States and other countries, and the associated effects, if any, on travel, visitation, our customers, and our operations.</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i/>
          <w:color w:val="000000"/>
          <w:sz w:val="20"/>
        </w:rPr>
        <w:t>Debt Transactions –</w:t>
      </w:r>
      <w:r>
        <w:rPr>
          <w:color w:val="000000"/>
        </w:rPr>
        <w:t xml:space="preserve"> </w:t>
      </w:r>
      <w:r>
        <w:rPr>
          <w:rFonts w:ascii="Times New Roman;serif" w:hAnsi="Times New Roman;serif"/>
          <w:b w:val="false"/>
          <w:color w:val="000000"/>
          <w:sz w:val="20"/>
        </w:rPr>
        <w:t>We refinanced and extended the maturities of outstanding debt in the amount of $4.4 billion in February 2024. We reduced interest rate margins for both the CEI Term Loan B and CEI Term Loan B-1 in May 2024. Refinancing activities resulted in loss on the early extinguishment of debt on the Statements of Operations of $3 million and $51 million for the three and six months ended June 30, 2024, respectively.</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i/>
          <w:color w:val="000000"/>
          <w:sz w:val="20"/>
        </w:rPr>
        <w:t>Impairment Charges –</w:t>
      </w:r>
      <w:r>
        <w:rPr>
          <w:color w:val="000000"/>
        </w:rPr>
        <w:t xml:space="preserve"> </w:t>
      </w:r>
      <w:r>
        <w:rPr>
          <w:rFonts w:ascii="Times New Roman;serif" w:hAnsi="Times New Roman;serif"/>
          <w:b w:val="false"/>
          <w:color w:val="000000"/>
          <w:sz w:val="20"/>
        </w:rPr>
        <w:t>During the three and six months ended June 30, 2025, we did not recognize any impairment charges. During the three and six months ended June 30, 2024, we recognized impairment charges in our Regional segment related to trademarks, gaming rights and goodwill totaling $118 million.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Subsequent Event –</w:t>
      </w:r>
      <w:r>
        <w:rPr>
          <w:color w:val="000000"/>
        </w:rPr>
        <w:t xml:space="preserve"> </w:t>
      </w:r>
      <w:r>
        <w:rPr>
          <w:rFonts w:ascii="Times New Roman;serif" w:hAnsi="Times New Roman;serif"/>
          <w:b w:val="false"/>
          <w:color w:val="000000"/>
          <w:sz w:val="20"/>
        </w:rPr>
        <w:t>On July 8, 2025, we fully redeemed all of the $546 million outstanding principal amount of the CEI Senior Notes due 2027 and paid the related accrued interest and expenses with borrowings under the CEI Revolving Credit Facility and proceeds received from the partial repayment and sale of $225 million of notes receivable related to the previously disclosed WSOP trademark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highlights the results of our operations:</w:t>
      </w:r>
    </w:p>
    <w:tbl>
      <w:tblPr>
        <w:tblW w:w="7166" w:type="dxa"/>
        <w:jc w:val="left"/>
        <w:tblInd w:w="0" w:type="dxa"/>
        <w:tblLayout w:type="fixed"/>
        <w:tblCellMar>
          <w:top w:w="28" w:type="dxa"/>
          <w:left w:w="28" w:type="dxa"/>
          <w:bottom w:w="28" w:type="dxa"/>
          <w:right w:w="28" w:type="dxa"/>
        </w:tblCellMar>
      </w:tblPr>
      <w:tblGrid>
        <w:gridCol w:w="727"/>
        <w:gridCol w:w="640"/>
        <w:gridCol w:w="643"/>
        <w:gridCol w:w="204"/>
        <w:gridCol w:w="580"/>
        <w:gridCol w:w="267"/>
        <w:gridCol w:w="113"/>
        <w:gridCol w:w="113"/>
        <w:gridCol w:w="113"/>
        <w:gridCol w:w="204"/>
        <w:gridCol w:w="580"/>
        <w:gridCol w:w="267"/>
        <w:gridCol w:w="109"/>
        <w:gridCol w:w="109"/>
        <w:gridCol w:w="109"/>
        <w:gridCol w:w="196"/>
        <w:gridCol w:w="556"/>
        <w:gridCol w:w="256"/>
        <w:gridCol w:w="109"/>
        <w:gridCol w:w="109"/>
        <w:gridCol w:w="109"/>
        <w:gridCol w:w="196"/>
        <w:gridCol w:w="556"/>
        <w:gridCol w:w="30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EBITDA </w:t>
            </w:r>
            <w:r>
              <w:rPr>
                <w:rFonts w:ascii="Times New Roman;serif" w:hAnsi="Times New Roman;serif"/>
                <w:b/>
                <w:i/>
                <w:color w:val="000000"/>
                <w:sz w:val="12"/>
              </w:rPr>
              <w:t>(b)</w:t>
            </w:r>
            <w:r>
              <w:rPr>
                <w:rFonts w:ascii="Times New Roman;serif" w:hAnsi="Times New Roman;serif"/>
                <w:b/>
                <w:color w:val="000000"/>
                <w:sz w:val="18"/>
              </w:rPr>
              <w: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cybersecurity and other general and administrative expenses.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See the “Supplemental Unaudited Presentation of Consolidated Adjusted Earnings Before Interest, Taxes, Depreciation and Amortization (“Adjusted EBITDA”) for the three and six months ended June 30, 2025 and 2024” discussion later in this MD&amp;A for a description of Adjusted EBITDA and a reconciliation of net income (loss) attributable to Caesars to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4165"/>
                <wp:effectExtent l="0" t="0" r="0" b="0"/>
                <wp:wrapNone/>
                <wp:docPr id="32" name="Frame3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 comparison of the three and six months ended June 30, 2025 and 2024</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Revenues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362"/>
        <w:gridCol w:w="277"/>
        <w:gridCol w:w="279"/>
        <w:gridCol w:w="204"/>
        <w:gridCol w:w="579"/>
        <w:gridCol w:w="113"/>
        <w:gridCol w:w="113"/>
        <w:gridCol w:w="113"/>
        <w:gridCol w:w="113"/>
        <w:gridCol w:w="204"/>
        <w:gridCol w:w="579"/>
        <w:gridCol w:w="113"/>
        <w:gridCol w:w="109"/>
        <w:gridCol w:w="109"/>
        <w:gridCol w:w="109"/>
        <w:gridCol w:w="214"/>
        <w:gridCol w:w="461"/>
        <w:gridCol w:w="121"/>
        <w:gridCol w:w="109"/>
        <w:gridCol w:w="109"/>
        <w:gridCol w:w="109"/>
        <w:gridCol w:w="245"/>
        <w:gridCol w:w="192"/>
        <w:gridCol w:w="454"/>
        <w:gridCol w:w="109"/>
        <w:gridCol w:w="109"/>
        <w:gridCol w:w="109"/>
        <w:gridCol w:w="199"/>
        <w:gridCol w:w="566"/>
        <w:gridCol w:w="110"/>
        <w:gridCol w:w="110"/>
        <w:gridCol w:w="110"/>
        <w:gridCol w:w="110"/>
        <w:gridCol w:w="199"/>
        <w:gridCol w:w="566"/>
        <w:gridCol w:w="110"/>
        <w:gridCol w:w="109"/>
        <w:gridCol w:w="109"/>
        <w:gridCol w:w="109"/>
        <w:gridCol w:w="214"/>
        <w:gridCol w:w="461"/>
        <w:gridCol w:w="121"/>
        <w:gridCol w:w="109"/>
        <w:gridCol w:w="109"/>
        <w:gridCol w:w="109"/>
        <w:gridCol w:w="245"/>
        <w:gridCol w:w="184"/>
        <w:gridCol w:w="529"/>
      </w:tblGrid>
      <w:tr>
        <w:trPr/>
        <w:tc>
          <w:tcPr>
            <w:tcW w:w="3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net revenues increased for the three and six months ended June 30, 2025, as compared to the same prior year periods, due to a significant increase in iGaming handle coupled with improved iGaming hold and higher hold in sports betting in our Caesars Digital segment. Net revenues in the Las Vegas segment were down slightly primarily due to lower non-gaming revenue, consistent with visitation trends city-wide, as compared to the three and six months ended June 30, 2024. Net revenues in the Regional segment increased primarily due to increased visitation driven by the opening of expanded amenities at our recently completed development projects of Caesars Virginia and Caesars New Orleans.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were as follows:</w:t>
      </w:r>
    </w:p>
    <w:tbl>
      <w:tblPr>
        <w:tblW w:w="10397" w:type="dxa"/>
        <w:jc w:val="left"/>
        <w:tblInd w:w="0" w:type="dxa"/>
        <w:tblLayout w:type="fixed"/>
        <w:tblCellMar>
          <w:top w:w="28" w:type="dxa"/>
          <w:left w:w="28" w:type="dxa"/>
          <w:bottom w:w="28" w:type="dxa"/>
          <w:right w:w="28" w:type="dxa"/>
        </w:tblCellMar>
      </w:tblPr>
      <w:tblGrid>
        <w:gridCol w:w="553"/>
        <w:gridCol w:w="337"/>
        <w:gridCol w:w="221"/>
        <w:gridCol w:w="196"/>
        <w:gridCol w:w="556"/>
        <w:gridCol w:w="109"/>
        <w:gridCol w:w="109"/>
        <w:gridCol w:w="109"/>
        <w:gridCol w:w="109"/>
        <w:gridCol w:w="196"/>
        <w:gridCol w:w="556"/>
        <w:gridCol w:w="109"/>
        <w:gridCol w:w="109"/>
        <w:gridCol w:w="109"/>
        <w:gridCol w:w="109"/>
        <w:gridCol w:w="245"/>
        <w:gridCol w:w="414"/>
        <w:gridCol w:w="137"/>
        <w:gridCol w:w="109"/>
        <w:gridCol w:w="109"/>
        <w:gridCol w:w="109"/>
        <w:gridCol w:w="303"/>
        <w:gridCol w:w="268"/>
        <w:gridCol w:w="382"/>
        <w:gridCol w:w="109"/>
        <w:gridCol w:w="109"/>
        <w:gridCol w:w="109"/>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349"/>
        <w:gridCol w:w="222"/>
        <w:gridCol w:w="437"/>
      </w:tblGrid>
      <w:tr>
        <w:trPr/>
        <w:tc>
          <w:tcPr>
            <w:tcW w:w="5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and wages and supplies associated with our hotel operations. Other expenses consist principally of salaries and wages, costs of goods sold associated with our retail operations, entertainment costs, including professional talent fees, reimbursable management costs (described below) and other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Casino expenses increased for the three and six months ended June 30, 2025, as compared to the same prior year periods. Casino expenses rose in connection with increased revenues in our Caesars Digital segment and targeted customer reinvestment in certain competitive markets in our Regional segment. Increased casino expenses were partially offset by decreased marketing expenses in our Las Vegas segment associated with the Super Bowl held in Las Vegas in the first quarter of 2024. Food and beverage and hotel expenses have increased due to incremental wages associated with the opening of Caesars Virginia’s permanent facility and the completed expansion of Caesars New Orleans, as well as higher union and non-union wages. We continue to focus on labor efficiencies across the enterprise to manage increased labor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4165"/>
                <wp:effectExtent l="0" t="0" r="0" b="0"/>
                <wp:wrapNone/>
                <wp:docPr id="33" name="Frame3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include unallocated expenses such as payroll, inclusive of the annual bonus, stock-based compensation, professional fees, cybersecurity and other various expenses not directly related to the Company’s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Impairment charges were recorded within our Regional segment in June 2024 as a result of a decrease in projected future cash flows at certain properties primarily due to localized competition.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for the three and six months ended June 30, 2025 as compared to the same prior year periods, primarily related to recently completed construction projects.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Transaction and other costs, net primarily includes non-cash losses on the write down and disposal of assets, certain non-recurring litigation reserves, professional services for transaction and integration costs, various contract exit or termination costs, pre-opening costs in connection with our new property openings and non-cash changes in equity method investments. Transaction and other costs, net increased for the three and six months ended June 30, 2025 as compared to the same prior year periods, primarily due to litigation reserves.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(expenses) were as follows:</w:t>
      </w:r>
    </w:p>
    <w:tbl>
      <w:tblPr>
        <w:tblW w:w="10262" w:type="dxa"/>
        <w:jc w:val="left"/>
        <w:tblInd w:w="0" w:type="dxa"/>
        <w:tblLayout w:type="fixed"/>
        <w:tblCellMar>
          <w:top w:w="28" w:type="dxa"/>
          <w:left w:w="28" w:type="dxa"/>
          <w:bottom w:w="28" w:type="dxa"/>
          <w:right w:w="28" w:type="dxa"/>
        </w:tblCellMar>
      </w:tblPr>
      <w:tblGrid>
        <w:gridCol w:w="564"/>
        <w:gridCol w:w="416"/>
        <w:gridCol w:w="221"/>
        <w:gridCol w:w="196"/>
        <w:gridCol w:w="436"/>
        <w:gridCol w:w="109"/>
        <w:gridCol w:w="109"/>
        <w:gridCol w:w="109"/>
        <w:gridCol w:w="109"/>
        <w:gridCol w:w="196"/>
        <w:gridCol w:w="436"/>
        <w:gridCol w:w="109"/>
        <w:gridCol w:w="109"/>
        <w:gridCol w:w="109"/>
        <w:gridCol w:w="109"/>
        <w:gridCol w:w="245"/>
        <w:gridCol w:w="414"/>
        <w:gridCol w:w="137"/>
        <w:gridCol w:w="109"/>
        <w:gridCol w:w="109"/>
        <w:gridCol w:w="109"/>
        <w:gridCol w:w="303"/>
        <w:gridCol w:w="253"/>
        <w:gridCol w:w="382"/>
        <w:gridCol w:w="109"/>
        <w:gridCol w:w="109"/>
        <w:gridCol w:w="109"/>
        <w:gridCol w:w="196"/>
        <w:gridCol w:w="571"/>
        <w:gridCol w:w="109"/>
        <w:gridCol w:w="109"/>
        <w:gridCol w:w="109"/>
        <w:gridCol w:w="109"/>
        <w:gridCol w:w="196"/>
        <w:gridCol w:w="571"/>
        <w:gridCol w:w="109"/>
        <w:gridCol w:w="109"/>
        <w:gridCol w:w="109"/>
        <w:gridCol w:w="109"/>
        <w:gridCol w:w="245"/>
        <w:gridCol w:w="414"/>
        <w:gridCol w:w="137"/>
        <w:gridCol w:w="109"/>
        <w:gridCol w:w="109"/>
        <w:gridCol w:w="109"/>
        <w:gridCol w:w="292"/>
        <w:gridCol w:w="279"/>
        <w:gridCol w:w="437"/>
      </w:tblGrid>
      <w:tr>
        <w:trPr/>
        <w:tc>
          <w:tcPr>
            <w:tcW w:w="5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for the three and six months ended June 30, 2025, as compared to the same prior year periods, primarily due a reduction in outstanding debt.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loss on extinguishment of debt was primarily related to the prepayments of the CEI Senior Secured Notes due 2025, the Caesars Resort Collection (“CRC”) Senior Secured Notes, and the partial prepayment of the CEI Term Loan 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income (loss) for the six months ended June 30, 2024 primarily represents a change in the estimate of our disputed claims liability.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six months ended June 30, 2025 and 2024 differed from the expected income tax provision based on the federal tax rate of 21% primarily due to an increase in federal and state valuation allowances against the deferred tax assets for excess business interest expense. As a result of the enactment of a new tax policy on July 4, 2025, the Company expects a favorable impact to tax expense during the remainder of 2025, primarily related to changes in the business interest expense limitation. However, as our assessment is ongoing, the Company is not able to quantify the impact on the Financial Statements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4165"/>
                <wp:effectExtent l="0" t="0" r="0" b="0"/>
                <wp:wrapNone/>
                <wp:docPr id="34" name="Frame3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comparison of the three and six months ended June 30, 2025 and 2024</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Las Vegas Segment</w:t>
      </w:r>
    </w:p>
    <w:tbl>
      <w:tblPr>
        <w:tblW w:w="10595"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239"/>
        <w:gridCol w:w="423"/>
        <w:gridCol w:w="134"/>
        <w:gridCol w:w="109"/>
        <w:gridCol w:w="109"/>
        <w:gridCol w:w="109"/>
        <w:gridCol w:w="303"/>
        <w:gridCol w:w="178"/>
        <w:gridCol w:w="382"/>
        <w:gridCol w:w="109"/>
        <w:gridCol w:w="109"/>
        <w:gridCol w:w="109"/>
        <w:gridCol w:w="196"/>
        <w:gridCol w:w="556"/>
        <w:gridCol w:w="256"/>
        <w:gridCol w:w="109"/>
        <w:gridCol w:w="109"/>
        <w:gridCol w:w="109"/>
        <w:gridCol w:w="196"/>
        <w:gridCol w:w="556"/>
        <w:gridCol w:w="256"/>
        <w:gridCol w:w="109"/>
        <w:gridCol w:w="109"/>
        <w:gridCol w:w="109"/>
        <w:gridCol w:w="196"/>
        <w:gridCol w:w="491"/>
        <w:gridCol w:w="109"/>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 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Las Vegas segment’s net revenues, net income, Adjusted EBITDA and Adjusted EBITDA margin decreased for the three and six months ended June 30, 2025, as compared to the same prior year periods, primarily due to a decline in non-gaming revenues, consistent with visitation trends city-wide, as compared to the three and six months ended June 30, 2024. In addition, other revenue declined as compared to the same prior year periods primarily due to the sale of the LINQ Promenade during the fourth quarter of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Slot win percentage in the Las Vegas segment for the three and six months ended June 30, 2025 was within our typical range.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Regional Segment</w:t>
      </w:r>
    </w:p>
    <w:tbl>
      <w:tblPr>
        <w:tblW w:w="10745" w:type="dxa"/>
        <w:jc w:val="left"/>
        <w:tblInd w:w="0" w:type="dxa"/>
        <w:tblLayout w:type="fixed"/>
        <w:tblCellMar>
          <w:top w:w="28" w:type="dxa"/>
          <w:left w:w="28" w:type="dxa"/>
          <w:bottom w:w="28" w:type="dxa"/>
          <w:right w:w="28" w:type="dxa"/>
        </w:tblCellMar>
      </w:tblPr>
      <w:tblGrid>
        <w:gridCol w:w="355"/>
        <w:gridCol w:w="220"/>
        <w:gridCol w:w="221"/>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303"/>
        <w:gridCol w:w="163"/>
        <w:gridCol w:w="382"/>
        <w:gridCol w:w="109"/>
        <w:gridCol w:w="109"/>
        <w:gridCol w:w="109"/>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234"/>
        <w:gridCol w:w="157"/>
        <w:gridCol w:w="437"/>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4165"/>
                <wp:effectExtent l="0" t="0" r="0" b="0"/>
                <wp:wrapNone/>
                <wp:docPr id="35" name="Frame3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Regional segment’s net revenues improved for the three and six months ended June 30, 2025, as compared to the same prior year periods, primarily due to the positive results driven by our recently completed Caesars Virginia and Caesars New Orleans development projects. These increases were partially offset by the continued impact of competition and inclement weather in several of our regional markets, as well as construction disruption in Lake Tahoe. Adjusted EBITDA and Adjusted EBITDA margin declined for the three and six months ended June 30, 2025, compared to the same prior year periods, primarily due to increased labor costs and additional targeted customer reinvestment in certain competitive markets. Net income (loss) increased primarily due to impairment charges in our Regional segment recognized in the second quarter of 2024, with no comparable charges in the current year.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Slot win percentage in the Regional segment for the three and six months ended June 30, 2025 was within our typical range.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Digital Segment</w:t>
      </w:r>
    </w:p>
    <w:tbl>
      <w:tblPr>
        <w:tblW w:w="10770" w:type="dxa"/>
        <w:jc w:val="left"/>
        <w:tblInd w:w="0" w:type="dxa"/>
        <w:tblLayout w:type="fixed"/>
        <w:tblCellMar>
          <w:top w:w="28" w:type="dxa"/>
          <w:left w:w="28" w:type="dxa"/>
          <w:bottom w:w="28" w:type="dxa"/>
          <w:right w:w="28" w:type="dxa"/>
        </w:tblCellMar>
      </w:tblPr>
      <w:tblGrid>
        <w:gridCol w:w="355"/>
        <w:gridCol w:w="220"/>
        <w:gridCol w:w="221"/>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303"/>
        <w:gridCol w:w="253"/>
        <w:gridCol w:w="382"/>
        <w:gridCol w:w="109"/>
        <w:gridCol w:w="109"/>
        <w:gridCol w:w="109"/>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285"/>
        <w:gridCol w:w="271"/>
        <w:gridCol w:w="437"/>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Casino </w:t>
            </w:r>
            <w:r>
              <w:rPr>
                <w:rFonts w:ascii="Times New Roman;serif" w:hAnsi="Times New Roman;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Sports betting handle</w:t>
            </w:r>
            <w:r>
              <w:rPr>
                <w:color w:val="000000"/>
              </w:rPr>
              <w:t xml:space="preserve"> </w:t>
            </w:r>
            <w:r>
              <w:rPr>
                <w:rFonts w:ascii="Times New Roman;serif" w:hAnsi="Times New Roman;serif"/>
                <w:b w:val="false"/>
                <w:i/>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Sports betting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 handle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 hold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pts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Includes total promotional and complimentary incentives related to sports betting, iGaming, and online poker of $72 million and $62 million for the three months ended June 30, 2025 and 2024, respectively, and $145 million and $148 million for the six months ended</w:t>
      </w:r>
      <w:r>
        <w:rPr>
          <w:color w:val="000000"/>
        </w:rPr>
        <w:t xml:space="preserve"> </w:t>
      </w:r>
      <w:r>
        <w:rPr>
          <w:rFonts w:ascii="Times New Roman;serif" w:hAnsi="Times New Roman;serif"/>
          <w:b w:val="false"/>
          <w:i/>
          <w:color w:val="000000"/>
          <w:sz w:val="16"/>
        </w:rPr>
        <w:t>June 30, 2025 and 2024, respectively. Promotional and complimentary incentives for online poker were $5 million and $3 million for the three months ended June 30, 2025 and 2024, respectively, and $8 million and $6 million for the six months ended</w:t>
      </w:r>
      <w:r>
        <w:rPr>
          <w:color w:val="000000"/>
        </w:rPr>
        <w:t xml:space="preserve"> </w:t>
      </w:r>
      <w:r>
        <w:rPr>
          <w:rFonts w:ascii="Times New Roman;serif" w:hAnsi="Times New Roman;serif"/>
          <w:b w:val="false"/>
          <w:i/>
          <w:color w:val="000000"/>
          <w:sz w:val="16"/>
        </w:rPr>
        <w:t>June 30, 2025 and 2024, respectively.</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Caesars Digital generated an additional $199 million of sports betting handle for both the three months ended June 30, 2025 and 2024 and $468 million and $478 million for the six months ended</w:t>
      </w:r>
      <w:r>
        <w:rPr>
          <w:color w:val="000000"/>
        </w:rPr>
        <w:t xml:space="preserve"> </w:t>
      </w:r>
      <w:r>
        <w:rPr>
          <w:rFonts w:ascii="Times New Roman;serif" w:hAnsi="Times New Roman;serif"/>
          <w:b w:val="false"/>
          <w:i/>
          <w:color w:val="000000"/>
          <w:sz w:val="16"/>
        </w:rPr>
        <w:t>June 30, 2025 and 2024, respectively, which is not included in this table, for select wholly-owned and third-party operations for which Caesars Digital provides services and we receive all, or a share of, the net profits. Hold related to these operations was 11.2% and 9.4%, for the three months ended June 30, 2025 and 2024, respectively, and 11.1% and 9.6% for the six months ended</w:t>
      </w:r>
      <w:r>
        <w:rPr>
          <w:color w:val="000000"/>
        </w:rPr>
        <w:t xml:space="preserve"> </w:t>
      </w:r>
      <w:r>
        <w:rPr>
          <w:rFonts w:ascii="Times New Roman;serif" w:hAnsi="Times New Roman;serif"/>
          <w:b w:val="false"/>
          <w:i/>
          <w:color w:val="000000"/>
          <w:sz w:val="16"/>
        </w:rPr>
        <w:t>June 30, 2025 and 2024, respectively. Sports betting handle includes $12 million and $11 million for the three months ended June 30, 2025 and 2024, respectively, and $22 million for both the six months ended</w:t>
      </w:r>
      <w:r>
        <w:rPr>
          <w:color w:val="000000"/>
        </w:rPr>
        <w:t xml:space="preserve"> </w:t>
      </w:r>
      <w:r>
        <w:rPr>
          <w:rFonts w:ascii="Times New Roman;serif" w:hAnsi="Times New Roman;serif"/>
          <w:b w:val="false"/>
          <w:i/>
          <w:color w:val="000000"/>
          <w:sz w:val="16"/>
        </w:rPr>
        <w:t>June 30, 2025 and 2024 related to horse racing and pari-mutuel wagers.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Caesars Digital’s net revenues, net income (loss), Adjusted EBITDA, and Adjusted EBITDA margin improved significantly for the three and six months ended June 30, 2025, as compared to the same prior year periods, primarily due to higher iGaming handle and iGaming hold coupled with improved sports betting hold. The improved sports betting hold reflects the benefit of continued investment in our sports betting platform. Increases in both iGaming handle and iGaming hold are primarily attributed to the launch of Caesars Palace Online Casino in August 2023 and Horseshoe Online Casino app in October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sports betting and online casinos expand through increased state or jurisdictional legalization, new product launches, and customer adoption, variations in hold percentages and increases in promotional and marketing expenses in highly competitive markets may negatively impact Caesars Digital’s net revenues, net income, Adjusted EBITDA and Adjusted EBITDA margin in comparison to current or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4165"/>
                <wp:effectExtent l="0" t="0" r="0" b="0"/>
                <wp:wrapNone/>
                <wp:docPr id="36" name="Frame3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Managed and Branded Segment</w:t>
      </w:r>
    </w:p>
    <w:tbl>
      <w:tblPr>
        <w:tblW w:w="10205" w:type="dxa"/>
        <w:jc w:val="left"/>
        <w:tblInd w:w="0" w:type="dxa"/>
        <w:tblLayout w:type="fixed"/>
        <w:tblCellMar>
          <w:top w:w="28" w:type="dxa"/>
          <w:left w:w="28" w:type="dxa"/>
          <w:bottom w:w="28" w:type="dxa"/>
          <w:right w:w="28" w:type="dxa"/>
        </w:tblCellMar>
      </w:tblPr>
      <w:tblGrid>
        <w:gridCol w:w="526"/>
        <w:gridCol w:w="305"/>
        <w:gridCol w:w="306"/>
        <w:gridCol w:w="204"/>
        <w:gridCol w:w="344"/>
        <w:gridCol w:w="266"/>
        <w:gridCol w:w="113"/>
        <w:gridCol w:w="113"/>
        <w:gridCol w:w="113"/>
        <w:gridCol w:w="204"/>
        <w:gridCol w:w="344"/>
        <w:gridCol w:w="266"/>
        <w:gridCol w:w="109"/>
        <w:gridCol w:w="109"/>
        <w:gridCol w:w="109"/>
        <w:gridCol w:w="219"/>
        <w:gridCol w:w="454"/>
        <w:gridCol w:w="123"/>
        <w:gridCol w:w="109"/>
        <w:gridCol w:w="109"/>
        <w:gridCol w:w="109"/>
        <w:gridCol w:w="252"/>
        <w:gridCol w:w="182"/>
        <w:gridCol w:w="430"/>
        <w:gridCol w:w="109"/>
        <w:gridCol w:w="109"/>
        <w:gridCol w:w="109"/>
        <w:gridCol w:w="198"/>
        <w:gridCol w:w="425"/>
        <w:gridCol w:w="258"/>
        <w:gridCol w:w="110"/>
        <w:gridCol w:w="110"/>
        <w:gridCol w:w="110"/>
        <w:gridCol w:w="198"/>
        <w:gridCol w:w="425"/>
        <w:gridCol w:w="258"/>
        <w:gridCol w:w="109"/>
        <w:gridCol w:w="109"/>
        <w:gridCol w:w="109"/>
        <w:gridCol w:w="278"/>
        <w:gridCol w:w="363"/>
        <w:gridCol w:w="155"/>
        <w:gridCol w:w="109"/>
        <w:gridCol w:w="109"/>
        <w:gridCol w:w="109"/>
        <w:gridCol w:w="241"/>
        <w:gridCol w:w="175"/>
        <w:gridCol w:w="502"/>
      </w:tblGrid>
      <w:tr>
        <w:trPr/>
        <w:tc>
          <w:tcPr>
            <w:tcW w:w="5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pts</w:t>
            </w:r>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tbl>
      <w:tblPr>
        <w:tblW w:w="10205" w:type="dxa"/>
        <w:jc w:val="left"/>
        <w:tblInd w:w="0" w:type="dxa"/>
        <w:tblLayout w:type="fixed"/>
        <w:tblCellMar>
          <w:top w:w="28" w:type="dxa"/>
          <w:left w:w="28" w:type="dxa"/>
          <w:bottom w:w="28" w:type="dxa"/>
          <w:right w:w="28" w:type="dxa"/>
        </w:tblCellMar>
      </w:tblPr>
      <w:tblGrid>
        <w:gridCol w:w="646"/>
        <w:gridCol w:w="443"/>
        <w:gridCol w:w="367"/>
        <w:gridCol w:w="220"/>
        <w:gridCol w:w="372"/>
        <w:gridCol w:w="122"/>
        <w:gridCol w:w="122"/>
        <w:gridCol w:w="122"/>
        <w:gridCol w:w="122"/>
        <w:gridCol w:w="220"/>
        <w:gridCol w:w="372"/>
        <w:gridCol w:w="122"/>
        <w:gridCol w:w="109"/>
        <w:gridCol w:w="109"/>
        <w:gridCol w:w="109"/>
        <w:gridCol w:w="285"/>
        <w:gridCol w:w="351"/>
        <w:gridCol w:w="160"/>
        <w:gridCol w:w="109"/>
        <w:gridCol w:w="109"/>
        <w:gridCol w:w="109"/>
        <w:gridCol w:w="235"/>
        <w:gridCol w:w="195"/>
        <w:gridCol w:w="460"/>
        <w:gridCol w:w="109"/>
        <w:gridCol w:w="109"/>
        <w:gridCol w:w="109"/>
        <w:gridCol w:w="207"/>
        <w:gridCol w:w="446"/>
        <w:gridCol w:w="115"/>
        <w:gridCol w:w="115"/>
        <w:gridCol w:w="115"/>
        <w:gridCol w:w="115"/>
        <w:gridCol w:w="207"/>
        <w:gridCol w:w="446"/>
        <w:gridCol w:w="115"/>
        <w:gridCol w:w="109"/>
        <w:gridCol w:w="109"/>
        <w:gridCol w:w="109"/>
        <w:gridCol w:w="285"/>
        <w:gridCol w:w="351"/>
        <w:gridCol w:w="160"/>
        <w:gridCol w:w="109"/>
        <w:gridCol w:w="109"/>
        <w:gridCol w:w="109"/>
        <w:gridCol w:w="234"/>
        <w:gridCol w:w="187"/>
        <w:gridCol w:w="536"/>
      </w:tblGrid>
      <w:tr>
        <w:trPr/>
        <w:tc>
          <w:tcPr>
            <w:tcW w:w="6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management revenue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Reimbursable management costs</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Corporate &amp; Other</w:t>
      </w:r>
    </w:p>
    <w:tbl>
      <w:tblPr>
        <w:tblW w:w="10205" w:type="dxa"/>
        <w:jc w:val="left"/>
        <w:tblInd w:w="0" w:type="dxa"/>
        <w:tblLayout w:type="fixed"/>
        <w:tblCellMar>
          <w:top w:w="28" w:type="dxa"/>
          <w:left w:w="28" w:type="dxa"/>
          <w:bottom w:w="28" w:type="dxa"/>
          <w:right w:w="28" w:type="dxa"/>
        </w:tblCellMar>
      </w:tblPr>
      <w:tblGrid>
        <w:gridCol w:w="423"/>
        <w:gridCol w:w="312"/>
        <w:gridCol w:w="313"/>
        <w:gridCol w:w="222"/>
        <w:gridCol w:w="461"/>
        <w:gridCol w:w="123"/>
        <w:gridCol w:w="123"/>
        <w:gridCol w:w="123"/>
        <w:gridCol w:w="123"/>
        <w:gridCol w:w="222"/>
        <w:gridCol w:w="422"/>
        <w:gridCol w:w="123"/>
        <w:gridCol w:w="109"/>
        <w:gridCol w:w="109"/>
        <w:gridCol w:w="109"/>
        <w:gridCol w:w="239"/>
        <w:gridCol w:w="423"/>
        <w:gridCol w:w="134"/>
        <w:gridCol w:w="109"/>
        <w:gridCol w:w="109"/>
        <w:gridCol w:w="109"/>
        <w:gridCol w:w="303"/>
        <w:gridCol w:w="270"/>
        <w:gridCol w:w="496"/>
        <w:gridCol w:w="109"/>
        <w:gridCol w:w="109"/>
        <w:gridCol w:w="109"/>
        <w:gridCol w:w="214"/>
        <w:gridCol w:w="405"/>
        <w:gridCol w:w="119"/>
        <w:gridCol w:w="119"/>
        <w:gridCol w:w="119"/>
        <w:gridCol w:w="119"/>
        <w:gridCol w:w="214"/>
        <w:gridCol w:w="405"/>
        <w:gridCol w:w="119"/>
        <w:gridCol w:w="109"/>
        <w:gridCol w:w="109"/>
        <w:gridCol w:w="109"/>
        <w:gridCol w:w="219"/>
        <w:gridCol w:w="454"/>
        <w:gridCol w:w="123"/>
        <w:gridCol w:w="109"/>
        <w:gridCol w:w="109"/>
        <w:gridCol w:w="109"/>
        <w:gridCol w:w="285"/>
        <w:gridCol w:w="226"/>
        <w:gridCol w:w="575"/>
      </w:tblGrid>
      <w:tr>
        <w:trPr/>
        <w:tc>
          <w:tcPr>
            <w:tcW w:w="4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8"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48"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8"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Supplemental Unaudited Presentation of Consolidated Adjusted Earnings Before Interest, Taxes, Depreciation and Amortization (“Adjusted EBITDA”) for the Three and Six Months Ended June 30, 2025 and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and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4165"/>
                <wp:effectExtent l="0" t="0" r="0" b="0"/>
                <wp:wrapNone/>
                <wp:docPr id="37" name="Frame3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Other companies that provide Adjusted EBITDA information may calculate Adjusted EBITDA differently than we do. The definition of Adjusted EBITDA may not be the same as the definitions used in any of our debt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Adjusted EBITDA for the three and six months ended June 30, 2025 and 2024, respectively, in addition to reconciling net income (loss) attributable to Caesars to Adjusted EBITDA in accordance with GAAP (unaudited):</w:t>
      </w:r>
    </w:p>
    <w:tbl>
      <w:tblPr>
        <w:tblW w:w="8687" w:type="dxa"/>
        <w:jc w:val="left"/>
        <w:tblInd w:w="0" w:type="dxa"/>
        <w:tblLayout w:type="fixed"/>
        <w:tblCellMar>
          <w:top w:w="28" w:type="dxa"/>
          <w:left w:w="28" w:type="dxa"/>
          <w:bottom w:w="28" w:type="dxa"/>
          <w:right w:w="28" w:type="dxa"/>
        </w:tblCellMar>
      </w:tblPr>
      <w:tblGrid>
        <w:gridCol w:w="1322"/>
        <w:gridCol w:w="1160"/>
        <w:gridCol w:w="1163"/>
        <w:gridCol w:w="258"/>
        <w:gridCol w:w="555"/>
        <w:gridCol w:w="143"/>
        <w:gridCol w:w="143"/>
        <w:gridCol w:w="143"/>
        <w:gridCol w:w="143"/>
        <w:gridCol w:w="258"/>
        <w:gridCol w:w="654"/>
        <w:gridCol w:w="143"/>
        <w:gridCol w:w="109"/>
        <w:gridCol w:w="109"/>
        <w:gridCol w:w="109"/>
        <w:gridCol w:w="213"/>
        <w:gridCol w:w="605"/>
        <w:gridCol w:w="118"/>
        <w:gridCol w:w="118"/>
        <w:gridCol w:w="118"/>
        <w:gridCol w:w="118"/>
        <w:gridCol w:w="213"/>
        <w:gridCol w:w="605"/>
        <w:gridCol w:w="167"/>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(income) loss </w:t>
            </w:r>
            <w:r>
              <w:rPr>
                <w:rFonts w:ascii="Times New Roman;serif" w:hAnsi="Times New Roman;serif"/>
                <w:b w:val="false"/>
                <w:i/>
                <w:color w:val="000000"/>
                <w:sz w:val="12"/>
              </w:rPr>
              <w:t>(a)</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 charges </w:t>
            </w:r>
            <w:r>
              <w:rPr>
                <w:rFonts w:ascii="Times New Roman;serif" w:hAnsi="Times New Roman;serif"/>
                <w:b w:val="false"/>
                <w:i/>
                <w:color w:val="000000"/>
                <w:sz w:val="12"/>
              </w:rPr>
              <w:t>(b)</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costs and other, net </w:t>
            </w:r>
            <w:r>
              <w:rPr>
                <w:rFonts w:ascii="Times New Roman;serif" w:hAnsi="Times New Roman;serif"/>
                <w:b w:val="false"/>
                <w:i/>
                <w:color w:val="000000"/>
                <w:sz w:val="12"/>
              </w:rPr>
              <w:t>(c)</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Pre-disposition Adjusted EBITDA </w:t>
            </w:r>
            <w:r>
              <w:rPr>
                <w:rFonts w:ascii="Times New Roman;serif" w:hAnsi="Times New Roman;serif"/>
                <w:b w:val="false"/>
                <w:i/>
                <w:color w:val="000000"/>
                <w:sz w:val="12"/>
              </w:rPr>
              <w:t>(d)</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Adjusted EBITDA</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212529"/>
          <w:sz w:val="10"/>
        </w:rPr>
        <w:t>(a)</w:t>
      </w:r>
      <w:r>
        <w:rPr>
          <w:rFonts w:ascii="Times New Roman;serif" w:hAnsi="Times New Roman;serif"/>
          <w:b w:val="false"/>
          <w:i/>
          <w:color w:val="000000"/>
          <w:sz w:val="16"/>
        </w:rPr>
        <w:t xml:space="preserve">Other (income) loss for the six months ended June 30, 2024 primarily represents a change in the estimate of our disputed claims liability. </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Impairment charges for the three and six months ended June 30, 2024 includes impairment within our Regional segment as a result of a decrease in projected cash flows at certain properties primarily due to localized competition.</w:t>
      </w:r>
    </w:p>
    <w:p>
      <w:pPr>
        <w:pStyle w:val="TextBody"/>
        <w:bidi w:val="0"/>
        <w:spacing w:lineRule="auto" w:line="288" w:before="60" w:after="283"/>
        <w:ind w:left="0" w:right="0" w:hanging="360"/>
        <w:jc w:val="both"/>
        <w:rPr/>
      </w:pPr>
      <w:r>
        <w:rPr>
          <w:rFonts w:ascii="sans-serif" w:hAnsi="sans-serif"/>
          <w:b w:val="false"/>
          <w:i/>
          <w:color w:val="212529"/>
          <w:sz w:val="10"/>
        </w:rPr>
        <w:t>(c)</w:t>
      </w:r>
      <w:r>
        <w:rPr>
          <w:rFonts w:ascii="Times New Roman;serif" w:hAnsi="Times New Roman;serif"/>
          <w:b w:val="false"/>
          <w:i/>
          <w:color w:val="000000"/>
          <w:sz w:val="16"/>
        </w:rPr>
        <w:t>Transaction costs and other, net primarily includes costs related to non-cash losses on the write down and disposal of assets, certain non-recurring litigation reserves, professional services for transaction and integration costs, various contract exit or termination costs, pre-opening costs in connection with our new property openings, and non-cash changes in equity method investments.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(d)</w:t>
      </w:r>
      <w:r>
        <w:rPr>
          <w:rFonts w:ascii="Times New Roman;serif" w:hAnsi="Times New Roman;serif"/>
          <w:b w:val="false"/>
          <w:i/>
          <w:color w:val="000000"/>
          <w:sz w:val="16"/>
        </w:rPr>
        <w:t>Adjustment for pre-disposition results of operations reflecting the subtraction of results of operations for the LINQ Promenade prior to divestiture, for the relevant periods.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We may, from time to time, seek to repurchase our common stock or prepay our outstanding indebtedness. Any such purchases or prepayments may be funded by existing cash balances or the incurrence of debt. The amount and timing of any repurchase of debt or common stock will be based on business and market conditions, capital availability, compliance with debt covenants and other considerations. Our cash requirements may fluctuate significantly depending on our decisions with respect to business acquisitions or divestitures and strategic capital and marketing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4165"/>
                <wp:effectExtent l="0" t="0" r="0" b="0"/>
                <wp:wrapNone/>
                <wp:docPr id="38" name="Frame3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our cash on hand and borrowing capacity was as follows:</w:t>
      </w:r>
    </w:p>
    <w:tbl>
      <w:tblPr>
        <w:tblW w:w="5205" w:type="dxa"/>
        <w:jc w:val="left"/>
        <w:tblInd w:w="0" w:type="dxa"/>
        <w:tblLayout w:type="fixed"/>
        <w:tblCellMar>
          <w:top w:w="28" w:type="dxa"/>
          <w:left w:w="28" w:type="dxa"/>
          <w:bottom w:w="28" w:type="dxa"/>
          <w:right w:w="28" w:type="dxa"/>
        </w:tblCellMar>
      </w:tblPr>
      <w:tblGrid>
        <w:gridCol w:w="1452"/>
        <w:gridCol w:w="1275"/>
        <w:gridCol w:w="1278"/>
        <w:gridCol w:w="259"/>
        <w:gridCol w:w="737"/>
        <w:gridCol w:w="204"/>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Revolver capacity </w:t>
            </w:r>
            <w:r>
              <w:rPr>
                <w:rFonts w:ascii="Times New Roman;serif" w:hAnsi="Times New Roman;serif"/>
                <w:b w:val="false"/>
                <w:i/>
                <w:color w:val="000000"/>
                <w:sz w:val="12"/>
              </w:rPr>
              <w:t>(a)</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to letters of credit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as regulatory requirement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w:t>
            </w:r>
            <w:r>
              <w:rPr>
                <w:rFonts w:ascii="Times New Roman;serif" w:hAnsi="Times New Roman;serif"/>
                <w:b w:val="false"/>
                <w:i/>
                <w:color w:val="000000"/>
                <w:sz w:val="12"/>
              </w:rPr>
              <w:t>(b)</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Revolver capacity includes $2.25 billion under the CEI Revolving Credit Facility, maturing in January 2028, and $25 million under the CVA Revolving Credit Facility, maturing on April 26, 2029, less $40 million reserved for specific purposes.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Excludes approximately $75 million of additional borrowing available under the CVA Delayed Draw Term Loan.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our operating activities generated operating cash inflows of $680 million, as compared to operating cash inflows of $534 million during the six months ended June 30, 2024, primarily due to changes in working capital, coupled with the results of operations described above.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we announced that our Board of Directors (“Board”)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In April 2025, we acquired 4,188,466 shares of our common stock at an aggregate value of $100 million, excluding commissions or applicable excise tax. As of June 30, 2025, we are authorized to repurchase up to $350 million of common stock under the 2024 Share Repurchase Program. See “Share Repurchase Program” below for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8, 2025, we fully redeemed all of the $546 million outstanding principal amount of the CEI Senior Notes due 2027 and paid the related accrued interest and expenses with borrowings under the CEI Revolving Credit Facility and proceeds received from the partial repayment and sale of $225 million of notes receivable related to the previously disclosed WSOP trademark sale. As a result of the early repayment, we recognized approximately $4 million of loss on extinguishment of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primary capital requirements going forward will relate to servicing our outstanding indebtedness, rent payments under our GLPI Leases and VICI Leases, and the expansion and maintenance of our properties. Beginning in 2025 we have had, and expect to continue having, additional cash uses for operating activities as a result of federal and certain state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liquidity needs are for debt service and payments associated with our leases. Our estimated debt service (including principal and interest) is approximately $454 million for the remainder of 2025. We also lease certain real property assets from third parties, including VICI and GLPI. The VICI Leases are subject to annual escalations, that take effect in November of each year, based on the Consumer Price Index (“CPI”). In addition to the CPI escalator, our VICI Leases are also subject to a variable rent adjustment based on certain historical net revenues of our leased properties which began in November 2024. The next such lease year with a variable rent adjustment begins November 2027. We estimate our lease payments to VICI and GLPI to be approximately $673 million for the remainder of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make capital expenditures and perform continuing refurbishment and maintenance at our properties to maintain our quality standards. Our capital expenditure requirements for the remainder of 2025 include the completion of expansion and rebranding projects and hotel renovations. In addition, we anticipate continued investment in our Caesars Sportsbook and iGaming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4165"/>
                <wp:effectExtent l="0" t="0" r="0" b="0"/>
                <wp:wrapNone/>
                <wp:docPr id="39" name="Frame3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pPr>
      <w:r>
        <w:rPr>
          <w:rFonts w:ascii="Times New Roman;serif" w:hAnsi="Times New Roman;serif"/>
          <w:b w:val="false"/>
          <w:color w:val="212529"/>
          <w:sz w:val="20"/>
        </w:rPr>
        <w:t xml:space="preserve">Cash used for capital expenditures totaled </w:t>
      </w:r>
      <w:r>
        <w:rPr>
          <w:rFonts w:ascii="Times New Roman;serif" w:hAnsi="Times New Roman;serif"/>
          <w:b w:val="false"/>
          <w:color w:val="000000"/>
          <w:sz w:val="20"/>
        </w:rPr>
        <w:t xml:space="preserve">$453 million and $593 million </w:t>
      </w:r>
      <w:r>
        <w:rPr>
          <w:rFonts w:ascii="Times New Roman;serif" w:hAnsi="Times New Roman;serif"/>
          <w:b w:val="false"/>
          <w:color w:val="212529"/>
          <w:sz w:val="20"/>
        </w:rPr>
        <w:t xml:space="preserve">for the six months ended </w:t>
      </w:r>
      <w:r>
        <w:rPr>
          <w:rFonts w:ascii="Times New Roman;serif" w:hAnsi="Times New Roman;serif"/>
          <w:b w:val="false"/>
          <w:color w:val="000000"/>
          <w:sz w:val="20"/>
        </w:rPr>
        <w:t>June 30, 2025 and 2024</w:t>
      </w:r>
      <w:r>
        <w:rPr>
          <w:rFonts w:ascii="Times New Roman;serif" w:hAnsi="Times New Roman;serif"/>
          <w:b w:val="false"/>
          <w:color w:val="212529"/>
          <w:sz w:val="20"/>
        </w:rPr>
        <w:t xml:space="preserve">, respectively, related to our growth, renovation, maintenance, and other capital projects. The following table summarizes our capital expenditures for the six months ended June 30, 2025, and an estimated range of capital expenditures for the remainder of 2025. </w:t>
      </w:r>
    </w:p>
    <w:tbl>
      <w:tblPr>
        <w:tblW w:w="10205" w:type="dxa"/>
        <w:jc w:val="left"/>
        <w:tblInd w:w="0" w:type="dxa"/>
        <w:tblLayout w:type="fixed"/>
        <w:tblCellMar>
          <w:top w:w="28" w:type="dxa"/>
          <w:left w:w="28" w:type="dxa"/>
          <w:bottom w:w="28" w:type="dxa"/>
          <w:right w:w="28" w:type="dxa"/>
        </w:tblCellMar>
      </w:tblPr>
      <w:tblGrid>
        <w:gridCol w:w="1365"/>
        <w:gridCol w:w="1173"/>
        <w:gridCol w:w="1162"/>
        <w:gridCol w:w="625"/>
        <w:gridCol w:w="1344"/>
        <w:gridCol w:w="347"/>
        <w:gridCol w:w="109"/>
        <w:gridCol w:w="109"/>
        <w:gridCol w:w="109"/>
        <w:gridCol w:w="414"/>
        <w:gridCol w:w="890"/>
        <w:gridCol w:w="230"/>
        <w:gridCol w:w="230"/>
        <w:gridCol w:w="230"/>
        <w:gridCol w:w="230"/>
        <w:gridCol w:w="414"/>
        <w:gridCol w:w="890"/>
        <w:gridCol w:w="334"/>
      </w:tblGrid>
      <w:tr>
        <w:trPr/>
        <w:tc>
          <w:tcPr>
            <w:tcW w:w="13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Estimate of Remaining Capital Expenditures for </w:t>
            </w:r>
            <w:r>
              <w:rPr>
                <w:rFonts w:ascii="Times New Roman;serif" w:hAnsi="Times New Roman;serif"/>
                <w:b/>
                <w:color w:val="212529"/>
                <w:sz w:val="18"/>
              </w:rPr>
              <w:t>2025</w:t>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Growth and renovation projects</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projects</w:t>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estimated capital expenditures from unrestricted cash</w:t>
            </w:r>
          </w:p>
        </w:tc>
        <w:tc>
          <w:tcPr>
            <w:tcW w:w="1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Caesars Virginia</w:t>
            </w:r>
            <w:r>
              <w:rPr>
                <w:color w:val="000000"/>
              </w:rPr>
              <w:t xml:space="preserve"> </w:t>
            </w:r>
            <w:r>
              <w:rPr>
                <w:rFonts w:ascii="Times New Roman;serif" w:hAnsi="Times New Roman;serif"/>
                <w:b w:val="false"/>
                <w:i/>
                <w:color w:val="000000"/>
                <w:sz w:val="12"/>
              </w:rPr>
              <w:t>(a)</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 xml:space="preserve">Capital expenditures associated with Caesars Virginia are expected to be funded from cash on-hand generated from the operations of Caesars Virginia, or through the Caesars Virginia, LLC Credit Agreement. The Caesars Virginia delayed draw term loan has $75 million of undrawn capacity and the Caesars Virginia revolving credit facility has $25 million of undrawn capacity. </w:t>
      </w:r>
    </w:p>
    <w:p>
      <w:pPr>
        <w:pStyle w:val="TextBody"/>
        <w:bidi w:val="0"/>
        <w:spacing w:lineRule="auto" w:line="288" w:before="180" w:after="283"/>
        <w:jc w:val="both"/>
        <w:rPr/>
      </w:pPr>
      <w:r>
        <w:rPr>
          <w:rFonts w:ascii="Times New Roman;serif" w:hAnsi="Times New Roman;serif"/>
          <w:b w:val="false"/>
          <w:color w:val="222222"/>
          <w:sz w:val="20"/>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w:t>
      </w:r>
      <w:r>
        <w:rPr>
          <w:rFonts w:ascii="Times New Roman;serif" w:hAnsi="Times New Roman;serif"/>
          <w:b w:val="false"/>
          <w:color w:val="000000"/>
          <w:sz w:val="20"/>
        </w:rPr>
        <w:t>June 30, 2025 and December 31, 2024</w:t>
      </w:r>
      <w:r>
        <w:rPr>
          <w:rFonts w:ascii="Times New Roman;serif" w:hAnsi="Times New Roman;serif"/>
          <w:b w:val="false"/>
          <w:color w:val="222222"/>
          <w:sz w:val="20"/>
        </w:rPr>
        <w:t>, obligations related to these agreements were $372 million and $421 million, respectively, with contracts extending through 2040. These obligations are composed of various third-party agreements which have been entered into by us for certain of our Las Vegas and Regional properties, or our Caesars Digital segment. The agreements include leasing of event suites that are generally considered short-term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pPr>
      <w:r>
        <w:rPr>
          <w:rFonts w:ascii="Times New Roman;serif" w:hAnsi="Times New Roman;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erif" w:hAnsi="Times New Roman;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TextBody"/>
        <w:bidi w:val="0"/>
        <w:spacing w:lineRule="auto" w:line="288" w:before="180" w:after="283"/>
        <w:jc w:val="both"/>
        <w:rPr/>
      </w:pPr>
      <w:r>
        <w:rPr>
          <w:rFonts w:ascii="Times New Roman;serif" w:hAnsi="Times New Roman;serif"/>
          <w:b w:val="false"/>
          <w:color w:val="000000"/>
          <w:sz w:val="20"/>
        </w:rPr>
        <w:t>We</w:t>
      </w:r>
      <w:r>
        <w:rPr>
          <w:color w:val="212529"/>
        </w:rPr>
        <w:t xml:space="preserve"> </w:t>
      </w:r>
      <w:r>
        <w:rPr>
          <w:rFonts w:ascii="Times New Roman;serif" w:hAnsi="Times New Roman;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 and beyond.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Debt and Master Lease Covenant Compliance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2027, the CEI Senior Notes due 2029 and the CEI Senior Notes due 2032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4165"/>
                <wp:effectExtent l="0" t="0" r="0" b="0"/>
                <wp:wrapNone/>
                <wp:docPr id="40" name="Frame3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GLPI Leases and VICI Leases contain certain covenants requiring minimum capital expenditures based on a percentage of net revenues along with maintaining certain financial ratios. The GLPI Leases require the Company to maintain a minimum adjusted revenue to rent ratio of 1.20:1, applicable to the operations of the underlying leased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CVA Revolving Credit Facility and the CVA Delayed Draw Term Loan contain covenants, applicable to the operations of Caesars Virginia, which are standard and customary for this type of agreement, including a maximum net total leverage ratio financial covenant of 4:1 and a minimum fixed charge coverage ratio financial covenant of 1.05:1. Caesars Virginia LLC’s compliance requirements began on June 30,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we were in compliance with all of the applicable financial covenants described above.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we announced that our Board authorized a $500 million common stock repurchase program. Under the 2024 Share Repurchase Program, we may, from time to time, repurchase shares of common stock on the open market (either with or without a 10b5-1 plan) or through privately negotiated transactions. In April 2025, we acquired 4,188,466 shares of our common stock at an aggregate value of $100 million, excluding commissions or applicable excise tax. As of June 30, 2025, we are authorized to repurchase up to $350 million of common stock under the 2024 Share Repurchase Program. The 2024 Share Repurchase Program has no time limit and may be suspended or discontinued at any time without notice. There is no minimum number of shares of common stock that we are required to repurchase under the 2024 Share Repurchase Program.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There have been no other material changes during the six months ended June 30, 2025 to our contractual obligations as disclosed in Part II, Item 7 of the 2024 Annual Report. See </w:t>
      </w:r>
      <w:hyperlink w:anchor="ie51d5a89a70f4793bddd722fbe83b866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our unaudited Financial Statements, which is included elsewhere in this report, for additional information regarding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Liquidity Matters</w:t>
      </w:r>
    </w:p>
    <w:p>
      <w:pPr>
        <w:pStyle w:val="TextBody"/>
        <w:bidi w:val="0"/>
        <w:spacing w:lineRule="auto" w:line="288" w:before="180" w:after="283"/>
        <w:jc w:val="both"/>
        <w:rPr/>
      </w:pPr>
      <w:r>
        <w:rPr>
          <w:rFonts w:ascii="Times New Roman;serif" w:hAnsi="Times New Roman;serif"/>
          <w:b w:val="false"/>
          <w:color w:val="000000"/>
          <w:sz w:val="20"/>
        </w:rPr>
        <w:t>We are faced with certain contingencies, from time to time, involving litigation, claims, assessments, environmental remediation or compliance. These commitments and contingencies are discussed in greater detail, when applicable, in “</w:t>
      </w:r>
      <w:hyperlink w:anchor="ie51d5a89a70f4793bddd722fbe83b866_124">
        <w:r>
          <w:rPr>
            <w:rStyle w:val="InternetLink"/>
            <w:rFonts w:ascii="Times New Roman;serif" w:hAnsi="Times New Roman;serif"/>
            <w:b w:val="false"/>
            <w:color w:val="0000FF"/>
            <w:sz w:val="20"/>
            <w:u w:val="single"/>
          </w:rPr>
          <w:t>Part II, Item 1. Legal Proceedings</w:t>
        </w:r>
      </w:hyperlink>
      <w:r>
        <w:rPr>
          <w:color w:val="000000"/>
        </w:rPr>
        <w:t xml:space="preserve">” </w:t>
      </w:r>
      <w:r>
        <w:rPr>
          <w:rFonts w:ascii="Times New Roman;serif" w:hAnsi="Times New Roman;serif"/>
          <w:b w:val="false"/>
          <w:color w:val="000000"/>
          <w:sz w:val="20"/>
        </w:rPr>
        <w:t xml:space="preserve">and </w:t>
      </w:r>
      <w:hyperlink w:anchor="ie51d5a89a70f4793bddd722fbe83b866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our unaudited Financial Statements, both of which are included elsewhere in this report. See also “Part I, Item 1A. Risk Factors—Risks Related to Our Business” which is included elsewhere in the 2024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included in the 2024 Annual Report. There have been no material changes since December 31, 2024. We have not substantively changed the application of our policies, and there have been no material changes in assumptions or estimation techniques used as compared to those described in the 2024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3. Quantitative and Qualitative Disclosures About Market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adjusting our mix of fixed and variable rate borrowings.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long-term variable-rate borrowings totaled $5.9 billion under the CEI Term Loans and the CVA Delayed Draw Term Loan and no amounts were outstanding under the CEI Revolving Credit Facility or the CVA Revolving Credit Facility. As of June 30, 2025, long-term variable-rate borrowings under the CEI Term Loans and the CVA Delayed Draw Term Loan represented approximately 48% of consolidated long-term debt and the weighted average interest rates on our variable and fixed rate debt were 6.57% and 6.34%,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of the variable rate debt instruments are subject to Term SOFR interest rates plus a margin.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exposure to market risk by monitoring interest rates in the marketplace and have, on occasion, utilized derivative financial instruments to help manage this risk. We do not utilize derivative financial instruments for trading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4165"/>
                <wp:effectExtent l="0" t="0" r="0" b="0"/>
                <wp:wrapNone/>
                <wp:docPr id="41" name="Frame4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other material quantitative changes in our market risk exposure, or how such risks are managed from the information previously reported under Part II, Item 7A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4. Controls and Procedures</w:t>
      </w:r>
    </w:p>
    <w:p>
      <w:pPr>
        <w:pStyle w:val="TextBody"/>
        <w:bidi w:val="0"/>
        <w:spacing w:lineRule="auto" w:line="288" w:before="180" w:after="283"/>
        <w:jc w:val="both"/>
        <w:rPr/>
      </w:pPr>
      <w:r>
        <w:rPr>
          <w:rFonts w:ascii="Times New Roman;serif" w:hAnsi="Times New Roman;serif"/>
          <w:b w:val="false"/>
          <w:color w:val="000000"/>
          <w:sz w:val="20"/>
        </w:rPr>
        <w:t>(a)</w:t>
      </w:r>
      <w:r>
        <w:rPr>
          <w:rFonts w:ascii="Times New Roman;serif" w:hAnsi="Times New Roman;serif"/>
          <w:b w:val="false"/>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pStyle w:val="TextBody"/>
        <w:bidi w:val="0"/>
        <w:spacing w:lineRule="auto" w:line="288" w:before="180" w:after="283"/>
        <w:jc w:val="both"/>
        <w:rPr/>
      </w:pPr>
      <w:r>
        <w:rPr>
          <w:rFonts w:ascii="Times New Roman;serif" w:hAnsi="Times New Roman;serif"/>
          <w:b w:val="false"/>
          <w:color w:val="000000"/>
          <w:sz w:val="20"/>
        </w:rPr>
        <w:t>(b)</w:t>
      </w:r>
      <w:r>
        <w:rPr>
          <w:rFonts w:ascii="Times New Roman;serif" w:hAnsi="Times New Roman;serif"/>
          <w:b w:val="false"/>
          <w:color w:val="000000"/>
          <w:sz w:val="20"/>
        </w:rPr>
        <w:t>Changes in Internal Controls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changes in our internal control over financial reporting during the period covered by this Quarterly Report on Form 10</w:t>
        <w:noBreakHyphen/>
        <w:t>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4165"/>
                <wp:effectExtent l="0" t="0" r="0" b="0"/>
                <wp:wrapNone/>
                <wp:docPr id="42" name="Frame4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center"/>
        <w:rPr>
          <w:rFonts w:ascii="Times New Roman;serif" w:hAnsi="Times New Roman;serif"/>
          <w:b/>
          <w:color w:val="BF2115"/>
          <w:sz w:val="24"/>
        </w:rPr>
      </w:pPr>
      <w:r>
        <w:rPr>
          <w:rFonts w:ascii="Times New Roman;serif" w:hAnsi="Times New Roman;serif"/>
          <w:b/>
          <w:color w:val="BF2115"/>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 xml:space="preserve">Item 1. Legal Proceedings </w:t>
      </w:r>
    </w:p>
    <w:p>
      <w:pPr>
        <w:pStyle w:val="TextBody"/>
        <w:bidi w:val="0"/>
        <w:spacing w:lineRule="auto" w:line="288" w:before="180" w:after="283"/>
        <w:jc w:val="both"/>
        <w:rPr/>
      </w:pPr>
      <w:r>
        <w:rPr>
          <w:rFonts w:ascii="Times New Roman;serif" w:hAnsi="Times New Roman;serif"/>
          <w:b w:val="false"/>
          <w:color w:val="000000"/>
          <w:sz w:val="20"/>
        </w:rPr>
        <w:t xml:space="preserve">For a discussion of our “Legal Proceedings,” refer to </w:t>
      </w:r>
      <w:hyperlink w:anchor="ie51d5a89a70f4793bddd722fbe83b866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of our Consolidated Condensed Financial Statements located elsewhere in this Quarterly Report on Form 10-Q and Note 8 to our Consolidated Financial Statements included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Cautionary Statements Regarding Forward-Looking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our sensitivity to reductions in discretionary consumer spending as a result of downturns in the economy and other factors outside our control;</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projections of future results of operations or financial condition;</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our business and results of operations of our existing casino properties and prospects for future development;</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economic trends, inflation, trade tensions and related actions, such as the imposition of tariffs between the United States and other countries and the threat of any additional tariffs, and public health emergencies on our business and financial condition;</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comply with the covenants in the agreements governing our outstanding indebtedness and leases;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meet our projected debt service obligations, operating expenses, and maintenance capital expenditures;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availability of capital resources;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intention to pursue development opportunities and additional acquisitions and divestitures;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complete dispositions and divestitures and effectively reinvest the proceeds thereof;</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ability to identify suitable acquisition opportunities and realize growth and cost synergies from any future acquisitions;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regulation on our business and our ability to receive and maintain necessary approvals for our existing properties, future projects and the operation of our online sportsbook, online poker and iGaming applications;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 of disruptions or corruption to our information technology and other systems and infrastructure;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potential compromises of our information systems or unauthorized access to confidential information and customer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4165"/>
                <wp:effectExtent l="0" t="0" r="0" b="0"/>
                <wp:wrapNone/>
                <wp:docPr id="43" name="Frame4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 xml:space="preserve">the impact of the Data Incident and any other future cybersecurity breaches on our business, financial conditions and results of operations;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factors impacting our ability to successfully operate our digital betting and iGaming platform and expand its user base;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adapt to the very competitive environments in which we operate, including the online market;</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win or hold rates and liability management risks on our results of operations;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third parties for strategic relationships and essential services;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costs associated with investments in our online offerings and technological and strategic initiatives;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risk relating to fraud, theft and cheating;</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collect gaming receivables from our credit customers;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our substantial indebtedness and significant financial commitments, including our obligations under our lease arrangements;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restrictions and limitations in agreements governing our debt and leased properties could significantly affect our ability to operate our business and our liquidity;</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financial, operational, regulatory or other potential challenges that may arise as a result of leasing of a number of our properties;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governmental regulation on our business and the cost of complying or the impact of failing to comply with such regulations;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changes in gaming taxes and fees in jurisdictions in which we operate;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risks relating to pending claims or future claims that may be brought against us;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changes in interest rates and capital and credit markets;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 of seasonal fluctuations;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 xml:space="preserve">our particular sensitivity to energy and water prices;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deterioration in our reputation or the reputation of our brands;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information technology, particularly for our digital business;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licenses to use the intellectual property of third parties and our ability to renew or extend our existing licenses;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effects of war, terrorist activity, acts of violence, natural disasters and other catastrophic events;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increased scrutiny and changing expectations regarding our environmental, social and governance practices and reporting;</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key personnel and the intense competition to attract and retain management and key employees in the gaming industry;</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work stoppages and other labor problems;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secure and retain performers and other entertainment offerings on acceptable terms; and</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other factors described in “Risk Factors” and “Management’s Discussion and Analysis of Financial Condition and Results of Operations” contained in this Quarterly Report on Form 10-Q, our most recent Annual Report on Form 10-K and any subsequent Quarterly Reports on Form 10-Q filed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4165"/>
                <wp:effectExtent l="0" t="0" r="0" b="0"/>
                <wp:wrapNone/>
                <wp:docPr id="44" name="Frame4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our risk factors can be found in “Part I, Item 1A. Risk Factors” included in the 2024 Annual Report. There have been no material changes to those risk factors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2. Unregistered Sales of Equity Securities and Use of Proceeds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649"/>
        <w:gridCol w:w="447"/>
        <w:gridCol w:w="448"/>
        <w:gridCol w:w="109"/>
        <w:gridCol w:w="109"/>
        <w:gridCol w:w="109"/>
        <w:gridCol w:w="271"/>
        <w:gridCol w:w="770"/>
        <w:gridCol w:w="151"/>
        <w:gridCol w:w="109"/>
        <w:gridCol w:w="109"/>
        <w:gridCol w:w="109"/>
        <w:gridCol w:w="759"/>
        <w:gridCol w:w="759"/>
        <w:gridCol w:w="761"/>
        <w:gridCol w:w="109"/>
        <w:gridCol w:w="109"/>
        <w:gridCol w:w="109"/>
        <w:gridCol w:w="713"/>
        <w:gridCol w:w="1534"/>
        <w:gridCol w:w="571"/>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Plans or Programs </w:t>
            </w:r>
            <w:r>
              <w:rPr>
                <w:rFonts w:ascii="Times New Roman;serif" w:hAnsi="Times New Roman;serif"/>
                <w:b/>
                <w:i/>
                <w:color w:val="000000"/>
                <w:sz w:val="16"/>
              </w:rPr>
              <w:t xml:space="preserve">(in millions) </w:t>
            </w:r>
            <w:r>
              <w:rPr>
                <w:rFonts w:ascii="Times New Roman;serif" w:hAnsi="Times New Roman;serif"/>
                <w:b/>
                <w:i/>
                <w:color w:val="000000"/>
                <w:sz w:val="10"/>
              </w:rPr>
              <w:t>(a)</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2025 to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4,188,466 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2025 to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2025 to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212529"/>
          <w:sz w:val="10"/>
        </w:rPr>
        <w:t>(a)</w:t>
      </w:r>
      <w:r>
        <w:rPr>
          <w:rFonts w:ascii="Times New Roman;serif" w:hAnsi="Times New Roman;serif"/>
          <w:b w:val="false"/>
          <w:i/>
          <w:color w:val="000000"/>
          <w:sz w:val="16"/>
        </w:rPr>
        <w:t xml:space="preserve">On October 2, 2024, we announced that our Board of Directors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we are required to repurchase under the 2024 Share Repurchase Program. All share repurchases under the 2024 Share Repurchase Program are retired upon repurchase.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3. Defaults Upon Senior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5.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color w:val="000000"/>
          <w:sz w:val="20"/>
        </w:rPr>
        <w:t>Rule 10b5-1 Trading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May 9, 2025, Recreational Enterprises, Inc. (“REI”) entered into a “Rule 10b5-1 trading arrangement” (as defined in Item 408(a) of Regulation S-K). REI’s plan provides for the potential sale by REI of up to 800,086 shares of common stock between August 8, 2025 and May 8, 2026. Our Executive Chairman of the Board, Gary L. Carano, indirectly through various trusts holds a 10.1% ownership interest in, and is the President and a member of the board of directors of, REI. He does not hold voting power or dispositive power with respect to REI’s shares of our common stock and he disclaims beneficial ownership of REI’s shares of our common stock except to the extent of any pecuniary interest therein.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above trading plan activity occurred during open insider trading windows and is intended to satisfy the affirmative defense conditions of Rule 10b5-1(c) under the Securities Exchange Act of 1934, as amended, and Caesars’ policies regarding transactions in securities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4165"/>
                <wp:effectExtent l="0" t="0" r="0" b="0"/>
                <wp:wrapNone/>
                <wp:docPr id="45" name="Frame4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0" w:after="0"/>
        <w:jc w:val="left"/>
        <w:rPr>
          <w:rFonts w:ascii="Times New Roman;serif" w:hAnsi="Times New Roman;serif"/>
          <w:b/>
          <w:color w:val="BF2115"/>
          <w:sz w:val="24"/>
        </w:rPr>
      </w:pPr>
      <w:r>
        <w:rPr>
          <w:rFonts w:ascii="Times New Roman;serif" w:hAnsi="Times New Roman;serif"/>
          <w:b/>
          <w:color w:val="BF2115"/>
          <w:sz w:val="24"/>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423"/>
        <w:gridCol w:w="2317"/>
        <w:gridCol w:w="2324"/>
        <w:gridCol w:w="109"/>
        <w:gridCol w:w="109"/>
        <w:gridCol w:w="109"/>
        <w:gridCol w:w="591"/>
        <w:gridCol w:w="461"/>
        <w:gridCol w:w="463"/>
        <w:gridCol w:w="109"/>
        <w:gridCol w:w="1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June 16,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July 28,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8"/>
                  <w:u w:val="single"/>
                </w:rPr>
                <w:t>Amendment to Director Appointment and Nomination Agreement, dated May 2, 2025, by and between Caesars Entertainment, Inc., Carl C. Icahn, Jesse Lynn, Ted Papapostolou, Icahn Partners Master Fund LP, Icahn Offshore LP, Icahn Partners LP, Icahn Onshore LP, Icahn Capital LP, IPH GP LLC, Icahn Enterprises Holdings L.P., Icahn Enterprises G.P. Inc, Beckton Corp. and Nakatomi Trading,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May 2,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2regionallease-th.htm">
              <w:r>
                <w:rPr>
                  <w:rStyle w:val="InternetLink"/>
                  <w:rFonts w:ascii="Times New Roman;serif" w:hAnsi="Times New Roman;serif"/>
                  <w:b w:val="false"/>
                  <w:color w:val="000080"/>
                  <w:sz w:val="18"/>
                  <w:u w:val="single"/>
                </w:rPr>
                <w:t xml:space="preserve">Thirteenth Amendment to Lease, dated as of </w:t>
              </w:r>
            </w:hyperlink>
            <w:hyperlink w:anchor="exhibit102regionallease-th.htm">
              <w:r>
                <w:rPr>
                  <w:rStyle w:val="InternetLink"/>
                  <w:rFonts w:ascii="Times New Roman;serif" w:hAnsi="Times New Roman;serif"/>
                  <w:b w:val="false"/>
                  <w:color w:val="000080"/>
                  <w:sz w:val="18"/>
                  <w:u w:val="single"/>
                </w:rPr>
                <w:t>June 27</w:t>
              </w:r>
            </w:hyperlink>
            <w:hyperlink w:anchor="exhibit102regionallease-th.htm">
              <w:r>
                <w:rPr>
                  <w:rStyle w:val="InternetLink"/>
                  <w:rFonts w:ascii="Times New Roman;serif" w:hAnsi="Times New Roman;serif"/>
                  <w:b w:val="false"/>
                  <w:color w:val="000080"/>
                  <w:sz w:val="18"/>
                  <w:u w:val="single"/>
                </w:rPr>
                <w:t>, 2025,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2cei-ex311.htm">
              <w:r>
                <w:rPr>
                  <w:rStyle w:val="InternetLink"/>
                  <w:rFonts w:ascii="Times New Roman;serif" w:hAnsi="Times New Roman;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2cei-ex312.htm">
              <w:r>
                <w:rPr>
                  <w:rStyle w:val="InternetLink"/>
                  <w:rFonts w:ascii="Times New Roman;serif" w:hAnsi="Times New Roman;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2cei-ex321.htm">
              <w:r>
                <w:rPr>
                  <w:rStyle w:val="InternetLink"/>
                  <w:rFonts w:ascii="Times New Roman;serif" w:hAnsi="Times New Roman;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2cei-ex322.htm">
              <w:r>
                <w:rPr>
                  <w:rStyle w:val="InternetLink"/>
                  <w:rFonts w:ascii="Times New Roman;serif" w:hAnsi="Times New Roman;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4165"/>
                <wp:effectExtent l="0" t="0" r="0" b="0"/>
                <wp:wrapNone/>
                <wp:docPr id="46" name="Frame4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thereunto duly authorized.</w:t>
      </w:r>
    </w:p>
    <w:tbl>
      <w:tblPr>
        <w:tblW w:w="6194" w:type="dxa"/>
        <w:jc w:val="left"/>
        <w:tblInd w:w="0" w:type="dxa"/>
        <w:tblLayout w:type="fixed"/>
        <w:tblCellMar>
          <w:top w:w="28" w:type="dxa"/>
          <w:left w:w="28" w:type="dxa"/>
          <w:bottom w:w="28" w:type="dxa"/>
          <w:right w:w="28" w:type="dxa"/>
        </w:tblCellMar>
      </w:tblPr>
      <w:tblGrid>
        <w:gridCol w:w="618"/>
        <w:gridCol w:w="544"/>
        <w:gridCol w:w="547"/>
        <w:gridCol w:w="1313"/>
        <w:gridCol w:w="1313"/>
        <w:gridCol w:w="18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CAESARS ENTERTAINMENT,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2025</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Thomas R. Reeg</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2025</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Bret Yunker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4165"/>
                <wp:effectExtent l="0" t="0" r="0" b="0"/>
                <wp:wrapNone/>
                <wp:docPr id="47" name="Frame4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pPr>
                      <w:hyperlink w:anchor="ie51d5a89a70f4793bddd722fbe83b86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THIRTEENTH AMENDMENT TO LEASE</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THIRTEENTH AMENDMENT TO LEASE</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entered into as of June 27, 2025, by and among the entities listed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attached hereto (collectively, and together with their respective successors and assigns, “</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xml:space="preserve">), the entities listed on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attached hereto (collectively, and together with their respective successors and assigns, “</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 xml:space="preserve">) and, solely for the purposes of the penultimate paragraph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Lease (as defined below), Propco TRS LLC, a Delaware limited liability company (“</w:t>
      </w:r>
      <w:r>
        <w:rPr>
          <w:rFonts w:ascii="Times New Roman;serif" w:hAnsi="Times New Roman;serif"/>
          <w:b w:val="false"/>
          <w:color w:val="000000"/>
          <w:sz w:val="24"/>
          <w:u w:val="single"/>
        </w:rPr>
        <w:t>Propco TRS</w:t>
      </w:r>
      <w:r>
        <w:rPr>
          <w:color w:val="000000"/>
        </w:rPr>
        <w:t>”</w:t>
      </w:r>
      <w:r>
        <w:rPr>
          <w:rFonts w:ascii="Times New Roman;serif" w:hAnsi="Times New Roman;serif"/>
          <w:b w:val="false"/>
          <w:color w:val="000000"/>
          <w:sz w:val="24"/>
        </w:rPr>
        <w:t>).</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00"/>
        <w:ind w:left="0" w:right="0" w:firstLine="72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 xml:space="preserve">Landlord, Tenant and, solely for the purposes of the penultimate paragraph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Lease, 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as amended by that certain Ninth Amendment to Lease, dated as of November 1, 2021, as amended by that certain Tenth Amendment to Lease, dated as of December 30, 2021, as amended by that certain Eleventh Amendment to Lease, dated as of August 25, 2022, and as amended by that certain Twelfth Amendment to Lease, dated as of April 7, 2023 (collectively, as amended, the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pursuant to which Landlord leases to Tenant, and Tenant leases from Landlord, certain real property as more particularly described in the Lease;</w:t>
      </w:r>
    </w:p>
    <w:p>
      <w:pPr>
        <w:pStyle w:val="TextBody"/>
        <w:bidi w:val="0"/>
        <w:spacing w:lineRule="auto" w:line="288" w:before="0" w:after="2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on the date hereof, Vegas Development LLC, a Delaware limited liability company, and the County of Clark, are closing a purchase and sale transaction under that certain Offer to Purchase, dated as of July 7, 2023, with respect to certain real property located in Las Vegas, Nevada, which is described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attached hereto (such real property, collectively, the “</w:t>
      </w:r>
      <w:r>
        <w:rPr>
          <w:rFonts w:ascii="Times New Roman;serif" w:hAnsi="Times New Roman;serif"/>
          <w:b w:val="false"/>
          <w:color w:val="000000"/>
          <w:sz w:val="24"/>
          <w:u w:val="single"/>
        </w:rPr>
        <w:t>Harmon/Koval Property</w:t>
      </w:r>
      <w:r>
        <w:rPr>
          <w:color w:val="000000"/>
        </w:rPr>
        <w:t xml:space="preserve">” </w:t>
      </w:r>
      <w:r>
        <w:rPr>
          <w:rFonts w:ascii="Times New Roman;serif" w:hAnsi="Times New Roman;serif"/>
          <w:b w:val="false"/>
          <w:color w:val="000000"/>
          <w:sz w:val="24"/>
        </w:rPr>
        <w:t>and the purchase and sale of the Harmon/Koval Property, the “</w:t>
      </w:r>
      <w:r>
        <w:rPr>
          <w:rFonts w:ascii="Times New Roman;serif" w:hAnsi="Times New Roman;serif"/>
          <w:b w:val="false"/>
          <w:color w:val="000000"/>
          <w:sz w:val="24"/>
          <w:u w:val="single"/>
        </w:rPr>
        <w:t>County Purchase</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(a) the portion of the Harmon/Koval Property identified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under the header “Cluster Parcel 4 Released Property” constitutes a portion of Cluster Parcel Number 4 described in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of the Lease, (b) the portion of the Harmon/Koval Property identified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under the header “Cluster Parcel 5 Released Property” constitutes a portion of Cluster Parcel Number 5 described in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of the Lease and (c) the portion of the Harmon/Koval Property identified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under the header “Cluster Parcel 6 Released Property” constitutes a portion of Cluster Parcel Number 6 described in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of the Lease; and</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4205"/>
                <wp:effectExtent l="0" t="0" r="0" b="0"/>
                <wp:wrapNone/>
                <wp:docPr id="48" name="Frame47"/>
                <a:graphic xmlns:a="http://schemas.openxmlformats.org/drawingml/2006/main">
                  <a:graphicData uri="http://schemas.microsoft.com/office/word/2010/wordprocessingShape">
                    <wps:wsp>
                      <wps:cNvSpPr txBox="1"/>
                      <wps:spPr>
                        <a:xfrm>
                          <a:off x="0" y="0"/>
                          <a:ext cx="6480175" cy="624205"/>
                        </a:xfrm>
                        <a:prstGeom prst="rect"/>
                        <a:solidFill>
                          <a:srgbClr val="FFFFFF"/>
                        </a:solidFill>
                      </wps:spPr>
                      <wps:txbx>
                        <w:txbxContent>
                          <w:p>
                            <w:pPr>
                              <w:pStyle w:val="TextBody"/>
                              <w:bidi w:val="0"/>
                              <w:spacing w:before="120" w:after="283"/>
                              <w:jc w:val="center"/>
                              <w:rPr/>
                            </w:pPr>
                            <w:r>
                              <w:rPr/>
                            </w:r>
                            <w:r>
                              <w:br w:type="page"/>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County Purchase, the parties hereto desire to amend the Lease as set forth herein.</w:t>
      </w:r>
    </w:p>
    <w:p>
      <w:pPr>
        <w:pStyle w:val="TextBody"/>
        <w:bidi w:val="0"/>
        <w:spacing w:lineRule="auto" w:line="288" w:before="0" w:after="20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hereinafter set forth and for other good and valuable consideration, the receipt and sufficiency of which are hereby acknowledged, the parties hereto, intending to be legally bound hereby, agree as follows:</w:t>
      </w:r>
    </w:p>
    <w:p>
      <w:pPr>
        <w:pStyle w:val="TextBody"/>
        <w:bidi w:val="0"/>
        <w:spacing w:lineRule="auto" w:line="288" w:before="0" w:after="20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u w:val="single"/>
        </w:rPr>
        <w:t>Definitions</w:t>
      </w:r>
      <w:r>
        <w:rPr>
          <w:rFonts w:ascii="Times New Roman;serif" w:hAnsi="Times New Roman;serif"/>
          <w:b w:val="false"/>
          <w:color w:val="000000"/>
          <w:sz w:val="24"/>
        </w:rPr>
        <w:t>. Except as otherwise defined herein, all capitalized terms used herein without definition shall have the meanings applicable to such terms, respectively, as set forth in the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u w:val="single"/>
        </w:rPr>
        <w:t>Amendments to the Lease</w:t>
      </w:r>
      <w:r>
        <w:rPr>
          <w:rFonts w:ascii="Times New Roman;serif" w:hAnsi="Times New Roman;serif"/>
          <w:b w:val="false"/>
          <w:color w:val="000000"/>
          <w:sz w:val="24"/>
        </w:rPr>
        <w:t>. Effective as of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Termination of the Lease as to the Harmon/Koval Property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Lease is hereby terminated with respect to the Harmon/Koval Property, the Harmon/Koval Property no longer constitutes Leased Property under the Lease nor a portion of the Las Vegas Land Assemblage nor a portion of the applicable Cluster Parcels nor a portion of the Las Vegas Land Assemblage Facility, and neither Landlord nor Tenant has any further liabilities or obligations under the Lease, from and after the date hereof, in respect of the Harmon/Koval Property (provided that any such liabilities or obligations arising prior to such date shall not be terminated, limited or affected by or upon entry into this Amendment);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the Guaranty hereby automatically, and without further action by any party, ceases to apply with respect to any Obligations (as defined in the Guaranty) with respect to the Harmon/Koval Property to the extent arising from and after the date hereof (provided that any such Obligations arising prior to such date shall not be terminated, limited or affected by or upon entry into this Amendment). The term “</w:t>
      </w:r>
      <w:r>
        <w:rPr>
          <w:rFonts w:ascii="Times New Roman;serif" w:hAnsi="Times New Roman;serif"/>
          <w:b w:val="false"/>
          <w:color w:val="000000"/>
          <w:sz w:val="24"/>
          <w:u w:val="single"/>
        </w:rPr>
        <w:t>Las Vegas Land Assemblage Facility</w:t>
      </w:r>
      <w:r>
        <w:rPr>
          <w:color w:val="000000"/>
        </w:rPr>
        <w:t xml:space="preserve">” </w:t>
      </w:r>
      <w:r>
        <w:rPr>
          <w:rFonts w:ascii="Times New Roman;serif" w:hAnsi="Times New Roman;serif"/>
          <w:b w:val="false"/>
          <w:color w:val="000000"/>
          <w:sz w:val="24"/>
        </w:rPr>
        <w:t xml:space="preserve">refers to the Facility identified as No. 14 on the list of the Facilities annexed as Exhibit A to the Lease.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Rent</w:t>
      </w:r>
      <w:r>
        <w:rPr>
          <w:rFonts w:ascii="Times New Roman;serif" w:hAnsi="Times New Roman;serif"/>
          <w:b w:val="false"/>
          <w:color w:val="000000"/>
          <w:sz w:val="24"/>
        </w:rPr>
        <w:t>. Landlord and Tenant hereby expressly acknowledge and agree that there shall be no reduction in the Rent under the Lease as a result of the removal of the Harmon/Koval Property from the Lease or otherwise as a result of the County Purchase.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Variable Rent</w:t>
      </w:r>
      <w:r>
        <w:rPr>
          <w:rFonts w:ascii="Times New Roman;serif" w:hAnsi="Times New Roman;serif"/>
          <w:b w:val="false"/>
          <w:color w:val="000000"/>
          <w:sz w:val="24"/>
        </w:rPr>
        <w:t>. From and after the date hereof, for purposes of any calculation of Variable Rent under the Lease, including any adjustments in Variable Rent based on increases or decreases in Net Revenue, such calculations of Net Revenue shall exclude Net Revenue attributable to the Harmon/Koval Property.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County Purchase</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Each of Landlord and Tenant hereby acknowledges and agrees that (i) such party consents to the sale of the Harmon/Koval Property, including the severance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34390"/>
                <wp:effectExtent l="0" t="0" r="0" b="0"/>
                <wp:wrapNone/>
                <wp:docPr id="49" name="Frame48"/>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Harmon/Koval Property from the Lease as of the date of this Amendment, and (ii) the removal of the Harmon/Koval Property from the Lease shall not constitute a L1/L2 Transfer nor a transfer and sale pursuant to </w:t>
      </w:r>
      <w:r>
        <w:rPr>
          <w:rFonts w:ascii="Times New Roman;serif" w:hAnsi="Times New Roman;serif"/>
          <w:b w:val="false"/>
          <w:color w:val="000000"/>
          <w:sz w:val="24"/>
          <w:u w:val="single"/>
        </w:rPr>
        <w:t>Section 22.2(ix)</w:t>
      </w:r>
      <w:r>
        <w:rPr>
          <w:color w:val="000000"/>
        </w:rPr>
        <w:t xml:space="preserve"> </w:t>
      </w:r>
      <w:r>
        <w:rPr>
          <w:rFonts w:ascii="Times New Roman;serif" w:hAnsi="Times New Roman;serif"/>
          <w:b w:val="false"/>
          <w:color w:val="000000"/>
          <w:sz w:val="24"/>
        </w:rPr>
        <w:t>of the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All of the applicable requirements and conditions set forth in Article XVIII or Article XXII of the Lease with respect to the County Purchase (if, and to the extent, applicable to the County Purchase) are deemed satisfied or waived.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    The amounts of the 2018 EBITDAR Pool and 2018 EBITDAR Pool Before Fifth Amendment shall not be reduced as a result of the Harmon/Koval Property no longer constituting Leased Property under the Lease and, without limitation, </w:t>
      </w:r>
      <w:r>
        <w:rPr>
          <w:rFonts w:ascii="Times New Roman;serif" w:hAnsi="Times New Roman;serif"/>
          <w:b w:val="false"/>
          <w:color w:val="000000"/>
          <w:sz w:val="24"/>
          <w:u w:val="single"/>
        </w:rPr>
        <w:t>Schedule 11</w:t>
      </w:r>
      <w:r>
        <w:rPr>
          <w:color w:val="000000"/>
        </w:rPr>
        <w:t xml:space="preserve"> </w:t>
      </w:r>
      <w:r>
        <w:rPr>
          <w:rFonts w:ascii="Times New Roman;serif" w:hAnsi="Times New Roman;serif"/>
          <w:b w:val="false"/>
          <w:color w:val="000000"/>
          <w:sz w:val="24"/>
        </w:rPr>
        <w:t>to the Lease (setting forth the 2018 Facility EBITDAR of Tenant and Joliet Tenant) shall not be modified as a result of the County Purchase.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treatment of the County Purchase hereunder is not intended to serve as a precedent for the treatment of future dispositions (if any) which may be effectuated under any applicable provision of the Lease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Revisions to Exhibits and Schedules to the Lease</w:t>
      </w:r>
      <w:r>
        <w:rPr>
          <w:rFonts w:ascii="Times New Roman;serif" w:hAnsi="Times New Roman;serif"/>
          <w:b w:val="false"/>
          <w:color w:val="000000"/>
          <w:sz w:val="24"/>
        </w:rPr>
        <w:t>. The Exhibits and Schedules to the Lease are hereby amended as follows:</w:t>
      </w:r>
    </w:p>
    <w:p>
      <w:pPr>
        <w:pStyle w:val="TextBody"/>
        <w:bidi w:val="0"/>
        <w:spacing w:lineRule="auto" w:line="288" w:before="0" w:after="240"/>
        <w:ind w:left="0" w:right="0" w:firstLine="90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Legal Description (Harmon/Koval Property)</w:t>
      </w:r>
      <w:r>
        <w:rPr>
          <w:rFonts w:ascii="Times New Roman;serif" w:hAnsi="Times New Roman;serif"/>
          <w:b w:val="false"/>
          <w:color w:val="000000"/>
          <w:sz w:val="24"/>
        </w:rPr>
        <w:t xml:space="preserve">. The legal descriptions with respect to the Leased Property set forth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 xml:space="preserve">annexed to the Lease are hereby amended such that the legal description with respect to the Leased Property pertaining to the Harmon/Koval Property, as set forth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is hereby excluded from said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90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Cluster Parcels</w:t>
      </w:r>
      <w:r>
        <w:rPr>
          <w:rFonts w:ascii="Times New Roman;serif" w:hAnsi="Times New Roman;serif"/>
          <w:b w:val="false"/>
          <w:color w:val="000000"/>
          <w:sz w:val="24"/>
        </w:rPr>
        <w:t xml:space="preserve">. The list of properties set forth as Cluster Parcel Numbers 4, 5 and 6 on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annexed to the Lease is hereby amended and restated such that Cluster Parcel Numbers 4, 5 and 6 on such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shall read as follows, and the subtotals of “APN Acreage” and “Total Cluster Acreage” set forth in the first table set forth on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annexed to the Lease shall be recalculated and updated to reflect such amendment and restatement:</w:t>
      </w:r>
    </w:p>
    <w:tbl>
      <w:tblPr>
        <w:tblW w:w="5249" w:type="dxa"/>
        <w:jc w:val="left"/>
        <w:tblInd w:w="0" w:type="dxa"/>
        <w:tblLayout w:type="fixed"/>
        <w:tblCellMar>
          <w:top w:w="28" w:type="dxa"/>
          <w:left w:w="28" w:type="dxa"/>
          <w:bottom w:w="28" w:type="dxa"/>
          <w:right w:w="28" w:type="dxa"/>
        </w:tblCellMar>
      </w:tblPr>
      <w:tblGrid>
        <w:gridCol w:w="522"/>
        <w:gridCol w:w="459"/>
        <w:gridCol w:w="460"/>
        <w:gridCol w:w="874"/>
        <w:gridCol w:w="874"/>
        <w:gridCol w:w="876"/>
        <w:gridCol w:w="135"/>
        <w:gridCol w:w="135"/>
        <w:gridCol w:w="136"/>
        <w:gridCol w:w="109"/>
        <w:gridCol w:w="109"/>
        <w:gridCol w:w="109"/>
        <w:gridCol w:w="132"/>
        <w:gridCol w:w="132"/>
        <w:gridCol w:w="187"/>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16221102006</w:t>
            </w:r>
          </w:p>
        </w:tc>
        <w:tc>
          <w:tcPr>
            <w:tcW w:w="2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4.6</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w:t>
            </w:r>
          </w:p>
        </w:tc>
        <w:tc>
          <w:tcPr>
            <w:tcW w:w="451"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14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16221202006</w:t>
            </w:r>
          </w:p>
        </w:tc>
        <w:tc>
          <w:tcPr>
            <w:tcW w:w="2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27"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w:t>
            </w:r>
          </w:p>
        </w:tc>
        <w:tc>
          <w:tcPr>
            <w:tcW w:w="451" w:type="dxa"/>
            <w:gridSpan w:val="3"/>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1441"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16221202003</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1.5</w:t>
            </w:r>
          </w:p>
        </w:tc>
        <w:tc>
          <w:tcPr>
            <w:tcW w:w="327"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451"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4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16221202007</w:t>
            </w:r>
          </w:p>
        </w:tc>
        <w:tc>
          <w:tcPr>
            <w:tcW w:w="26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6.8</w:t>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w:t>
            </w:r>
          </w:p>
        </w:tc>
        <w:tc>
          <w:tcPr>
            <w:tcW w:w="451" w:type="dxa"/>
            <w:gridSpan w:val="3"/>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6.8</w:t>
            </w:r>
          </w:p>
        </w:tc>
      </w:tr>
    </w:tbl>
    <w:p>
      <w:pPr>
        <w:pStyle w:val="TextBody"/>
        <w:bidi w:val="0"/>
        <w:spacing w:lineRule="auto" w:line="288" w:before="180" w:after="240"/>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u w:val="single"/>
        </w:rPr>
        <w:t>No Other Modification or Amendment to the Lease</w:t>
      </w:r>
      <w:r>
        <w:rPr>
          <w:rFonts w:ascii="Times New Roman;serif" w:hAnsi="Times New Roman;serif"/>
          <w:b w:val="false"/>
          <w:color w:val="000000"/>
          <w:sz w:val="24"/>
        </w:rPr>
        <w:t xml:space="preserve">. The Lease shall remain in full force and effect except as expressly amended or modified by this Amendment. From and after the date of this Amendment, all references in the Lease to the “Lease” shall be deemed to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34390"/>
                <wp:effectExtent l="0" t="0" r="0" b="0"/>
                <wp:wrapNone/>
                <wp:docPr id="50" name="Frame49"/>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180" w:after="240"/>
        <w:jc w:val="both"/>
        <w:rPr/>
      </w:pPr>
      <w:r>
        <w:rPr>
          <w:rFonts w:ascii="Times New Roman;serif" w:hAnsi="Times New Roman;serif"/>
          <w:b w:val="false"/>
          <w:color w:val="000000"/>
          <w:sz w:val="24"/>
        </w:rPr>
        <w:t xml:space="preserve">refer to the Lease as amended by this Amendment. For the avoidance of doubt, the Lease shall continue in full force and effect with respect to the balance of the Leased Property (other than the Harmon/Koval Property as of the date hereof in accordance with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u w:val="single"/>
        </w:rPr>
        <w:t>Governing Law; Jurisdiction</w:t>
      </w:r>
      <w:r>
        <w:rPr>
          <w:rFonts w:ascii="Times New Roman;serif" w:hAnsi="Times New Roman;serif"/>
          <w:b w:val="false"/>
          <w:color w:val="000000"/>
          <w:sz w:val="24"/>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color w:val="000000"/>
          <w:sz w:val="24"/>
          <w:u w:val="single"/>
        </w:rPr>
        <w:t>Counterparts</w:t>
      </w:r>
      <w:r>
        <w:rPr>
          <w:rFonts w:ascii="Times New Roman;serif" w:hAnsi="Times New Roman;serif"/>
          <w:b w:val="false"/>
          <w:color w:val="000000"/>
          <w:sz w:val="24"/>
        </w:rPr>
        <w:t>. This Amendment may be executed by one or more of the parties hereto on any number of separate counterparts, and all of such counterparts taken together shall be deemed to constitute one and the same instrument. Facsimile and/or .pdf signatures shall be deemed to be originals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u w:val="single"/>
        </w:rPr>
        <w:t>Effectiveness</w:t>
      </w:r>
      <w:r>
        <w:rPr>
          <w:rFonts w:ascii="Times New Roman;serif" w:hAnsi="Times New Roman;serif"/>
          <w:b w:val="false"/>
          <w:color w:val="000000"/>
          <w:sz w:val="24"/>
        </w:rPr>
        <w:t>. This Amendment shall be effective, as of the date hereof, only upon execution and delivery by each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u w:val="single"/>
        </w:rPr>
        <w:t>Miscellaneous</w:t>
      </w:r>
      <w:r>
        <w:rPr>
          <w:rFonts w:ascii="Times New Roman;serif" w:hAnsi="Times New Roman;serif"/>
          <w:b w:val="false"/>
          <w:color w:val="000000"/>
          <w:sz w:val="24"/>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34390"/>
                <wp:effectExtent l="0" t="0" r="0" b="0"/>
                <wp:wrapNone/>
                <wp:docPr id="51" name="Frame50"/>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duly authorized representatives, all as of the date hereof.</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LANDLORD:</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HORSESHOE COUNCIL BLUFFS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COUNCIL BLUFFS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METROPOLIS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HORSESHOE HAMMOND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HARRAH’S NORTH KANSAS CITY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GRAND BILOXI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HORSESHOE TUNICA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TUNICA ROADHOUSE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CAESARS ATLANTIC CITY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WWW PROPCO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LAKE TAHOE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HARVEY’S LAKE TAHOE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RENO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VEGAS DEVELOPMENT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VEGAS OPERATING PROPERTY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MISCELLANEOUS LAND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PROPCO GULFPORT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PHILADELPHIA PROPCO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ATLANTIC CITY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LAUGHLIN OWNER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NEW ORLEANS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a Delaware limited liability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Samantha S. Gallagher</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lineRule="auto" w:line="288" w:before="0" w:after="0"/>
        <w:jc w:val="both"/>
        <w:rPr/>
      </w:pPr>
      <w:r>
        <w:rPr>
          <w:rFonts w:ascii="Times New Roman;serif" w:hAnsi="Times New Roman;serif"/>
          <w:b/>
          <w:color w:val="000000"/>
          <w:sz w:val="24"/>
        </w:rPr>
        <w:t>HORSESHOE BOSSIER CITY PROP LLC</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Louisiana limited liability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[Signatures Continue on Following Pages]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32460"/>
                <wp:effectExtent l="0" t="0" r="0" b="0"/>
                <wp:wrapNone/>
                <wp:docPr id="52" name="Frame51"/>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TENANT:</w:t>
      </w:r>
    </w:p>
    <w:p>
      <w:pPr>
        <w:pStyle w:val="TextBody"/>
        <w:bidi w:val="0"/>
        <w:spacing w:lineRule="auto" w:line="288" w:before="240" w:after="283"/>
        <w:jc w:val="both"/>
        <w:rPr/>
      </w:pPr>
      <w:r>
        <w:rPr>
          <w:rFonts w:ascii="Times New Roman;serif" w:hAnsi="Times New Roman;serif"/>
          <w:b/>
          <w:color w:val="000000"/>
          <w:sz w:val="24"/>
        </w:rPr>
        <w:t>CEOC, LLC</w:t>
      </w:r>
      <w:r>
        <w:rPr>
          <w:rFonts w:ascii="Times New Roman;serif" w:hAnsi="Times New Roman;serif"/>
          <w:b w:val="false"/>
          <w:color w:val="000000"/>
          <w:sz w:val="24"/>
        </w:rPr>
        <w:t>, a Delaware limited liability company,</w:t>
      </w:r>
    </w:p>
    <w:p>
      <w:pPr>
        <w:pStyle w:val="TextBody"/>
        <w:bidi w:val="0"/>
        <w:spacing w:lineRule="auto" w:line="288" w:before="0" w:after="0"/>
        <w:jc w:val="both"/>
        <w:rPr/>
      </w:pPr>
      <w:r>
        <w:rPr>
          <w:rFonts w:ascii="Times New Roman;serif" w:hAnsi="Times New Roman;serif"/>
          <w:b/>
          <w:color w:val="000000"/>
          <w:sz w:val="24"/>
        </w:rPr>
        <w:t>HBR REALTY COMPANY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HARVEYS IOWA MANAGEMENT COMPANY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SOUTHERN ILLINOIS RIVERBOAT/CASINO CRUISES LLC</w:t>
      </w:r>
      <w:r>
        <w:rPr>
          <w:rFonts w:ascii="Times New Roman;serif" w:hAnsi="Times New Roman;serif"/>
          <w:b w:val="false"/>
          <w:color w:val="000000"/>
          <w:sz w:val="24"/>
        </w:rPr>
        <w:t>, an Illinois limited liability company,</w:t>
      </w:r>
    </w:p>
    <w:p>
      <w:pPr>
        <w:pStyle w:val="TextBody"/>
        <w:bidi w:val="0"/>
        <w:spacing w:lineRule="auto" w:line="288" w:before="0" w:after="0"/>
        <w:jc w:val="both"/>
        <w:rPr/>
      </w:pPr>
      <w:r>
        <w:rPr>
          <w:rFonts w:ascii="Times New Roman;serif" w:hAnsi="Times New Roman;serif"/>
          <w:b/>
          <w:color w:val="000000"/>
          <w:sz w:val="24"/>
        </w:rPr>
        <w:t>HORSESHOE HAMMOND, LLC</w:t>
      </w:r>
      <w:r>
        <w:rPr>
          <w:rFonts w:ascii="Times New Roman;serif" w:hAnsi="Times New Roman;serif"/>
          <w:b w:val="false"/>
          <w:color w:val="000000"/>
          <w:sz w:val="24"/>
        </w:rPr>
        <w:t>, an Indiana limited liability company,</w:t>
      </w:r>
    </w:p>
    <w:p>
      <w:pPr>
        <w:pStyle w:val="TextBody"/>
        <w:bidi w:val="0"/>
        <w:spacing w:lineRule="auto" w:line="288" w:before="0" w:after="0"/>
        <w:jc w:val="both"/>
        <w:rPr/>
      </w:pPr>
      <w:r>
        <w:rPr>
          <w:rFonts w:ascii="Times New Roman;serif" w:hAnsi="Times New Roman;serif"/>
          <w:b/>
          <w:color w:val="000000"/>
          <w:sz w:val="24"/>
        </w:rPr>
        <w:t>HARRAH’S NORTH KANSAS CITY LLC</w:t>
      </w:r>
      <w:r>
        <w:rPr>
          <w:rFonts w:ascii="Times New Roman;serif" w:hAnsi="Times New Roman;serif"/>
          <w:b w:val="false"/>
          <w:color w:val="000000"/>
          <w:sz w:val="24"/>
        </w:rPr>
        <w:t>, a Missouri limited liability company,</w:t>
      </w:r>
    </w:p>
    <w:p>
      <w:pPr>
        <w:pStyle w:val="TextBody"/>
        <w:bidi w:val="0"/>
        <w:spacing w:lineRule="auto" w:line="288" w:before="0" w:after="0"/>
        <w:jc w:val="both"/>
        <w:rPr/>
      </w:pPr>
      <w:r>
        <w:rPr>
          <w:rFonts w:ascii="Times New Roman;serif" w:hAnsi="Times New Roman;serif"/>
          <w:b/>
          <w:color w:val="000000"/>
          <w:sz w:val="24"/>
        </w:rPr>
        <w:t>GRAND CASINOS OF BILOXI, LLC</w:t>
      </w:r>
      <w:r>
        <w:rPr>
          <w:rFonts w:ascii="Times New Roman;serif" w:hAnsi="Times New Roman;serif"/>
          <w:b w:val="false"/>
          <w:color w:val="000000"/>
          <w:sz w:val="24"/>
        </w:rPr>
        <w:t>, a Minnesota limited liability company,</w:t>
      </w:r>
    </w:p>
    <w:p>
      <w:pPr>
        <w:pStyle w:val="TextBody"/>
        <w:bidi w:val="0"/>
        <w:spacing w:lineRule="auto" w:line="288" w:before="0" w:after="0"/>
        <w:jc w:val="both"/>
        <w:rPr/>
      </w:pPr>
      <w:r>
        <w:rPr>
          <w:rFonts w:ascii="Times New Roman;serif" w:hAnsi="Times New Roman;serif"/>
          <w:b/>
          <w:color w:val="000000"/>
          <w:sz w:val="24"/>
        </w:rPr>
        <w:t>ROBINSON PROPERTY GROUP LLC</w:t>
      </w:r>
      <w:r>
        <w:rPr>
          <w:rFonts w:ascii="Times New Roman;serif" w:hAnsi="Times New Roman;serif"/>
          <w:b w:val="false"/>
          <w:color w:val="000000"/>
          <w:sz w:val="24"/>
        </w:rPr>
        <w:t>, a Mississippi limited liability company,</w:t>
      </w:r>
    </w:p>
    <w:p>
      <w:pPr>
        <w:pStyle w:val="TextBody"/>
        <w:bidi w:val="0"/>
        <w:spacing w:lineRule="auto" w:line="288" w:before="0" w:after="0"/>
        <w:jc w:val="both"/>
        <w:rPr/>
      </w:pPr>
      <w:r>
        <w:rPr>
          <w:rFonts w:ascii="Times New Roman;serif" w:hAnsi="Times New Roman;serif"/>
          <w:b/>
          <w:color w:val="000000"/>
          <w:sz w:val="24"/>
        </w:rPr>
        <w:t>TUNICA ROADHOUSE LLC</w:t>
      </w:r>
      <w:r>
        <w:rPr>
          <w:rFonts w:ascii="Times New Roman;serif" w:hAnsi="Times New Roman;serif"/>
          <w:b w:val="false"/>
          <w:color w:val="000000"/>
          <w:sz w:val="24"/>
        </w:rPr>
        <w:t>, a Delaware limited liability company,</w:t>
      </w:r>
    </w:p>
    <w:p>
      <w:pPr>
        <w:pStyle w:val="TextBody"/>
        <w:bidi w:val="0"/>
        <w:spacing w:lineRule="auto" w:line="288" w:before="0" w:after="0"/>
        <w:jc w:val="both"/>
        <w:rPr/>
      </w:pPr>
      <w:r>
        <w:rPr>
          <w:rFonts w:ascii="Times New Roman;serif" w:hAnsi="Times New Roman;serif"/>
          <w:b/>
          <w:color w:val="000000"/>
          <w:sz w:val="24"/>
        </w:rPr>
        <w:t>CAESARS NEW JERSEY LLC</w:t>
      </w:r>
      <w:r>
        <w:rPr>
          <w:rFonts w:ascii="Times New Roman;serif" w:hAnsi="Times New Roman;serif"/>
          <w:b w:val="false"/>
          <w:color w:val="000000"/>
          <w:sz w:val="24"/>
        </w:rPr>
        <w:t>, a New Jersey limited liability company,</w:t>
      </w:r>
    </w:p>
    <w:p>
      <w:pPr>
        <w:pStyle w:val="TextBody"/>
        <w:bidi w:val="0"/>
        <w:spacing w:lineRule="auto" w:line="288" w:before="0" w:after="0"/>
        <w:jc w:val="both"/>
        <w:rPr/>
      </w:pPr>
      <w:r>
        <w:rPr>
          <w:rFonts w:ascii="Times New Roman;serif" w:hAnsi="Times New Roman;serif"/>
          <w:b/>
          <w:color w:val="000000"/>
          <w:sz w:val="24"/>
        </w:rPr>
        <w:t>HARVEYS TAHOE MANAGEMENT COMPANY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CASINO COMPUTER PROGRAMMING, INC.</w:t>
      </w:r>
      <w:r>
        <w:rPr>
          <w:rFonts w:ascii="Times New Roman;serif" w:hAnsi="Times New Roman;serif"/>
          <w:b w:val="false"/>
          <w:color w:val="000000"/>
          <w:sz w:val="24"/>
        </w:rPr>
        <w:t>, an Indiana corporation,</w:t>
      </w:r>
    </w:p>
    <w:p>
      <w:pPr>
        <w:pStyle w:val="TextBody"/>
        <w:bidi w:val="0"/>
        <w:spacing w:lineRule="auto" w:line="288" w:before="0" w:after="0"/>
        <w:jc w:val="both"/>
        <w:rPr/>
      </w:pPr>
      <w:r>
        <w:rPr>
          <w:rFonts w:ascii="Times New Roman;serif" w:hAnsi="Times New Roman;serif"/>
          <w:b/>
          <w:color w:val="000000"/>
          <w:sz w:val="24"/>
        </w:rPr>
        <w:t>HARVEYS BR MANAGEMENT COMPANY, INC.</w:t>
      </w:r>
      <w:r>
        <w:rPr>
          <w:rFonts w:ascii="Times New Roman;serif" w:hAnsi="Times New Roman;serif"/>
          <w:b w:val="false"/>
          <w:color w:val="000000"/>
          <w:sz w:val="24"/>
        </w:rPr>
        <w:t>, a Nevada corporation,</w:t>
      </w:r>
    </w:p>
    <w:p>
      <w:pPr>
        <w:pStyle w:val="TextBody"/>
        <w:bidi w:val="0"/>
        <w:spacing w:lineRule="auto" w:line="288" w:before="0" w:after="0"/>
        <w:jc w:val="both"/>
        <w:rPr/>
      </w:pPr>
      <w:r>
        <w:rPr>
          <w:rFonts w:ascii="Times New Roman;serif" w:hAnsi="Times New Roman;serif"/>
          <w:b/>
          <w:color w:val="000000"/>
          <w:sz w:val="24"/>
        </w:rPr>
        <w:t>HARRAH’S LAUGHLIN,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JAZZ CASINO COMPANY, L.L.C.</w:t>
      </w:r>
      <w:r>
        <w:rPr>
          <w:rFonts w:ascii="Times New Roman;serif" w:hAnsi="Times New Roman;serif"/>
          <w:b w:val="false"/>
          <w:color w:val="000000"/>
          <w:sz w:val="24"/>
        </w:rPr>
        <w:t>, a Louisiana limited liability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Bret D. Yunker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32460"/>
                <wp:effectExtent l="0" t="0" r="0" b="0"/>
                <wp:wrapNone/>
                <wp:docPr id="53" name="Frame52"/>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HORSESHOE ENTERTAINMENT,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Louisiana limited partnership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New Gaming Capital Partnership,</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Nevada limited partnership,</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general partner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Horseshoe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Nevada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BOARDWALK REGENCY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New Jersey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Caesars New Jersey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New Jersey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HOLE IN THE WALL,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Nevada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CEOC,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Delaware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32460"/>
                <wp:effectExtent l="0" t="0" r="0" b="0"/>
                <wp:wrapNone/>
                <wp:docPr id="54" name="Frame53"/>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CHESTER DOWNS AND MARINA,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Pennsylvania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Harrah’s Chester Downs Investment Company,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HARRAH’S ATLANTIC CITY OPERATING COMPANY,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New Jersey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Caesars Resort Collection,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Delaware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32460"/>
                <wp:effectExtent l="0" t="0" r="0" b="0"/>
                <wp:wrapNone/>
                <wp:docPr id="55" name="Frame54"/>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Acknowledged and agreed, solely for the purposes of the penultimate paragraph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PROPCO TRS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32460"/>
                <wp:effectExtent l="0" t="0" r="0" b="0"/>
                <wp:wrapNone/>
                <wp:docPr id="56" name="Frame55"/>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 AND AGREEMENT OF GUARANTOR</w:t>
      </w:r>
    </w:p>
    <w:p>
      <w:pPr>
        <w:pStyle w:val="TextBody"/>
        <w:bidi w:val="0"/>
        <w:spacing w:lineRule="auto" w:line="288" w:before="0" w:after="240"/>
        <w:jc w:val="both"/>
        <w:rPr/>
      </w:pPr>
      <w:r>
        <w:rPr>
          <w:rFonts w:ascii="Times New Roman;serif" w:hAnsi="Times New Roman;serif"/>
          <w:b w:val="false"/>
          <w:color w:val="000000"/>
          <w:sz w:val="24"/>
        </w:rPr>
        <w:t>The undersigned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hereby: (a) acknowledges receipt of the Thirteenth Amendment to Lease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capitalized terms used herein without definition having the meanings set forth in the Amendment), dated as of June 27, 2025, by and among the entities listed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thereto, as Landlord, and the entities listed on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Times New Roman;serif" w:hAnsi="Times New Roman;serif"/>
          <w:b w:val="false"/>
          <w:color w:val="000000"/>
          <w:sz w:val="24"/>
          <w:u w:val="single"/>
        </w:rPr>
        <w:t>Guaranty</w:t>
      </w:r>
      <w:r>
        <w:rPr>
          <w:color w:val="000000"/>
        </w:rPr>
        <w:t>”</w:t>
      </w:r>
      <w:r>
        <w:rPr>
          <w:rFonts w:ascii="Times New Roman;serif" w:hAnsi="Times New Roman;serif"/>
          <w:b w:val="false"/>
          <w:color w:val="000000"/>
          <w:sz w:val="24"/>
        </w:rPr>
        <w:t xml:space="preserve">), by and between Guarantor and Landlord, and agrees that, except as expressly set forth in </w:t>
      </w:r>
      <w:r>
        <w:rPr>
          <w:rFonts w:ascii="Times New Roman;serif" w:hAnsi="Times New Roman;serif"/>
          <w:b w:val="false"/>
          <w:color w:val="000000"/>
          <w:sz w:val="24"/>
          <w:u w:val="single"/>
        </w:rPr>
        <w:t>Section 2.A.ii</w:t>
      </w:r>
      <w:r>
        <w:rPr>
          <w:color w:val="000000"/>
        </w:rPr>
        <w:t xml:space="preserve"> </w:t>
      </w:r>
      <w:r>
        <w:rPr>
          <w:rFonts w:ascii="Times New Roman;serif" w:hAnsi="Times New Roman;serif"/>
          <w:b w:val="false"/>
          <w:color w:val="000000"/>
          <w:sz w:val="24"/>
        </w:rPr>
        <w:t>of the Amendment, nothing in the Amendment in any way impairs or lessens the Guarantor’s obligations under the Guaranty; and (d) acknowledges and agrees that the Guaranty is in full force and effect and is valid, binding and enforceable in accordance with its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Acknowledgment and Agreement of Guarantor to be duly executed as of June 27, 2025.</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25500"/>
                <wp:effectExtent l="0" t="0" r="0" b="0"/>
                <wp:wrapNone/>
                <wp:docPr id="57" name="Frame56"/>
                <a:graphic xmlns:a="http://schemas.openxmlformats.org/drawingml/2006/main">
                  <a:graphicData uri="http://schemas.microsoft.com/office/word/2010/wordprocessingShape">
                    <wps:wsp>
                      <wps:cNvSpPr txBox="1"/>
                      <wps:spPr>
                        <a:xfrm>
                          <a:off x="0" y="0"/>
                          <a:ext cx="6480175" cy="82550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[Acknowledgment and Agreement of Guarantor]</w:t>
                            </w:r>
                            <w:r>
                              <w:br w:type="page"/>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[Acknowledgment and Agreement of Guarantor]</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CAESARS ENTERTAINMENT,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Bret D. Yunker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Bret D. Yunker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32460"/>
                <wp:effectExtent l="0" t="0" r="0" b="0"/>
                <wp:wrapNone/>
                <wp:docPr id="58" name="Frame57"/>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Acknowledgment and Agreement of Guarantor]</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Acknowledgment and Agreement of Guarantor]</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LANDLORD ENTITIES</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Council Bluffs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Council Bluffs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Metropolis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New Horseshoe Hammond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Bossier City Prop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New Harrah’s North Kansas City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Grand Biloxi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Tunica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New Tunica Roadhouse LLC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Caesars Atlantic City LLC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WWW Propco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Harrah’s Lake Tahoe LLC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Lake Tahoe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Reno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Vegas Operating Property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Miscellaneous Land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Propco Gulfport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Philadelphia Propco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Atlantic City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New Laughlin Owner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New Orleans LLC</w:t>
      </w:r>
    </w:p>
    <w:p>
      <w:pPr>
        <w:pStyle w:val="TextBody"/>
        <w:bidi w:val="0"/>
        <w:spacing w:before="0" w:after="240"/>
        <w:ind w:left="0" w:right="0" w:hanging="50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34390"/>
                <wp:effectExtent l="0" t="0" r="0" b="0"/>
                <wp:wrapNone/>
                <wp:docPr id="59" name="Frame58"/>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A</w:t>
                            </w:r>
                            <w:r>
                              <w:br w:type="page"/>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TENANT ENTITIES</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CEOC, LLC, successor in interest by merger to Caesars Entertainment Operating Company, Inc.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HBR Realty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Iowa Management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Southern Illinois Riverboat/Casino Cruises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Hammond,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Entertainment</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North Kansas City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Grand Casinos of Biloxi,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Robinson Property Group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Tunica Roadhouse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Boardwalk Regency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Caesars New Jersey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Tahoe Management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Casino Computer Programming, Inc.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BR Management Company, Inc.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Hole in the Wall,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Chester Downs and Marina,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Atlantic City Operating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Laughlin,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Jazz Casino Company, L.L.C.</w:t>
      </w:r>
    </w:p>
    <w:p>
      <w:pPr>
        <w:pStyle w:val="TextBody"/>
        <w:bidi w:val="0"/>
        <w:spacing w:before="0" w:after="120"/>
        <w:ind w:left="0" w:right="0" w:hanging="50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34390"/>
                <wp:effectExtent l="0" t="0" r="0" b="0"/>
                <wp:wrapNone/>
                <wp:docPr id="60" name="Frame59"/>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B</w:t>
                            </w:r>
                            <w:r>
                              <w:br w:type="page"/>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B</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Annex A</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Cluster Parcel 4 Released Property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13: APN 162-21-102-006)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NORTHWEST QUARTER (NW 1/4) OF SECTION 21, TOWNSHIP 21 SOUTH, RANGE 61 EAST, M.D.M., CLARK COUNTY, NEVADA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COMMENCING AT THE NORTHEAST CORNER OF THE NORTHWEST QUARTER (NW 1/4) OF SAID SECTION 21; THENCE ALONG THE EAST LINE THEREOF SOUTH 00°42'51" EAST, 1408.43 FEET; THENCE DEPARTING SAID EAST LINE SOUTH 89°17'08" WEST, 40.00 FEET TO THE WESTERLY RIGHT-OF-WAY LINE OF KOVAL LANE AS DESCRIBED IN THAT CERTAIN DOCUMENT RECORDED IN BOOK 507, AS INSTRUMENT NO. 408684 ON FILE AT SAID RECORDER'S OFFICE, ALSO BEING THE POINT OF BEGINNING; THENCE DEPARTING SAID WESTERLY RIGHT-OF-WAY LINE NORTH 88°24'19'' WEST, 3.00 FEET; THENCE NORTH 00°42'16" WEST, 79.69 FEET; THENCE NORTH 01°42'54" WEST, 105.41 FEET; THENCE NORTH 01°25'10"' WEST, 265.14 FEET; THENCE SOUTH 88°29'14" EAST, 8.09 FEET TO THE WESTERLY RIGHT-OF</w:t>
        <w:softHyphen/>
        <w:t xml:space="preserve">WAY LINE OF SAID KOVAL LANE; THENCE ALONG SAID RIGHT-OF-WAY LINE THE FOLLOWING TWO (2) COURSES: 1) SOUTH 00°42'51" EAST, 316.52 FEET; 2) SOUTH 00°42'52" EAST, 133.48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CONTAINS 2,361 SQUARE FEET, MORE OR LESS.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SOUTH 00°42'51 EAST, BEING THE BEARING OF THE EAST LINE OF THE NORTHEAST QUARTER (NE 1/4) OF THE NORTHWEST QUARTER (NW 1/4) OF SECTION 21, TOWNSHIP 21 SOUTH, RANGE 61 EAST, M.D.M., CLARK COUNTY, AS SHOWN IN FILE 201, PAGE 54 OF SURVEYS ON FILE 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Cluster Parcel 5 Released Property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15: APN 162-21-202-003)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SOUTHEAST QUARTER (SE 1/4) OF THE NORTHWEST QUARTER (NW 1/4) OF SECTION 21, TOWNSHIP 21 SOUTH, RANGE 61 EAST, M.D.M., CLARK COUNTY, NEVADA, DESCRIBED AS FOLLOWS: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03225"/>
                <wp:effectExtent l="0" t="0" r="0" b="0"/>
                <wp:wrapNone/>
                <wp:docPr id="61" name="Frame6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COMMENCING AT SOUTHEAST CORNER OF THE NORTHWEST QUARTER (NW 1/4) OF SAID SECTION 21; THENCE ALONG THE EAST LINE THEREOF NORTH 00°42’52” WEST, 1142.46 FEET; THENCE DEPARTING SAID EAST LINE SOUTH 89°17'08” WEST, 40.00 FEET TO THE WESTERLY RIGHT-OF-WAY LINE OF KOVAL LANE AS DESCRIBED IN THAT CERTAIN DOCUMENT RECORDED IN BOOK 507, AS INSTRUMENT NO. 408684 ON FILE AT SAID RECORDER'S OFFICE, AND ALSO BEING THE POINT OF BEGINNING; THENCE ALONG SAID RIGHT OF-WAY LINE SOUTH 00°42’52” EAST, 425.00 FEET; THENCE DEPARTING SAID RIGHT-OF-WAY LINE NORTH 88°24'18” WEST, 3.00 FEET; THENCE NORTH 00°42'52” WEST, 425.00 FEET; THENCE SOUTH 88°24'18” EAST, 3.00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CONTAINS 1,275 SQUARE FEET, MORE OR LESS.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NORTH 00°42'52" WEST, BEING THE BEARING OF THE EAST LINE OF THE SOUTHEAST QUARTER (SE 1/4) OF THE NORTHWEST QUARTER (NW 1/4) OF SECTION 21, TOWNSHIP 21 SOUTH, RANGE 61 EAST, M.D.M., CLARK COUNTY, AS SHOWN IN FILE 201, PAGE 54 OF SURVEYS ON FILE-AT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14: APN 162-21-202-006)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SOUTHEAST QUARTER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 1/4) OF THE NORTHWEST QUARTER (NW 1/4) OF SECTION 21, TOWNSHIP 21 SOUTH, RANGE 61 EAST, M.D.M.,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COMMENCING AT THE SOUTHEAST CORNER OF THE NORTHWEST QUARTER (NW 1/4) OF SAID SECTION 21; THENCE ALONG THE EAST LINE THEREOF NORTH 00°42'52" WEST, 717.46 FEET; THENCE DEPARTING SAID EAST LINE SOUTH 89°17'08” WEST, 40.00 FEET TO THE WESTERLY RIGHT-OF-WAY LINE OF KOVAL LANE AS DESCRIBED IN THAT CERTAIN DOCUMENT RECORDED IN BOOK 507, AS INSTRUMENT NO. 408684 ON FILE AT SAID RECORDER'S OFFICE, ALSO BEING THE POINT OF BEGINNING; THENCE ALONG SAID WESTERLY RIGHT-OF-WAY LINE SOUTH 00°42'52” EAST, 8.93 FEET; THENCE DEPARTING SAID WESTERLY RIGHT-OF-WAY LINE SOUTH 89°46'01" WEST, 3.00 FEET; THENCE NORTH 00°42'52" WEST, 9.03 FEET; THENCE SOUTH 88°24'18” EAST, 3.00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CONTAINS 27 SQUARE FEET, MORE OR LESS.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03225"/>
                <wp:effectExtent l="0" t="0" r="0" b="0"/>
                <wp:wrapNone/>
                <wp:docPr id="62" name="Frame61"/>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NORTH 00°42'52” WEST, BEING THE BEARING OF THE EAST LINE OF THE SOUTHEAST QUARTER (SE 1/4) OF THE NORTHWEST QUARTER (NW 1/4) OF SECTION 21, TOWNSHIP 21 SOUTH, RANGE 61 EAST, M.D.M., CLARK COUNTY, AS SHOWN IN FILE 201, PAGE 54 OF SURVEYS ON FILE 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Cluster Parcel 6 Released Property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16: APN 162-21-202-007)</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SOUTHEAST QUARTER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 1/4) OF THE NORTHWEST QUARTER (NW 1/4) OF SECTION 21, TOWNSHIP 21 SOUTH, RANGE 61 EAST, M.D.M., CLARK COUNTY, NEVADA,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COMMENCING AT THE SOUTHEAST CORNER OF SAID NORTHWEST QUARTER (NW 1/4) OF SECTION 21; THENCE ALONG THE EAST LINE THEREOF NORTH 00°42'52" WEST, 708.53 FEET; THENCE DEPARTING SAID EAST LINE SOUTH 89°17'08" WEST, 40.00 FEET TO THE WESTERLY RIGHT-OF-WAY LINE OF KOVAL LANE AS DEDICATED PER BOOK 507, INSTRUMENT NUMBER 0408684, RECORDED JANUARY 21, 1964, ON FILE AT SAID RECORDER'S OFFICE ALSO BEING THE POINT OF BEGINNING; THENCE ALONG SAID WESTERLY RIGHT-OF-WAY LINE, SOUTH 00°42'52" EAST, 648.02 FEET TO THE BEGINNING OF A CURVE, CONCAVE TO THE NORTHWEST, HAVING A RADIUS OF 20.00 FEET; THENCE SOUTHWESTERLY ALONG SAID CURVE AND THE RIGHT-OF-WAY LINE AS DEDICATED PER SAID PARCEL MAP, THROUGH A CENTRAL ANGLE OF 90°28'53", AN ARC LENGTH OF 31.58 FEET TO THE NORTHERLY RIGHT</w:t>
        <w:softHyphen/>
        <w:t xml:space="preserve">OF-WAY LINE OF HARMON AVENUE AS DEDICATED PER BOOK 399, AS INSTRUMENT NUMBER 321732, RECORDED NOVEMBER 14, 1962, ON FILE AT SAID RECORDER'S OFFICE; THENCE ALONG SAID NORTHERLY RIGHT-OF-WAY LINE SOUTH 89°46'01" WEST, 436.21 FEET; THENCE DEPARTING SAID NORTHERLY RIGHT-OF-WAY LINE AND ALONG THE WEST LINE OF SAID PARCEL 2, NORTH 00°32'08" WEST, 3.00 FEET; THENCE DEPARTING SAID WEST LINE, NORTH 87°59'06" EAST, 224.98 FEET; THENCE NORTH 89°46'01" EAST, 158.46 FEET TO THE BEGINNING OF A CURVE, CONCAVE TO THE NORTHWEST, HAVING A RADIUS OF 54.00 FEET; THENCE NORTHEASTERLY ALONG SAID CURVE, THROUGH A CENTRAL ANGLE OF 88°03'50", AN ARC LENGTH OF 83.00 FEET; THENCE NORTH 01°42'11" EAST, 369.18 FEET: THENCE NORTH 00°42'52" WEST, 237.03 FEET TO THE NORTH LINE OF PARCEL 16 AS DESCRIBED IN THAT "GRANT, BARGAIN AND SALE DEED", RECORDED OCTOBER 12, 2017, AS INSTRUMENT NUMBER 20171012-0001102, ON FILE AT SAID RECORDER'S OFFICE;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03225"/>
                <wp:effectExtent l="0" t="0" r="0" b="0"/>
                <wp:wrapNone/>
                <wp:docPr id="63" name="Frame62"/>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THENCE ALONG SAID NORTH LINE, NORTH 89°46'01" EAST, 3.00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CONTAINING 9,984 SQUARE FEET, MORE OR LESS.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NORTH 00°42'52" WEST, BEING THE BEARING OF THE EAST LINE OF THE SOUTHEAST QUARTER (SE 1/4) OF THE NORTHWEST QUARTER (NW 1/4) OF SECTION 21, TOWNSHIP 21 SOUTH, RANGE 61 EAST, M.D.M., CLARK COUNTY, NEVADA, AS SHOWN IN FILE 201, PAGE 54 OF SURVEYS, ON FILE 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03225"/>
                <wp:effectExtent l="0" t="0" r="0" b="0"/>
                <wp:wrapNone/>
                <wp:docPr id="64" name="Frame63"/>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US-DOCS\144314390.5</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Thomas R. Reeg,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29, 2025</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certify that: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29, 2025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Thomas R. Reeg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2025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29, 2025</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Bret Yunker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2025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29, 2025</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895/000119312523169019/d522744dex31.htm" TargetMode="External"/><Relationship Id="rId4" Type="http://schemas.openxmlformats.org/officeDocument/2006/relationships/hyperlink" Target="https://www.sec.gov/Archives/edgar/data/1590895/000159089525000122/exhibit31arbylawsadoptedju.htm" TargetMode="External"/><Relationship Id="rId5" Type="http://schemas.openxmlformats.org/officeDocument/2006/relationships/hyperlink" Target="https://www.sec.gov/Archives/edgar/data/1590895/000159089525000113/ex101amendmenttonomination.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27730</Words>
  <Characters>148050</Characters>
  <CharactersWithSpaces>173416</CharactersWithSpaces>
  <Paragraphs>4419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