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140" w:right="8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6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4140"/>
        <w:spacing w:after="0"/>
        <w:tabs>
          <w:tab w:leader="none" w:pos="66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001-36629</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ELDORADO RESORTS,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87"/>
              </w:rPr>
              <w:t>Nevada</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46-3657681</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100 West Liberty Street, Suite 1150,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Reno, Nevada 89501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(775) 328-0100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32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4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685" w:right="299" w:bottom="1440" w:gutter="0" w:footer="0" w:header="0"/>
        </w:sectPr>
      </w:pPr>
    </w:p>
    <w:p>
      <w:pPr>
        <w:spacing w:after="0" w:line="139"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3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4"/>
          <w:szCs w:val="24"/>
          <w:color w:val="auto"/>
        </w:rPr>
      </w:pPr>
    </w:p>
    <w:p>
      <w:pPr>
        <w:sectPr>
          <w:pgSz w:w="11900" w:h="16838" w:orient="portrait"/>
          <w:cols w:equalWidth="0" w:num="4">
            <w:col w:w="2660" w:space="720"/>
            <w:col w:w="1720" w:space="720"/>
            <w:col w:w="2180" w:space="720"/>
            <w:col w:w="2640"/>
          </w:cols>
          <w:pgMar w:left="240" w:top="685" w:right="299" w:bottom="1440" w:gutter="0" w:footer="0" w:header="0"/>
          <w:type w:val="continuous"/>
        </w:sectPr>
      </w:pPr>
    </w:p>
    <w:p>
      <w:pPr>
        <w:jc w:val="center"/>
        <w:ind w:left="1840"/>
        <w:spacing w:after="0"/>
        <w:rPr>
          <w:sz w:val="20"/>
          <w:szCs w:val="20"/>
          <w:color w:val="auto"/>
        </w:rPr>
      </w:pPr>
      <w:r>
        <w:rPr>
          <w:rFonts w:ascii="Arial" w:cs="Arial" w:eastAsia="Arial" w:hAnsi="Arial"/>
          <w:sz w:val="14"/>
          <w:szCs w:val="14"/>
          <w:color w:val="auto"/>
        </w:rPr>
        <w:t>(Do not check if a</w:t>
      </w:r>
    </w:p>
    <w:p>
      <w:pPr>
        <w:jc w:val="center"/>
        <w:ind w:left="184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60"/>
          </w:cols>
          <w:pgMar w:left="240" w:top="685" w:right="299" w:bottom="1440" w:gutter="0" w:footer="0" w:header="0"/>
          <w:type w:val="continuous"/>
        </w:sectPr>
      </w:pPr>
    </w:p>
    <w:p>
      <w:pPr>
        <w:spacing w:after="0" w:line="185" w:lineRule="exact"/>
        <w:rPr>
          <w:sz w:val="24"/>
          <w:szCs w:val="24"/>
          <w:color w:val="auto"/>
        </w:rPr>
      </w:pPr>
    </w:p>
    <w:p>
      <w:pPr>
        <w:ind w:left="360"/>
        <w:spacing w:after="0" w:line="184" w:lineRule="exact"/>
        <w:tabs>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60"/>
        <w:spacing w:after="0"/>
        <w:rPr>
          <w:sz w:val="20"/>
          <w:szCs w:val="20"/>
          <w:color w:val="auto"/>
        </w:rPr>
      </w:pPr>
      <w:r>
        <w:rPr>
          <w:rFonts w:ascii="Arial" w:cs="Arial" w:eastAsia="Arial" w:hAnsi="Arial"/>
          <w:sz w:val="15"/>
          <w:szCs w:val="15"/>
          <w:color w:val="auto"/>
        </w:rPr>
        <w:t>The number of shares of the Registrant's Common Stock, $0.00001 par value per share, outstanding as of June 30, 2015 was 46,516,614.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537210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5"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FOR THE THREE AND SIX MONTHS 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800" w:type="dxa"/>
            <w:vAlign w:val="bottom"/>
            <w:gridSpan w:val="23"/>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8800" w:type="dxa"/>
            <w:vAlign w:val="bottom"/>
            <w:gridSpan w:val="23"/>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1140" w:type="dxa"/>
            <w:vAlign w:val="bottom"/>
          </w:tcPr>
          <w:p>
            <w:pPr>
              <w:spacing w:after="0"/>
              <w:rPr>
                <w:sz w:val="24"/>
                <w:szCs w:val="24"/>
                <w:color w:val="auto"/>
              </w:rPr>
            </w:pPr>
          </w:p>
        </w:tc>
        <w:tc>
          <w:tcPr>
            <w:tcW w:w="96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84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20" w:type="dxa"/>
            <w:vAlign w:val="bottom"/>
            <w:gridSpan w:val="12"/>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 at June 30, 2015 (unaudited) and December 31, 2014</w:t>
              </w:r>
            </w:hyperlink>
          </w:p>
        </w:tc>
        <w:tc>
          <w:tcPr>
            <w:tcW w:w="2020" w:type="dxa"/>
            <w:vAlign w:val="bottom"/>
            <w:gridSpan w:val="7"/>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40" w:type="dxa"/>
            <w:vAlign w:val="bottom"/>
            <w:gridSpan w:val="19"/>
          </w:tcPr>
          <w:p>
            <w:pPr>
              <w:spacing w:after="0" w:line="196"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Consolidated Statements of Operations for the three and six months ended June 30, 2015 and 2014</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gridSpan w:val="2"/>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(unaudited)</w:t>
              </w:r>
            </w:hyperlink>
          </w:p>
        </w:tc>
        <w:tc>
          <w:tcPr>
            <w:tcW w:w="5940" w:type="dxa"/>
            <w:vAlign w:val="bottom"/>
            <w:tcBorders>
              <w:top w:val="single" w:sz="8" w:color="0000EE"/>
            </w:tcBorders>
            <w:gridSpan w:val="12"/>
          </w:tcPr>
          <w:p>
            <w:pPr>
              <w:spacing w:after="0"/>
              <w:rPr>
                <w:sz w:val="17"/>
                <w:szCs w:val="17"/>
                <w:color w:val="auto"/>
              </w:rPr>
            </w:pPr>
          </w:p>
        </w:tc>
        <w:tc>
          <w:tcPr>
            <w:tcW w:w="900" w:type="dxa"/>
            <w:vAlign w:val="bottom"/>
            <w:gridSpan w:val="4"/>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40" w:type="dxa"/>
            <w:vAlign w:val="bottom"/>
            <w:gridSpan w:val="19"/>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(Loss) for the three and six months ended June 30, 2015</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gridSpan w:val="4"/>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and 2014 (unaudited)</w:t>
              </w:r>
            </w:hyperlink>
          </w:p>
        </w:tc>
        <w:tc>
          <w:tcPr>
            <w:tcW w:w="5940" w:type="dxa"/>
            <w:vAlign w:val="bottom"/>
            <w:tcBorders>
              <w:top w:val="single" w:sz="8" w:color="0000EE"/>
            </w:tcBorders>
            <w:gridSpan w:val="13"/>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160" w:type="dxa"/>
            <w:vAlign w:val="bottom"/>
            <w:gridSpan w:val="16"/>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Statements of Cash Flows for the six months ended June 30, 2015 and 2014 (unaudited)</w:t>
              </w:r>
            </w:hyperlink>
          </w:p>
        </w:tc>
        <w:tc>
          <w:tcPr>
            <w:tcW w:w="68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60" w:type="dxa"/>
            <w:vAlign w:val="bottom"/>
            <w:gridSpan w:val="11"/>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Unaudited Consolidated Financial Statements</w:t>
              </w:r>
            </w:hyperlink>
          </w:p>
        </w:tc>
        <w:tc>
          <w:tcPr>
            <w:tcW w:w="3300" w:type="dxa"/>
            <w:vAlign w:val="bottom"/>
            <w:gridSpan w:val="5"/>
          </w:tcPr>
          <w:p>
            <w:pPr>
              <w:spacing w:after="0"/>
              <w:rPr>
                <w:sz w:val="17"/>
                <w:szCs w:val="17"/>
                <w:color w:val="auto"/>
              </w:rPr>
            </w:pPr>
          </w:p>
        </w:tc>
        <w:tc>
          <w:tcPr>
            <w:tcW w:w="68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960" w:type="dxa"/>
            <w:vAlign w:val="bottom"/>
            <w:gridSpan w:val="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7840" w:type="dxa"/>
            <w:vAlign w:val="bottom"/>
            <w:gridSpan w:val="19"/>
          </w:tcPr>
          <w:p>
            <w:pPr>
              <w:spacing w:after="0"/>
              <w:rPr>
                <w:rFonts w:ascii="Arial" w:cs="Arial" w:eastAsia="Arial" w:hAnsi="Arial"/>
                <w:sz w:val="18"/>
                <w:szCs w:val="18"/>
                <w:color w:val="0000EE"/>
                <w:w w:val="98"/>
              </w:rPr>
            </w:pPr>
            <w:hyperlink w:anchor="page32">
              <w:r>
                <w:rPr>
                  <w:rFonts w:ascii="Arial" w:cs="Arial" w:eastAsia="Arial" w:hAnsi="Arial"/>
                  <w:sz w:val="18"/>
                  <w:szCs w:val="18"/>
                  <w:color w:val="0000EE"/>
                  <w:w w:val="98"/>
                </w:rPr>
                <w:t>MANAGEMENT'S DISCUSSION AND ANALYSIS OF FINANCIAL CONDITION AND RESULTS OF</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OPERATIONS</w:t>
              </w:r>
            </w:hyperlink>
          </w:p>
        </w:tc>
        <w:tc>
          <w:tcPr>
            <w:tcW w:w="28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Item 3.</w:t>
              </w:r>
            </w:hyperlink>
          </w:p>
        </w:tc>
        <w:tc>
          <w:tcPr>
            <w:tcW w:w="440" w:type="dxa"/>
            <w:vAlign w:val="bottom"/>
            <w:gridSpan w:val="2"/>
          </w:tcPr>
          <w:p>
            <w:pPr>
              <w:spacing w:after="0"/>
              <w:rPr>
                <w:sz w:val="24"/>
                <w:szCs w:val="24"/>
                <w:color w:val="auto"/>
              </w:rPr>
            </w:pPr>
          </w:p>
        </w:tc>
        <w:tc>
          <w:tcPr>
            <w:tcW w:w="600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57">
              <w:r>
                <w:rPr>
                  <w:rFonts w:ascii="Arial" w:cs="Arial" w:eastAsia="Arial" w:hAnsi="Arial"/>
                  <w:sz w:val="18"/>
                  <w:szCs w:val="18"/>
                  <w:color w:val="0000EE"/>
                  <w:w w:val="95"/>
                </w:rPr>
                <w:t>QUANTITATIVE AND QUALITATIVE DISCLOSURES ABOUT MARKET RISK</w:t>
              </w:r>
            </w:hyperlink>
          </w:p>
        </w:tc>
        <w:tc>
          <w:tcPr>
            <w:tcW w:w="184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960" w:type="dxa"/>
            <w:vAlign w:val="bottom"/>
            <w:gridSpan w:val="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4.</w:t>
              </w:r>
            </w:hyperlink>
          </w:p>
        </w:tc>
        <w:tc>
          <w:tcPr>
            <w:tcW w:w="7840" w:type="dxa"/>
            <w:vAlign w:val="bottom"/>
            <w:gridSpan w:val="1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CONTROLS AND PROCEDURES</w:t>
              </w:r>
            </w:hyperlink>
          </w:p>
        </w:tc>
        <w:tc>
          <w:tcPr>
            <w:tcW w:w="340" w:type="dxa"/>
            <w:vAlign w:val="bottom"/>
            <w:gridSpan w:val="3"/>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140" w:type="dxa"/>
            <w:vAlign w:val="bottom"/>
          </w:tcPr>
          <w:p>
            <w:pPr>
              <w:spacing w:after="0"/>
              <w:rPr>
                <w:sz w:val="24"/>
                <w:szCs w:val="24"/>
                <w:color w:val="auto"/>
              </w:rPr>
            </w:pPr>
          </w:p>
        </w:tc>
        <w:tc>
          <w:tcPr>
            <w:tcW w:w="8800" w:type="dxa"/>
            <w:vAlign w:val="bottom"/>
            <w:gridSpan w:val="23"/>
          </w:tcPr>
          <w:p>
            <w:pPr>
              <w:spacing w:after="0"/>
              <w:rPr>
                <w:sz w:val="20"/>
                <w:szCs w:val="20"/>
                <w:color w:val="auto"/>
              </w:rPr>
            </w:pPr>
            <w:r>
              <w:rPr>
                <w:rFonts w:ascii="Arial" w:cs="Arial" w:eastAsia="Arial" w:hAnsi="Arial"/>
                <w:sz w:val="18"/>
                <w:szCs w:val="18"/>
                <w:b w:val="1"/>
                <w:bCs w:val="1"/>
                <w:color w:val="auto"/>
              </w:rPr>
              <w:t>PART II. OTHER INFORMATION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4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Item 1.</w:t>
              </w:r>
            </w:hyperlink>
          </w:p>
        </w:tc>
        <w:tc>
          <w:tcPr>
            <w:tcW w:w="440" w:type="dxa"/>
            <w:vAlign w:val="bottom"/>
            <w:gridSpan w:val="2"/>
          </w:tcPr>
          <w:p>
            <w:pPr>
              <w:spacing w:after="0"/>
              <w:rPr>
                <w:sz w:val="24"/>
                <w:szCs w:val="24"/>
                <w:color w:val="auto"/>
              </w:rPr>
            </w:pPr>
          </w:p>
        </w:tc>
        <w:tc>
          <w:tcPr>
            <w:tcW w:w="18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LEGAL PROCEEDINGS</w:t>
              </w:r>
            </w:hyperlink>
          </w:p>
        </w:tc>
        <w:tc>
          <w:tcPr>
            <w:tcW w:w="6000" w:type="dxa"/>
            <w:vAlign w:val="bottom"/>
            <w:gridSpan w:val="13"/>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57</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Item 1A.</w:t>
              </w:r>
            </w:hyperlink>
          </w:p>
        </w:tc>
        <w:tc>
          <w:tcPr>
            <w:tcW w:w="320" w:type="dxa"/>
            <w:vAlign w:val="bottom"/>
          </w:tcPr>
          <w:p>
            <w:pPr>
              <w:spacing w:after="0"/>
              <w:rPr>
                <w:sz w:val="24"/>
                <w:szCs w:val="24"/>
                <w:color w:val="auto"/>
              </w:rPr>
            </w:pPr>
          </w:p>
        </w:tc>
        <w:tc>
          <w:tcPr>
            <w:tcW w:w="7840" w:type="dxa"/>
            <w:vAlign w:val="bottom"/>
            <w:gridSpan w:val="1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RISK FACTORS</w:t>
              </w:r>
            </w:hyperlink>
          </w:p>
        </w:tc>
        <w:tc>
          <w:tcPr>
            <w:tcW w:w="340" w:type="dxa"/>
            <w:vAlign w:val="bottom"/>
            <w:gridSpan w:val="3"/>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40" w:type="dxa"/>
            <w:vAlign w:val="bottom"/>
            <w:gridSpan w:val="1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UNREGISTERED SALES OF EQUITY SECURITIES AND USE OF PROCEEDS</w:t>
              </w:r>
            </w:hyperlink>
          </w:p>
        </w:tc>
        <w:tc>
          <w:tcPr>
            <w:tcW w:w="340" w:type="dxa"/>
            <w:vAlign w:val="bottom"/>
            <w:gridSpan w:val="3"/>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Item 3.</w:t>
              </w:r>
            </w:hyperlink>
          </w:p>
        </w:tc>
        <w:tc>
          <w:tcPr>
            <w:tcW w:w="440" w:type="dxa"/>
            <w:vAlign w:val="bottom"/>
            <w:gridSpan w:val="2"/>
          </w:tcPr>
          <w:p>
            <w:pPr>
              <w:spacing w:after="0"/>
              <w:rPr>
                <w:sz w:val="24"/>
                <w:szCs w:val="24"/>
                <w:color w:val="auto"/>
              </w:rPr>
            </w:pPr>
          </w:p>
        </w:tc>
        <w:tc>
          <w:tcPr>
            <w:tcW w:w="31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DEFAULTS UPON SENIOR SECURITIES</w:t>
              </w:r>
            </w:hyperlink>
          </w:p>
        </w:tc>
        <w:tc>
          <w:tcPr>
            <w:tcW w:w="2800" w:type="dxa"/>
            <w:vAlign w:val="bottom"/>
            <w:tcBorders>
              <w:top w:val="single" w:sz="8" w:color="0000EE"/>
            </w:tcBorders>
            <w:gridSpan w:val="3"/>
          </w:tcPr>
          <w:p>
            <w:pPr>
              <w:spacing w:after="0"/>
              <w:rPr>
                <w:sz w:val="24"/>
                <w:szCs w:val="24"/>
                <w:color w:val="auto"/>
              </w:rPr>
            </w:pPr>
          </w:p>
        </w:tc>
        <w:tc>
          <w:tcPr>
            <w:tcW w:w="192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60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Item 4.</w:t>
              </w:r>
            </w:hyperlink>
          </w:p>
        </w:tc>
        <w:tc>
          <w:tcPr>
            <w:tcW w:w="440" w:type="dxa"/>
            <w:vAlign w:val="bottom"/>
            <w:gridSpan w:val="2"/>
          </w:tcPr>
          <w:p>
            <w:pPr>
              <w:spacing w:after="0"/>
              <w:rPr>
                <w:sz w:val="24"/>
                <w:szCs w:val="24"/>
                <w:color w:val="auto"/>
              </w:rPr>
            </w:pPr>
          </w:p>
        </w:tc>
        <w:tc>
          <w:tcPr>
            <w:tcW w:w="7840" w:type="dxa"/>
            <w:vAlign w:val="bottom"/>
            <w:gridSpan w:val="1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MINE SAFETY DISCLOSURES</w:t>
              </w:r>
            </w:hyperlink>
          </w:p>
        </w:tc>
        <w:tc>
          <w:tcPr>
            <w:tcW w:w="340" w:type="dxa"/>
            <w:vAlign w:val="bottom"/>
            <w:gridSpan w:val="3"/>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Item 5.</w:t>
              </w:r>
            </w:hyperlink>
          </w:p>
        </w:tc>
        <w:tc>
          <w:tcPr>
            <w:tcW w:w="440" w:type="dxa"/>
            <w:vAlign w:val="bottom"/>
            <w:gridSpan w:val="2"/>
          </w:tcPr>
          <w:p>
            <w:pPr>
              <w:spacing w:after="0"/>
              <w:rPr>
                <w:sz w:val="24"/>
                <w:szCs w:val="24"/>
                <w:color w:val="auto"/>
              </w:rPr>
            </w:pPr>
          </w:p>
        </w:tc>
        <w:tc>
          <w:tcPr>
            <w:tcW w:w="2380" w:type="dxa"/>
            <w:vAlign w:val="bottom"/>
            <w:tcBorders>
              <w:top w:val="single" w:sz="8" w:color="0000EE"/>
            </w:tcBorders>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5460" w:type="dxa"/>
            <w:vAlign w:val="bottom"/>
            <w:gridSpan w:val="11"/>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61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Item 6.</w:t>
              </w:r>
            </w:hyperlink>
          </w:p>
        </w:tc>
        <w:tc>
          <w:tcPr>
            <w:tcW w:w="440" w:type="dxa"/>
            <w:vAlign w:val="bottom"/>
            <w:gridSpan w:val="2"/>
          </w:tcPr>
          <w:p>
            <w:pPr>
              <w:spacing w:after="0"/>
              <w:rPr>
                <w:sz w:val="24"/>
                <w:szCs w:val="24"/>
                <w:color w:val="auto"/>
              </w:rPr>
            </w:pPr>
          </w:p>
        </w:tc>
        <w:tc>
          <w:tcPr>
            <w:tcW w:w="1840" w:type="dxa"/>
            <w:vAlign w:val="bottom"/>
            <w:tcBorders>
              <w:top w:val="single" w:sz="8" w:color="0000EE"/>
            </w:tcBorders>
            <w:gridSpan w:val="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6000" w:type="dxa"/>
            <w:vAlign w:val="bottom"/>
            <w:gridSpan w:val="13"/>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61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40" w:type="dxa"/>
            <w:vAlign w:val="bottom"/>
            <w:gridSpan w:val="1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14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63">
              <w:r>
                <w:rPr>
                  <w:rFonts w:ascii="Arial" w:cs="Arial" w:eastAsia="Arial" w:hAnsi="Arial"/>
                  <w:sz w:val="18"/>
                  <w:szCs w:val="18"/>
                  <w:b w:val="1"/>
                  <w:bCs w:val="1"/>
                  <w:color w:val="0000EE"/>
                  <w:w w:val="94"/>
                </w:rPr>
                <w:t>SIGNATURES</w:t>
              </w:r>
            </w:hyperlink>
          </w:p>
        </w:tc>
        <w:tc>
          <w:tcPr>
            <w:tcW w:w="7660" w:type="dxa"/>
            <w:vAlign w:val="bottom"/>
            <w:gridSpan w:val="18"/>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62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gridSpan w:val="11"/>
          </w:tcPr>
          <w:p>
            <w:pPr>
              <w:ind w:left="3580"/>
              <w:spacing w:after="0"/>
              <w:rPr>
                <w:sz w:val="20"/>
                <w:szCs w:val="20"/>
                <w:color w:val="auto"/>
              </w:rPr>
            </w:pPr>
            <w:r>
              <w:rPr>
                <w:rFonts w:ascii="Arial" w:cs="Arial" w:eastAsia="Arial" w:hAnsi="Arial"/>
                <w:sz w:val="18"/>
                <w:szCs w:val="18"/>
                <w:color w:val="auto"/>
              </w:rPr>
              <w:t>1</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ind w:left="4540"/>
        <w:spacing w:after="0"/>
        <w:tabs>
          <w:tab w:leader="none" w:pos="5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(dollars 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08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Due from unconsolidated affiliates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and advances to unconsolidated affiliates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447,891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456,139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Gaming licenses and other intangibles,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488,299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Non-operating real property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assets, net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1,169,003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1,175,330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vMerge w:val="restart"/>
          </w:tcPr>
          <w:p>
            <w:pPr>
              <w:ind w:left="150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Current portion of capital lease obligations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Interest payable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Accrued gaming taxes and assessments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payroll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Accrued other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Due to unconsolidated affiliates</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773,354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778,827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145,946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144,439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1,017,929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1,023,708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w w:val="88"/>
              </w:rPr>
              <w:t>Common stock, 100,000,000 shares authorized, 46,444,694 issued and outstanding, par value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ind w:left="300"/>
              <w:spacing w:after="0"/>
              <w:rPr>
                <w:sz w:val="20"/>
                <w:szCs w:val="20"/>
                <w:color w:val="auto"/>
              </w:rPr>
            </w:pPr>
            <w:r>
              <w:rPr>
                <w:rFonts w:ascii="Arial" w:cs="Arial" w:eastAsia="Arial" w:hAnsi="Arial"/>
                <w:sz w:val="18"/>
                <w:szCs w:val="18"/>
                <w:color w:val="auto"/>
              </w:rPr>
              <w:t>$0.00001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Paid-in capital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(15,794)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440"/>
              <w:spacing w:after="0"/>
              <w:rPr>
                <w:sz w:val="20"/>
                <w:szCs w:val="20"/>
                <w:color w:val="auto"/>
              </w:rPr>
            </w:pPr>
            <w:r>
              <w:rPr>
                <w:rFonts w:ascii="Arial" w:cs="Arial" w:eastAsia="Arial" w:hAnsi="Arial"/>
                <w:sz w:val="18"/>
                <w:szCs w:val="18"/>
                <w:color w:val="auto"/>
              </w:rPr>
              <w:t>Stockholders' equity before non-controlling interest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150,971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151,519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1,169,003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1,175,330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Casino</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156,788</w:t>
            </w:r>
          </w:p>
        </w:tc>
        <w:tc>
          <w:tcPr>
            <w:tcW w:w="100" w:type="dxa"/>
            <w:vAlign w:val="bottom"/>
          </w:tcPr>
          <w:p>
            <w:pPr>
              <w:spacing w:after="0"/>
              <w:rPr>
                <w:sz w:val="18"/>
                <w:szCs w:val="18"/>
                <w:color w:val="auto"/>
              </w:rPr>
            </w:pPr>
          </w:p>
        </w:tc>
        <w:tc>
          <w:tcPr>
            <w:tcW w:w="2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48,154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304,450</w:t>
            </w:r>
          </w:p>
        </w:tc>
        <w:tc>
          <w:tcPr>
            <w:tcW w:w="100" w:type="dxa"/>
            <w:vAlign w:val="bottom"/>
          </w:tcPr>
          <w:p>
            <w:pPr>
              <w:spacing w:after="0"/>
              <w:rPr>
                <w:sz w:val="18"/>
                <w:szCs w:val="18"/>
                <w:color w:val="auto"/>
              </w:rPr>
            </w:pPr>
          </w:p>
        </w:tc>
        <w:tc>
          <w:tcPr>
            <w:tcW w:w="2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92,823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Pari-mutuel commissions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Food and beverage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45,677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29,374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Hotel</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Less—promotional allowances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(15,723)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(10,976)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(31,081)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operating revenues</w:t>
            </w: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Casino</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Pari-mutuel commissions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Food and beverage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Hotel</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Marketing and promotions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Gain on sale or disposal of property</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Acquisition charges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Equity in income of unconsolidated affiliates</w:t>
            </w: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(17,238)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(3,870)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(34,475)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(17,232)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(34,464)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(7,751)</w:t>
            </w:r>
          </w:p>
        </w:tc>
        <w:tc>
          <w:tcPr>
            <w:tcW w:w="0" w:type="dxa"/>
            <w:vAlign w:val="bottom"/>
          </w:tcPr>
          <w:p>
            <w:pPr>
              <w:spacing w:after="0"/>
              <w:rPr>
                <w:sz w:val="1"/>
                <w:szCs w:val="1"/>
                <w:color w:val="auto"/>
              </w:rPr>
            </w:pPr>
          </w:p>
        </w:tc>
      </w:tr>
      <w:tr>
        <w:trPr>
          <w:trHeight w:val="210"/>
        </w:trPr>
        <w:tc>
          <w:tcPr>
            <w:tcW w:w="4020" w:type="dxa"/>
            <w:vAlign w:val="bottom"/>
            <w:gridSpan w:val="2"/>
          </w:tcPr>
          <w:p>
            <w:pPr>
              <w:spacing w:after="0"/>
              <w:rPr>
                <w:sz w:val="20"/>
                <w:szCs w:val="20"/>
                <w:color w:val="auto"/>
              </w:rPr>
            </w:pPr>
            <w:r>
              <w:rPr>
                <w:rFonts w:ascii="Arial" w:cs="Arial" w:eastAsia="Arial" w:hAnsi="Arial"/>
                <w:sz w:val="18"/>
                <w:szCs w:val="18"/>
                <w:color w:val="auto"/>
              </w:rPr>
              <w:t>Net income before income taxes</w:t>
            </w: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5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share of Common Stock:</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Basic</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2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23"/>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(0.03)</w:t>
            </w:r>
          </w:p>
        </w:tc>
        <w:tc>
          <w:tcPr>
            <w:tcW w:w="240" w:type="dxa"/>
            <w:vAlign w:val="bottom"/>
            <w:gridSpan w:val="2"/>
            <w:shd w:val="clear" w:color="auto" w:fill="CCEEFF"/>
          </w:tcPr>
          <w:p>
            <w:pPr>
              <w:jc w:val="right"/>
              <w:ind w:right="23"/>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w w:val="99"/>
              </w:rPr>
              <w:t>Weighted Average Number of Shares Outstanding</w:t>
            </w: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46,516,614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23,311,492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46,505,687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23,311,492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46,657,618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23,311,492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46,505,687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23,311,492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8"/>
              </w:rPr>
              <w:t>Six Months</w:t>
            </w: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Ended June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7"/>
              </w:rPr>
              <w:t>Ended June 30,</w:t>
            </w: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10"/>
        </w:trPr>
        <w:tc>
          <w:tcPr>
            <w:tcW w:w="6000" w:type="dxa"/>
            <w:vAlign w:val="bottom"/>
            <w:gridSpan w:val="2"/>
          </w:tcPr>
          <w:p>
            <w:pPr>
              <w:spacing w:after="0"/>
              <w:rPr>
                <w:sz w:val="20"/>
                <w:szCs w:val="20"/>
                <w:color w:val="auto"/>
              </w:rPr>
            </w:pPr>
            <w:r>
              <w:rPr>
                <w:rFonts w:ascii="Arial" w:cs="Arial" w:eastAsia="Arial" w:hAnsi="Arial"/>
                <w:sz w:val="18"/>
                <w:szCs w:val="18"/>
                <w:color w:val="auto"/>
              </w:rPr>
              <w:t>Comprehensive income (loss), net of tax</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(loss) income</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(1,369)</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(loss) income to net cash provided by operating activities: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issuance costs and (premium) discount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Equity in income of unconsolidated affiliates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(588)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from unconsolidated affiliate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or disposal of property</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Provision for (recoveries of) bad debts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acquisition related contingencies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Provision for deferred income taxes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(1,438)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and other liabilities and due to unconsolidated affiliates</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Capital expenditures, net of payables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(17,863)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(Increase) decrease in other assets, net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(18,111)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09"/>
        </w:trPr>
        <w:tc>
          <w:tcPr>
            <w:tcW w:w="67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long-term debt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Principal payments on capital leases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distributions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Net cash used in financing activities</w:t>
            </w:r>
          </w:p>
        </w:tc>
        <w:tc>
          <w:tcPr>
            <w:tcW w:w="6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(3,235)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CASH AND CASH EQUIVALENTS, BEGINNING OF PERIOD</w:t>
            </w:r>
          </w:p>
        </w:tc>
        <w:tc>
          <w:tcPr>
            <w:tcW w:w="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29,813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END OF PERIOD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88,627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31,611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39,483</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Income taxes paid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Payables for capital expenditures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accompanying unaudited consolidated financial statements include the accounts of Eldorado Resorts, Inc. ("ERI" or the "Company"), a Nevada corporation formed in September 2013, and its consolidated subsidiaries. As explained in greater detail in Note 2, ERI was formed in September 2013 to be the parent company following the merger of wholly owned subsidiaries of the Company into Eldorado HoldCo LLC ("HoldCo"), a Nevada limited liability company formed in 2009 that is the parent company of Eldorado Resorts LLC ("Resorts") and MTR Gaming Group, Inc. ("MTR Gaming"), a Delaware corporation incorporated in 1988 (the "Merger"). Effective upon the consummation of the Merger on September 19, 2014 (the "Merger Date"), HoldCo and MTR Gaming each became a wholly owned subsidiary of ERI and, as a result of such transactions, Resorts became an indirect wholly owned subsidiary of ERI. The Merger was accounted for as a reverse acquisition of MTR Gaming by HoldCo under accounting principles generally accepted in the United States ("US GAAP"). As a result, HoldCo is considered the acquirer of MTR Gaming for accounting purposes. The accompanying unaudited consolidated financial statements for periods prior to the Merger Date are those of HoldCo and its subsidiaries, and for periods subsequent to the Merger Date, include MTR Gaming and its subsidiaries. Intercompany accounts and transactions have been eliminated in consolidation.</w:t>
      </w:r>
    </w:p>
    <w:p>
      <w:pPr>
        <w:spacing w:after="0" w:line="177"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Resorts owns and operates the Eldorado Hotel and Casino, a premier hotel, casino and entertainment facility centrally located in downtown Reno, Nevada (the "Eldorado Reno"), which opened for business in 1973. Resorts also owns Eldorado Resort Casino Shreveport ("Eldorado Shreveport"), a 403-room all suite art deco-style hotel and a tri-level riverboat dockside casino complex situated on the Red River in Shreveport, Louisiana, which commenced operations under its previous owners in December 2000.</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Resorts also owns a 48.1% interest in the Circus and Eldorado Joint Venture, LLC (the "Silver Legacy Joint Venture") which owns the Silver Legacy Resort Casino (the "Silver Legacy"), a major themed hotel and casino situated between and seamlessly connected at the mezzanine level to the Eldorado Reno and Circus Circus Reno, a hotel and casino owned and operated by Galleon, Inc. ("Galleon"), an indirect, wholly owned subsidiary of MGM Resorts International. Galleon owns 50% of the interests of the Silver Legacy Joint Venture. Pursuant to a retained interest agreement, subject to regulatory approval, entered into in connection with the Merger (see Note 3), Resorts has the right to acquire the remaining 1.9% interest in the Silver Legacy from Eldorado Limited Liability Company ("ELLC"), a Nevada limited liability company, on the terms and conditions described therein. In addition, certain of our subsidiaries have entered into an agreement to acquire the remaining 50% of the Silver Legacy Joint Venture and all of the assets and properties of Circus Circus Reno (the "Circus Reno/Silver Legacy Purchase"), and we have guaranteed the obligations of such subsidiaries thereunder. See Note 13—Subsequent Event—Pending Acquisitions and Refinancing.</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Resorts previously owned a 21.3% interest in Tamarack Crossing, LLC ("Tamarack"), a Nevada limited liability company that owned and operated Tamarack Junction, a casino in south Reno which commenced operations on September 4, 2001. On September 1, 2014, and as a condition to closing the Merger, Resorts distributed to HoldCo, and HoldCo subsequently distributed to its members on a pro rata basis, Resorts' interest in Tamarack. No gain or loss was recognized as a result of such distribution because the distribution was in the amount of the book value of Tamarack and totaled $5.5 million.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 (Continued)</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MTR Gaming is a hospitality and gaming company with racetrack, gaming and hotel properties in West Virginia, Pennsylvania and Ohio. MTR Gaming, through its wholly owned subsidiaries, owns and operates Mountaineer Casino Racetrack &amp; Resort in Chester, West Virginia ("Mountaineer"), Presque Isle Downs &amp; Casino in Erie, Pennsylvania ("Presque Isle Downs") and Scioto Downs in Columbus, Ohio. Scioto Downs, through its subsidiary, RacelineBet, Inc., also operates Racelinebet.com, a national account wagering service that offers online and telephone wagering on horse races as a marketing affiliate of TwinSpires.com, an affiliate of Churchill Downs, Inc.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accompanying unaudited consolidated financial statements of the Company and its subsidiaries have been prepared in accordance with US GAAP for interim financial information with the instructions for Form 10-Q and Article 10 of Regulation S-X. Accordingly, they do not include all of the information and notes required by US GAAP for complete financial statements. In the opinion of management, the accompanying unaudited consolidated financial statements contain all adjustments, all of which are normal and recurring, considered necessary for a fair presentation and have been included herein. The results of operations for these interim periods are not necessarily indicative of the operating results for other quarters, for the full year or any future period.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executive decision makers of the Company review operating results, assess performance and make decisions on a "significant market" basis.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Company considers the Eldorado Reno, Eldorado Shreveport and MTR Gaming properties to be operating segments.</w:t>
      </w:r>
    </w:p>
    <w:p>
      <w:pPr>
        <w:spacing w:after="0" w:line="219"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These unaudited consolidated financial statements should be read in conjunction with the consolidated financial statements and notes thereto included in the Company's Annual Report on Form 10-K for the year ended December 31, 2014.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firstLine="351"/>
        <w:spacing w:after="0" w:line="252" w:lineRule="auto"/>
        <w:rPr>
          <w:sz w:val="20"/>
          <w:szCs w:val="20"/>
          <w:color w:val="auto"/>
        </w:rPr>
      </w:pPr>
      <w:r>
        <w:rPr>
          <w:rFonts w:ascii="Arial" w:cs="Arial" w:eastAsia="Arial" w:hAnsi="Arial"/>
          <w:sz w:val="18"/>
          <w:szCs w:val="18"/>
          <w:color w:val="auto"/>
        </w:rPr>
        <w:t>In May 2014, the Financial Accounting Standards Board ("FASB") issued Accounting Standards Update ("ASU") No. 2014-9, "Revenue from Contracts with Customers", which provides guidance for revenue recognition. The new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should recognize revenue to depict the transfer of promised goods or services to customers in an amount that reflects the consideration to which the entity expects to be entitled in exchange for those goods or services. The standard is designed to create greater comparability for financial statement users across industries and jurisdictions and also requires enhanced disclosures. The guidance is effective for fiscal years, and interim periods within those years, beginning after December 15, 2017. Early adoption effective for fiscal years, and interim periods within those years, beginning after December 15, 2016 is permitted. The Company is currently evaluating the impact of the adoption of ASU 2014-09 on its consolidated financial statements</w:t>
      </w:r>
    </w:p>
    <w:p>
      <w:pPr>
        <w:spacing w:after="0" w:line="20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August 2014, the FASB issued ASU No. 2014-15, "Presentation of Financial Statements—Going Concern" (Subtopic 205-40) which amends the current guidance in ASC Topic 205 by adding Subtopic 40. Subtopic 40 requires management to evaluate whether there are conditions or events that in aggregate would raise substantial doubt about an entity's ability to continue as a going concern for one year from the date the financial statements are issued or available to be issued. If substantial doubt</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 (Continued)</w:t>
      </w:r>
    </w:p>
    <w:p>
      <w:pPr>
        <w:spacing w:after="0" w:line="23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existed, management would be required to make certain disclosures related to nature of the substantial doubt and under certain circumstances, how that substantial doubt would be mitigated. This amendment is effective for annual periods ending after December 15, 2016 and for subsequent interim and annual periods thereafter. Early adoption is permitted. The Company is currently evaluating the effects, if any, adoption of this guidance will have on its consolidated financial statements.</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January 2015, the FASB issued ASU No. 2015-1, "Income Statement—Extraordinary and Unusual Items" (Subtopic 225-20) which eliminates the concept of accounting of Extraordinary Items, previously defined as items that are both unusual and infrequent, which were reported as a separate item on the income statement, net of tax, after income from continuing operations. The elimination of this concept is intended to simplify accounting for unusual items and more closely align with international accounting practices. This amendment is effective for annual periods ending after December 15, 2015 and for subsequent interim and annual periods thereafter. Early adoption is permitted. The Company believes the effects, if any, of the adoption of this guidance will not have a material impact on its consolidated financial statements.</w:t>
      </w:r>
    </w:p>
    <w:p>
      <w:pPr>
        <w:spacing w:after="0" w:line="198"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February 2015, the FASB issued ASU No. 2015-2, "Consolidation: Amendments to the Consolidation Analysis" (Topic 810) which provides guidance to companies in evaluating whether certain legal entities should be included in their consolidated financial statements. This guidance is effective for annual periods beginning after December 15, 2015. Early adoption is permitted, including adoption in an interim period. The Company believes the effects, if any, of the adoption of this guidance will not have a material impact on its consolidated financial statements.</w:t>
      </w:r>
    </w:p>
    <w:p>
      <w:pPr>
        <w:spacing w:after="0" w:line="16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April 2015, the FASB issued ASU No. 2015-3, "Interest—Imputation of Interest" (Subtopic 835-30) which requires debt issuance costs be presented in the balance sheet as a direct reduction of the associated debt obligation, with the amortization of such costs being reported as a component of interest expense. The description of the debt obligation will also include the effective interest rate resulting from the amortization of debt issuance costs. This guidance is effective for annual periods beginning after December 15, 2015 and interim periods within such annual periods. Early adoption is permitted, including adoption in an interim period. The new guidance is to be adopted on a retrospective basis with appropriate disclosure reflecting a change in accounting principle. The Company believes the effects of the adoption of this guidance will not have a material impact on its consolidated financial statements and the Company will adopt during the third quarter of 2015.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Accordingly, fair value is a market based measurement that is determined based on assumptions that market participants would use in pricing an asset or liability. As a basis for considering such assumptions, there is a three-tier fair value hierarchy, which prioritizes the inputs used in measuring fair values as follows:</w:t>
      </w:r>
    </w:p>
    <w:p>
      <w:pPr>
        <w:spacing w:after="0" w:line="197" w:lineRule="exact"/>
        <w:rPr>
          <w:sz w:val="20"/>
          <w:szCs w:val="20"/>
          <w:color w:val="auto"/>
        </w:rPr>
      </w:pPr>
    </w:p>
    <w:p>
      <w:pPr>
        <w:ind w:left="1560" w:hanging="178"/>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Quoted market prices in active markets for identical assets or liabilities.</w:t>
      </w:r>
    </w:p>
    <w:p>
      <w:pPr>
        <w:spacing w:after="0" w:line="225" w:lineRule="exact"/>
        <w:rPr>
          <w:rFonts w:ascii="Arial" w:cs="Arial" w:eastAsia="Arial" w:hAnsi="Arial"/>
          <w:sz w:val="18"/>
          <w:szCs w:val="18"/>
          <w:color w:val="auto"/>
        </w:rPr>
      </w:pPr>
    </w:p>
    <w:p>
      <w:pPr>
        <w:ind w:left="1560" w:hanging="178"/>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market-based inputs or unobservable inputs that are corroborated by market data.</w:t>
      </w:r>
    </w:p>
    <w:p>
      <w:pPr>
        <w:spacing w:after="0" w:line="225" w:lineRule="exact"/>
        <w:rPr>
          <w:rFonts w:ascii="Arial" w:cs="Arial" w:eastAsia="Arial" w:hAnsi="Arial"/>
          <w:sz w:val="18"/>
          <w:szCs w:val="18"/>
          <w:color w:val="auto"/>
        </w:rPr>
      </w:pPr>
    </w:p>
    <w:p>
      <w:pPr>
        <w:ind w:left="1560" w:hanging="178"/>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not corroborated by market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 (Continued)</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practical to estimate fair value:</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Cash equivalents include investments in money market funds. Investments in this category can be redeemed immediately at</w:t>
      </w:r>
      <w:r>
        <w:rPr>
          <w:rFonts w:ascii="Arial" w:cs="Arial" w:eastAsia="Arial" w:hAnsi="Arial"/>
          <w:sz w:val="16"/>
          <w:szCs w:val="16"/>
          <w:i w:val="1"/>
          <w:iCs w:val="1"/>
          <w:color w:val="auto"/>
        </w:rPr>
        <w:t xml:space="preserve"> </w:t>
      </w:r>
      <w:r>
        <w:rPr>
          <w:rFonts w:ascii="Arial" w:cs="Arial" w:eastAsia="Arial" w:hAnsi="Arial"/>
          <w:sz w:val="16"/>
          <w:szCs w:val="16"/>
          <w:color w:val="auto"/>
        </w:rPr>
        <w:t>the current net asset value per share. A money market fund is a mutual fund whose investments are primarily in short-term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w:t>
      </w:r>
    </w:p>
    <w:p>
      <w:pPr>
        <w:spacing w:after="0" w:line="16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Restricted cash includes unredeemed winning tickets from the Company's racing operations, funds related to horsemen's fines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simulcasting funds that are restricted to payments for improving horsemen's facilities and racing purses at Scioto Downs, cash deposits that serve as collateral for letters of credit surety bonds and short-term certificates of deposit that serve as collateral for certain bonding requirements. Restricted cash is classified as Level 1 as its carrying value approximates market prices.</w:t>
      </w:r>
    </w:p>
    <w:p>
      <w:pPr>
        <w:spacing w:after="0" w:line="197"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i w:val="1"/>
          <w:iCs w:val="1"/>
          <w:color w:val="auto"/>
        </w:rPr>
        <w:t xml:space="preserve">Advance to Silver Legacy Joint Venture: </w:t>
      </w:r>
      <w:r>
        <w:rPr>
          <w:rFonts w:ascii="Arial" w:cs="Arial" w:eastAsia="Arial" w:hAnsi="Arial"/>
          <w:sz w:val="18"/>
          <w:szCs w:val="18"/>
          <w:color w:val="auto"/>
        </w:rPr>
        <w:t>The $7.5 million note receivable due to ELLC from the Silver Legacy Joint Venture (see Note 3) is classified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Level 2 based upon market-based inputs.</w:t>
      </w:r>
    </w:p>
    <w:p>
      <w:pPr>
        <w:spacing w:after="0" w:line="186"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The 8.625% Senior Secured Notes due 2019 (the "Resorts Senior Secured Notes", see Note 8) and MTR Gaming 11.5% Senior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Second Lien Notes due August 1, 2019 (the "MTR Second Lien Notes", see Note 8) are classified as Level 2 based upon market inputs. The fair value of the Resorts Senior Secured Notes has been calculated based on management's estimates of the borrowing rates available as of June 30, 2015 and December 31, 2014 for debt with similar terms and maturities. The fair value of the MTR Second Lien Notes has been based on quoted market prices as of June 30, 2015 and December 31, 2014.</w:t>
      </w:r>
    </w:p>
    <w:p>
      <w:pPr>
        <w:spacing w:after="0" w:line="197" w:lineRule="exact"/>
        <w:rPr>
          <w:sz w:val="20"/>
          <w:szCs w:val="20"/>
          <w:color w:val="auto"/>
        </w:rPr>
      </w:pPr>
    </w:p>
    <w:p>
      <w:pPr>
        <w:jc w:val="both"/>
        <w:ind w:right="120" w:firstLine="348"/>
        <w:spacing w:after="0" w:line="259" w:lineRule="auto"/>
        <w:rPr>
          <w:sz w:val="20"/>
          <w:szCs w:val="20"/>
          <w:color w:val="auto"/>
        </w:rPr>
      </w:pPr>
      <w:r>
        <w:rPr>
          <w:rFonts w:ascii="Arial" w:cs="Arial" w:eastAsia="Arial" w:hAnsi="Arial"/>
          <w:sz w:val="18"/>
          <w:szCs w:val="18"/>
          <w:i w:val="1"/>
          <w:iCs w:val="1"/>
          <w:color w:val="auto"/>
        </w:rPr>
        <w:t xml:space="preserve">Acquisition-Related Contingent Considerations: </w:t>
      </w:r>
      <w:r>
        <w:rPr>
          <w:rFonts w:ascii="Arial" w:cs="Arial" w:eastAsia="Arial" w:hAnsi="Arial"/>
          <w:sz w:val="18"/>
          <w:szCs w:val="18"/>
          <w:color w:val="auto"/>
        </w:rPr>
        <w:t>Contingent consideration related to the July 2003 acquisition of Scioto Downs represents the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to be paid to former stockholders of Scioto Downs under certain earn-out provisions. The Company considers the acquisition related contingency's fair value measurement, which includes forecast assumptions, to be Level 3 within the fair value hierarchy.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June 30, 2015</w:t>
            </w:r>
          </w:p>
        </w:tc>
        <w:tc>
          <w:tcPr>
            <w:tcW w:w="160" w:type="dxa"/>
            <w:vAlign w:val="bottom"/>
          </w:tcPr>
          <w:p>
            <w:pPr>
              <w:spacing w:after="0"/>
              <w:rPr>
                <w:sz w:val="14"/>
                <w:szCs w:val="14"/>
                <w:color w:val="auto"/>
              </w:rPr>
            </w:pPr>
          </w:p>
        </w:tc>
        <w:tc>
          <w:tcPr>
            <w:tcW w:w="188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 2014</w:t>
            </w:r>
          </w:p>
        </w:tc>
      </w:tr>
      <w:tr>
        <w:trPr>
          <w:trHeight w:val="129"/>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Borders>
              <w:top w:val="single" w:sz="8" w:color="auto"/>
            </w:tcBorders>
          </w:tcPr>
          <w:p>
            <w:pPr>
              <w:jc w:val="right"/>
              <w:ind w:right="48"/>
              <w:spacing w:after="0" w:line="129" w:lineRule="exact"/>
              <w:rPr>
                <w:sz w:val="20"/>
                <w:szCs w:val="20"/>
                <w:color w:val="auto"/>
              </w:rPr>
            </w:pPr>
            <w:r>
              <w:rPr>
                <w:rFonts w:ascii="Arial" w:cs="Arial" w:eastAsia="Arial" w:hAnsi="Arial"/>
                <w:sz w:val="14"/>
                <w:szCs w:val="14"/>
                <w:b w:val="1"/>
                <w:bCs w:val="1"/>
                <w:color w:val="auto"/>
              </w:rPr>
              <w:t>Carrying</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jc w:val="right"/>
              <w:ind w:right="67"/>
              <w:spacing w:after="0" w:line="129" w:lineRule="exact"/>
              <w:rPr>
                <w:sz w:val="20"/>
                <w:szCs w:val="20"/>
                <w:color w:val="auto"/>
              </w:rPr>
            </w:pPr>
            <w:r>
              <w:rPr>
                <w:rFonts w:ascii="Arial" w:cs="Arial" w:eastAsia="Arial" w:hAnsi="Arial"/>
                <w:sz w:val="14"/>
                <w:szCs w:val="14"/>
                <w:b w:val="1"/>
                <w:bCs w:val="1"/>
                <w:color w:val="auto"/>
              </w:rPr>
              <w:t>Carrying</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40" w:type="dxa"/>
            <w:vAlign w:val="bottom"/>
            <w:gridSpan w:val="3"/>
          </w:tcPr>
          <w:p>
            <w:pPr>
              <w:jc w:val="right"/>
              <w:ind w:right="472"/>
              <w:spacing w:after="0" w:line="142"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   88,627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88,627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87,604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87,604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Advance to Silver Legacy Joint Venture</w:t>
            </w:r>
          </w:p>
        </w:tc>
        <w:tc>
          <w:tcPr>
            <w:tcW w:w="9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5,441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4,911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Resorts Senior Secured Notes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168,000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175,140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168,000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174,720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MTR Second Lien Notes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605,354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597,107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610,827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606,919</w:t>
            </w:r>
          </w:p>
        </w:tc>
        <w:tc>
          <w:tcPr>
            <w:tcW w:w="1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Acquisition-Related Contingent Considerations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19"/>
                <w:szCs w:val="19"/>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represents the change in acquisition-related contingent consideration liabilities during the period December 31, 2014 to June 30, 2015:</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Amortization of present value discount(1)</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Fair value adjustment for change in consideration expected to be paid(2)</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Settlements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June 30, 2015</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4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present value are included as a component of interest expense in the consolidated statements of operations.</w:t>
      </w:r>
    </w:p>
    <w:p>
      <w:pPr>
        <w:spacing w:after="0" w:line="25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Fair value adjustments for changes in earn-out estimates are included in general and administrative expense in the consolidated statements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Certain reclassifications, which have no effect on previously reported net income, have been made to the unaudited consolidated statements of operations to conform to the 2015 presentation. Specifically, entertainment revenues ($0.5 million and $1.2 million for the three and six months ended June 30, 2014) and entertainment expenses ($0.6 million and $1.1 million for the three and six months ended June 30, 2014) have been reclassified from what was previously "Food, Beverage and Entertainment Revenues" and "Food, Beverage and Entertainment Expenses" to "Other Revenues" and "Other Expenses", respectively. Marketing and promotions costs have been reclassified to a separate line item from "Casino Expenses" ($4.1 million and $7.6 million for the three and six months ended June 30, 2014) and from "General and Administrative Expenses" ($0.6 million and $1.2 million for the three and six months ended June 30, 2014). Valet related expenses ($0.2 million and $0.4 million for the three and six months ended June 30, 2014) have been reclassified to "Other Expenses" from "General and Administrative Expenses."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 and Purchase Accounting</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Merger has been accounted for as a reverse acquisition of MTR Gaming by HoldCo under which HoldCo is considered the acquirer for accounting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Transferred</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total consideration paid was $103.0 million. The purchase consideration in a reverse acquisition was determined with reference to the value of equity the accounting acquirer, HoldCo, would have had to issue to the owners of the accounting acquiree, MTR Gaming, to give them the same percentage interest in the combined entity. However, in a reverse acquisition between a public company as the legal acquirer and a private company as the accounting acquirer, the fair value of the legal acquirer's publicly traded stock generally is a more reliable determination of the fair value of the purchase consideration than the fair value of the accounting acquirer's untraded equity security, and, as such, was used in calculating the purchase consideration. Accordingly, the following table provides the calculation of the purchase price using the fair value of the outstanding common stock of MTR Gaming based on the closing stock price of $4.43 on the Merger Date, as well as a reconciliation of the total shares outstanding on the Merger Date.</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ERI Outstanding Share Calculation: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Shares issued to HoldCo(1)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23,286,202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Number of MTR Gaming shares outstanding on the Merger Date(2)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28,386,084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MTR Gaming RSUs that vested upon closing of the Merger(3)</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499,179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ERI shares outstanding—before share repurchase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52,171,465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MTR Gaming shares acquired at $6.05 per share based on $35.0 million cash election(4)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(5,785,123)</w:t>
            </w:r>
          </w:p>
        </w:tc>
      </w:tr>
      <w:tr>
        <w:trPr>
          <w:trHeight w:val="210"/>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ERI shares outstanding at Merger Date(5)</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46,386,342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Resorts % ownership</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50.20%</w:t>
            </w: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MTR Gaming % ownership</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49.80%</w:t>
            </w: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Consideration Transferred (dollars in thousands, except stock price)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Number of MTR Gaming shares outstanding at the Merger Date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28,386,084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MTR Gaming RSUs that vested upon closing of the Merger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499,179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MTR Gaming shares acquired at $6.05 per share based on $35.0 million cash election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(5,785,123)</w:t>
            </w:r>
          </w:p>
        </w:tc>
      </w:tr>
      <w:tr>
        <w:trPr>
          <w:trHeight w:val="210"/>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Total net MTR Gaming shares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23,100,140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FMV of MTR Gaming common stock at Merger Date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Fair value of MTR Gaming shares</w:t>
            </w: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Fair value of MTR Gaming stock options(3)</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Total consideration transferred</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103,011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5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140" w:hanging="531"/>
        <w:spacing w:after="0" w:line="306" w:lineRule="auto"/>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 of shares issued to members of HoldCo in the Mergers as merger consideration was determined pursuant to the terms of the merger agreement. The shares have been adjusted based upon the final review, as defined in the merger agreement. As a result, 25,290 escrow shares previously issued were returned to authorized and unissued prior to December 31, 2014.</w:t>
      </w:r>
    </w:p>
    <w:p>
      <w:pPr>
        <w:spacing w:after="0" w:line="187" w:lineRule="exact"/>
        <w:rPr>
          <w:rFonts w:ascii="Arial" w:cs="Arial" w:eastAsia="Arial" w:hAnsi="Arial"/>
          <w:sz w:val="16"/>
          <w:szCs w:val="16"/>
          <w:color w:val="auto"/>
        </w:rPr>
      </w:pPr>
    </w:p>
    <w:p>
      <w:pPr>
        <w:ind w:left="1680" w:hanging="531"/>
        <w:spacing w:after="0"/>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of MTR Gaming common stock issued and outstanding immediately prior to closing.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 and Purchase Accounting (Continued)</w:t>
      </w:r>
    </w:p>
    <w:p>
      <w:pPr>
        <w:spacing w:after="0" w:line="245" w:lineRule="exact"/>
        <w:rPr>
          <w:sz w:val="20"/>
          <w:szCs w:val="20"/>
          <w:color w:val="auto"/>
        </w:rPr>
      </w:pPr>
    </w:p>
    <w:p>
      <w:pPr>
        <w:ind w:left="1680" w:right="120" w:hanging="531"/>
        <w:spacing w:after="0" w:line="256" w:lineRule="auto"/>
        <w:tabs>
          <w:tab w:leader="none" w:pos="1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Pursuant to the MTR Gaming 2010 Long-Term Incentive Plan, immediately prior to closing, all outstanding stock options and MTR Gaming RSUs vested and became immediately exercisable. All vested MTR Gaming RSUs were exchanged for one share of ERI common stock. All outstanding stock options became exercisable for shares of ERI common stock with the same terms as the previous awards.</w:t>
      </w:r>
    </w:p>
    <w:p>
      <w:pPr>
        <w:spacing w:after="0" w:line="224" w:lineRule="exact"/>
        <w:rPr>
          <w:rFonts w:ascii="Arial" w:cs="Arial" w:eastAsia="Arial" w:hAnsi="Arial"/>
          <w:sz w:val="18"/>
          <w:szCs w:val="18"/>
          <w:color w:val="auto"/>
        </w:rPr>
      </w:pPr>
    </w:p>
    <w:p>
      <w:pPr>
        <w:ind w:left="1680" w:hanging="531"/>
        <w:spacing w:after="0"/>
        <w:tabs>
          <w:tab w:leader="none" w:pos="1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cash election includes $30.0 million paid by MTR Gaming and $5.0 million paid by HoldCo on the Merger Date.</w:t>
      </w:r>
    </w:p>
    <w:p>
      <w:pPr>
        <w:spacing w:after="0" w:line="238" w:lineRule="exact"/>
        <w:rPr>
          <w:rFonts w:ascii="Arial" w:cs="Arial" w:eastAsia="Arial" w:hAnsi="Arial"/>
          <w:sz w:val="18"/>
          <w:szCs w:val="18"/>
          <w:color w:val="auto"/>
        </w:rPr>
      </w:pPr>
    </w:p>
    <w:p>
      <w:pPr>
        <w:ind w:left="1680" w:right="200" w:hanging="531"/>
        <w:spacing w:after="0" w:line="268" w:lineRule="auto"/>
        <w:tabs>
          <w:tab w:leader="none" w:pos="1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shares issued and outstanding, after settlement of the escrow shares, as determined pursuant to the terms of the merger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Final Purchase Price Allocation</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following table summarizes the fair values of the assets acquired and liabilities assumed at the Merger Date. The fair values were based on management's analysis, including work performed by third-party valuation specialists. The following table summarizes the final purchase price allocation of the acquired assets and assumed liabilities as recorded at fair value on the Merger Date (dollars in thousands):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and other assets</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75,031</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289,211</w:t>
            </w:r>
          </w:p>
        </w:tc>
        <w:tc>
          <w:tcPr>
            <w:tcW w:w="1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66,826</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Intangible assets(1)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473,000</w:t>
            </w:r>
          </w:p>
        </w:tc>
        <w:tc>
          <w:tcPr>
            <w:tcW w:w="1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20,381</w:t>
            </w:r>
          </w:p>
        </w:tc>
        <w:tc>
          <w:tcPr>
            <w:tcW w:w="140" w:type="dxa"/>
            <w:vAlign w:val="bottom"/>
            <w:shd w:val="clear" w:color="auto" w:fill="CCEEFF"/>
          </w:tcPr>
          <w:p>
            <w:pPr>
              <w:spacing w:after="0"/>
              <w:rPr>
                <w:sz w:val="18"/>
                <w:szCs w:val="18"/>
                <w:color w:val="auto"/>
              </w:rPr>
            </w:pPr>
          </w:p>
        </w:tc>
      </w:tr>
      <w:tr>
        <w:trPr>
          <w:trHeight w:val="210"/>
        </w:trPr>
        <w:tc>
          <w:tcPr>
            <w:tcW w:w="704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924,449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46,446</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Long-term debt(2)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624,877</w:t>
            </w:r>
          </w:p>
        </w:tc>
        <w:tc>
          <w:tcPr>
            <w:tcW w:w="1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143,104</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821,438</w:t>
            </w:r>
          </w:p>
        </w:tc>
        <w:tc>
          <w:tcPr>
            <w:tcW w:w="140" w:type="dxa"/>
            <w:vAlign w:val="bottom"/>
            <w:shd w:val="clear" w:color="auto" w:fill="CCEEFF"/>
          </w:tcPr>
          <w:p>
            <w:pPr>
              <w:spacing w:after="0"/>
              <w:rPr>
                <w:sz w:val="18"/>
                <w:szCs w:val="18"/>
                <w:color w:val="auto"/>
              </w:rPr>
            </w:pPr>
          </w:p>
        </w:tc>
      </w:tr>
      <w:tr>
        <w:trPr>
          <w:trHeight w:val="210"/>
        </w:trPr>
        <w:tc>
          <w:tcPr>
            <w:tcW w:w="704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103,011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21" w:lineRule="exact"/>
        <w:rPr>
          <w:sz w:val="20"/>
          <w:szCs w:val="20"/>
          <w:color w:val="auto"/>
        </w:rPr>
      </w:pPr>
    </w:p>
    <w:p>
      <w:pPr>
        <w:ind w:left="2260" w:hanging="540"/>
        <w:spacing w:after="0"/>
        <w:tabs>
          <w:tab w:leader="none" w:pos="2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Intangible assets consist of gaming licenses, trade names and customer loyalty programs.</w:t>
      </w:r>
    </w:p>
    <w:p>
      <w:pPr>
        <w:spacing w:after="0" w:line="252" w:lineRule="exact"/>
        <w:rPr>
          <w:rFonts w:ascii="Arial" w:cs="Arial" w:eastAsia="Arial" w:hAnsi="Arial"/>
          <w:sz w:val="18"/>
          <w:szCs w:val="18"/>
          <w:color w:val="auto"/>
        </w:rPr>
      </w:pPr>
    </w:p>
    <w:p>
      <w:pPr>
        <w:ind w:left="2260" w:hanging="540"/>
        <w:spacing w:after="0"/>
        <w:tabs>
          <w:tab w:leader="none" w:pos="2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Long-term debt was comprised of MTR Second Lien Notes totaling $570.7 million.</w:t>
      </w:r>
    </w:p>
    <w:p>
      <w:pPr>
        <w:spacing w:after="0" w:line="238" w:lineRule="exact"/>
        <w:rPr>
          <w:rFonts w:ascii="Arial" w:cs="Arial" w:eastAsia="Arial" w:hAnsi="Arial"/>
          <w:sz w:val="18"/>
          <w:szCs w:val="18"/>
          <w:color w:val="auto"/>
        </w:rPr>
      </w:pPr>
    </w:p>
    <w:p>
      <w:pPr>
        <w:ind w:left="2260" w:hanging="540"/>
        <w:spacing w:after="0" w:line="268" w:lineRule="auto"/>
        <w:tabs>
          <w:tab w:leader="none" w:pos="2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Deferred tax liabilities were derived based on fair value adjustments for property and equipment, identified intangibles, deferred financing costs, certain long term liabilities and long-term debt.</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Goodwill, the excess of the purchase price of acquiring MTR Gaming over the fair market value of the net assets acquired, in the amount of $66.8 million, was recorded as of the Merger Date. The Company considers the goodwill to represent benefits expected to be realized as a result of the Merger.</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 and Purchase Accounting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following table includes the pro forma results for the three and six months ended June 30, 2014 which gives effect to the Merger as if it had occurred on January 1, 2013 and reflect proforma adjustments that are expected to have a continuing impact on the results of operations of the Company and are directly attributable to the Merger (amounts in thousands, except per share data):</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4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June 30, 2014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June 30, 2014</w:t>
            </w:r>
          </w:p>
        </w:tc>
        <w:tc>
          <w:tcPr>
            <w:tcW w:w="160" w:type="dxa"/>
            <w:vAlign w:val="bottom"/>
          </w:tcPr>
          <w:p>
            <w:pPr>
              <w:spacing w:after="0"/>
              <w:rPr>
                <w:sz w:val="14"/>
                <w:szCs w:val="14"/>
                <w:color w:val="auto"/>
              </w:rPr>
            </w:pPr>
          </w:p>
        </w:tc>
      </w:tr>
      <w:tr>
        <w:trPr>
          <w:trHeight w:val="142"/>
        </w:trPr>
        <w:tc>
          <w:tcPr>
            <w:tcW w:w="4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gridSpan w:val="6"/>
          </w:tcPr>
          <w:p>
            <w:pPr>
              <w:jc w:val="right"/>
              <w:ind w:right="1240"/>
              <w:spacing w:after="0" w:line="142" w:lineRule="exact"/>
              <w:rPr>
                <w:sz w:val="20"/>
                <w:szCs w:val="20"/>
                <w:color w:val="auto"/>
              </w:rPr>
            </w:pPr>
            <w:r>
              <w:rPr>
                <w:rFonts w:ascii="Arial" w:cs="Arial" w:eastAsia="Arial" w:hAnsi="Arial"/>
                <w:sz w:val="14"/>
                <w:szCs w:val="14"/>
                <w:b w:val="1"/>
                <w:bCs w:val="1"/>
                <w:color w:val="auto"/>
              </w:rPr>
              <w:t>(unaudited)</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186,649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358,507</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5,017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1,890</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80" w:type="dxa"/>
            <w:vAlign w:val="bottom"/>
          </w:tcPr>
          <w:p>
            <w:pPr>
              <w:ind w:left="18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0.11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Weighted shares outstanding:</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46,386,342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46,386,342</w:t>
            </w:r>
          </w:p>
        </w:tc>
      </w:tr>
      <w:tr>
        <w:trPr>
          <w:trHeight w:val="222"/>
        </w:trPr>
        <w:tc>
          <w:tcPr>
            <w:tcW w:w="4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46,473,584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46,473,584</w:t>
            </w:r>
          </w:p>
        </w:tc>
      </w:tr>
    </w:tbl>
    <w:p>
      <w:pPr>
        <w:spacing w:after="0" w:line="20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These pro forma results do not necessarily represent the results of operations that would have been achieved if the Merger had taken place on January 1, 2013, nor are they indicative of the results of operations for future periods. The pro forma amounts include the historical operating results of the Company and MTR Gaming prior to the acquisition, with adjustments directly attributable to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 Unconsolidated Affiliates</w:t>
      </w:r>
    </w:p>
    <w:p>
      <w:pPr>
        <w:spacing w:after="0" w:line="231" w:lineRule="exact"/>
        <w:rPr>
          <w:sz w:val="20"/>
          <w:szCs w:val="20"/>
          <w:color w:val="auto"/>
        </w:rPr>
      </w:pPr>
    </w:p>
    <w:p>
      <w:pPr>
        <w:ind w:right="40" w:firstLine="351"/>
        <w:spacing w:after="0" w:line="314" w:lineRule="auto"/>
        <w:rPr>
          <w:sz w:val="20"/>
          <w:szCs w:val="20"/>
          <w:color w:val="auto"/>
        </w:rPr>
      </w:pPr>
      <w:r>
        <w:rPr>
          <w:rFonts w:ascii="Arial" w:cs="Arial" w:eastAsia="Arial" w:hAnsi="Arial"/>
          <w:sz w:val="15"/>
          <w:szCs w:val="15"/>
          <w:color w:val="auto"/>
        </w:rPr>
        <w:t>Effective March 1, 1994, ELLC and Galleon, (each a "Partner" and, together, the "Partners"), entered into the Silver Legacy Joint Venture pursuant to a joint venture agreement (the "Original Joint Venture Agreement" and, as amended to date, the "Joint Venture Agreement") to develop the Silver Legacy. The Silver Legacy consists of a casino and hotel located in Reno, Nevada, which began operations on July 28, 1995. Each Partner owns a 50% interest in the Silver Legacy Joint Venture. The Company owns an indirect 48.1% interest in the Silver Legacy Joint Venture. The Company has entered into an agreement to purchase the 50% interest in the Silver Legacy Joint Venture owned by Galleon and, in connection with such acquisition, the Company expects to acquire the 1.9% indirect interest in the Silver Legacy Joint Venture held by ELLC in September 2015. See Note 13—Subsequent Event—Pending Acquisitions and Refinancing.</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Plan of Reorganization, each of, Resorts through ELLC, and Galleon retained its 50% interest in the Silver Legacy, but was required to advance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$7.5 million to the Silver Legacy pursuant to a subordinated loan and provide credit support by depositing $5.0 million of cash into a bank account as collateral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favor of the lender under the Silver Legacy credit agreement. The $7.5 million note receivable from Resorts to the Silver Legacy was issued on November 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with a stated interest rate of 5% per annum and a maturity date of May 16, 2018 and is included on the accompanying consolidated balance sheets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 in and Advances to Unconsolidated Affiliates at June 30, 2015 and December 31, 2014. In connection with the Circus Reno/Silver Legacy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expect to acquire the note evidencing the $7.5 million loan made by Galleon and that all amounts under the subordinated loans advanced by ELLC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Galleon, Inc. will be contributed to the equity capital of the Silver Legacy Joint Venture.</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 Unconsolidated Affiliates (Continued)</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December 2014, Silver Legacy deposited $5.0 million of cash into a cash collateral account securing its obligations under its credit agreement, which reduced the credit support obligation of ELLC and Galleon to $2.5 million each and resulted in the return of $2.5 million of the $5.0 million of collateral that Resorts previously provided as credit support for Silver Legacy's obligations under its credit agreement. The collateral deposit is included as noncurrent restricted cash in the amount of $2.5 million in the accompanying consolidated balance sheets at June 30, 2015 and December 31, 2014.</w:t>
      </w:r>
    </w:p>
    <w:p>
      <w:pPr>
        <w:spacing w:after="0" w:line="16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 December 16, 2013, the Silver Legacy Joint Venture entered into a new senior secured term loan facility totaling $90.5 million (the "Silver Legacy Credit Facility") to refinance its indebtedness under its then existing senior secured term loan and Silver Legacy Second Lien Notes. The Silver Legacy Credit Facility matures on November 16, 2017. In connection with the Circus Reno/Silver Legacy Purchase, we expect that all amounts outstanding under the Silver Legacy Credit Facility will be paid in full and the cash collateral securing such obligations will be released.</w:t>
      </w:r>
    </w:p>
    <w:p>
      <w:pPr>
        <w:spacing w:after="0" w:line="167"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Equity in income related to the Silver Legacy Joint Venture for the three and six months ended June 30, 2015 amounted to $1.1 million and $0.6 million, respectively. Equity in income for the three and six months ended June 30, 2014 amounted to $1.9 million and $1.3 million, respectively.</w:t>
      </w:r>
    </w:p>
    <w:p>
      <w:pPr>
        <w:spacing w:after="0" w:line="13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Summarized information for the Company's investment in and advances to the Silver Legacy Joint Venture as of and for the six months ended June 30, 2015 and 2014 is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0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0" w:type="dxa"/>
            <w:vAlign w:val="bottom"/>
            <w:gridSpan w:val="8"/>
          </w:tcPr>
          <w:p>
            <w:pPr>
              <w:spacing w:after="0" w:line="142"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14,009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13,081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Equity in income of unconsolidated affiliate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1,289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income—minimum pension liability adjustment of</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unconsolidated affiliate</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80" w:type="dxa"/>
            <w:vAlign w:val="bottom"/>
            <w:gridSpan w:val="2"/>
          </w:tcPr>
          <w:p>
            <w:pPr>
              <w:ind w:left="1720"/>
              <w:spacing w:after="0"/>
              <w:rPr>
                <w:sz w:val="20"/>
                <w:szCs w:val="20"/>
                <w:color w:val="auto"/>
              </w:rPr>
            </w:pPr>
            <w:r>
              <w:rPr>
                <w:rFonts w:ascii="Arial" w:cs="Arial" w:eastAsia="Arial" w:hAnsi="Arial"/>
                <w:sz w:val="18"/>
                <w:szCs w:val="18"/>
                <w:color w:val="auto"/>
              </w:rPr>
              <w:t>Ending balance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14,597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3"/>
            <w:vMerge w:val="restart"/>
          </w:tcPr>
          <w:p>
            <w:pPr>
              <w:jc w:val="right"/>
              <w:spacing w:after="0"/>
              <w:rPr>
                <w:sz w:val="20"/>
                <w:szCs w:val="20"/>
                <w:color w:val="auto"/>
              </w:rPr>
            </w:pPr>
            <w:r>
              <w:rPr>
                <w:rFonts w:ascii="Arial" w:cs="Arial" w:eastAsia="Arial" w:hAnsi="Arial"/>
                <w:sz w:val="18"/>
                <w:szCs w:val="18"/>
                <w:color w:val="auto"/>
                <w:w w:val="92"/>
              </w:rPr>
              <w:t>Summarized balance sheet information for the Silver Legacy Joint Venture is as follows (in thousands):</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6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24"/>
                <w:szCs w:val="24"/>
                <w:color w:val="auto"/>
              </w:rPr>
            </w:pPr>
          </w:p>
        </w:tc>
        <w:tc>
          <w:tcPr>
            <w:tcW w:w="2840" w:type="dxa"/>
            <w:vAlign w:val="bottom"/>
            <w:gridSpan w:val="7"/>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35,977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186,406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190,592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gridSpan w:val="2"/>
          </w:tcPr>
          <w:p>
            <w:pPr>
              <w:ind w:left="172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227,765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227,567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19,126</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18,707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Long-term liabilities</w:t>
            </w: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87,881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89,322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Partners' equity</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120,758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119,538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gridSpan w:val="2"/>
          </w:tcPr>
          <w:p>
            <w:pPr>
              <w:ind w:left="1720"/>
              <w:spacing w:after="0"/>
              <w:rPr>
                <w:sz w:val="20"/>
                <w:szCs w:val="20"/>
                <w:color w:val="auto"/>
              </w:rPr>
            </w:pPr>
            <w:r>
              <w:rPr>
                <w:rFonts w:ascii="Arial" w:cs="Arial" w:eastAsia="Arial" w:hAnsi="Arial"/>
                <w:sz w:val="18"/>
                <w:szCs w:val="18"/>
                <w:color w:val="auto"/>
              </w:rPr>
              <w:t>Total liabilities and partners'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227,765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227,567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jc w:val="right"/>
              <w:ind w:right="1692"/>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5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8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 Unconsolidated Affiliates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Summarized results of operations for the Silver Legacy Joint Venture are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Six Months Ended</w:t>
            </w:r>
          </w:p>
        </w:tc>
      </w:tr>
      <w:tr>
        <w:trPr>
          <w:trHeight w:val="161"/>
        </w:trPr>
        <w:tc>
          <w:tcPr>
            <w:tcW w:w="4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142"/>
        </w:trPr>
        <w:tc>
          <w:tcPr>
            <w:tcW w:w="4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6"/>
          </w:tcPr>
          <w:p>
            <w:pPr>
              <w:jc w:val="right"/>
              <w:ind w:right="680"/>
              <w:spacing w:after="0" w:line="142"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31,984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63,093</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(26,421)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(28,876)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(52,916)</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(55,022)</w:t>
            </w:r>
          </w:p>
        </w:tc>
      </w:tr>
      <w:tr>
        <w:trPr>
          <w:trHeight w:val="20"/>
        </w:trPr>
        <w:tc>
          <w:tcPr>
            <w:tcW w:w="4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8,071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Other expense</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(2,761)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(2,758)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(5,499)</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(5,495)</w:t>
            </w:r>
          </w:p>
        </w:tc>
      </w:tr>
      <w:tr>
        <w:trPr>
          <w:trHeight w:val="20"/>
        </w:trPr>
        <w:tc>
          <w:tcPr>
            <w:tcW w:w="4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2,802</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2,576</w:t>
            </w:r>
          </w:p>
        </w:tc>
      </w:tr>
      <w:tr>
        <w:trPr>
          <w:trHeight w:val="20"/>
        </w:trPr>
        <w:tc>
          <w:tcPr>
            <w:tcW w:w="4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Equity Awards and Other Incentive Compensation</w:t>
      </w:r>
    </w:p>
    <w:p>
      <w:pPr>
        <w:spacing w:after="0" w:line="231"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 xml:space="preserve">The Company accounts for stock-based compensation in accordance with ASC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Total stock-based compensation expense recognized during the three and six months ended June 30, 2015 was $0.2 million and $0.8 million, respectively. These amounts are included in general and administrative expenses in the Company's consolidated statements of operations. The Company did not incur stock-based compensation expense during 2014.</w:t>
      </w:r>
    </w:p>
    <w:p>
      <w:pPr>
        <w:spacing w:after="0" w:line="142"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Board of Directors ("BOD") adopted the Eldorado Resorts, Inc. 2015 Equity Incentive Plan ("2015 Plan") on January 23, 2015 and our shareholders subsequently approved the adoption of the 2015 Plan on June 23, 2015. The Plan permits the granting of stock options, including incentive stock options ("ERI Stock Options"), stock appreciation rights ("SARs"), restricted stock or restricted stock units ("RSUs"), performance awards, and other stock-based awards and dividend equivalents. ERI Stock Options primarily vest ratably over three years and RSUs granted to employees and executive officers primarily vest and become non-forfeitable upon the third anniversary of the date of grant. RSUs granted to non-employee directors vest immediately and are delivered upon the date that is the earlier of termination of service on the BOD or the consummation of a change of control of the Company. The performance awards relate to the achievement of defined levels of performance and are generally measured over a one or two-year performance period depending upon the award agreement. If the performance award levels are achieved, the awards earned will vest and become payable at the end of the vesting period, defined as either a one or two calendar year period following the performance period. Other stock-based awards will consist of any right which is not an ERI Stock Option, SAR, RSU, or performance award, and an award based on shares of the Company's common stock.</w:t>
      </w:r>
    </w:p>
    <w:p>
      <w:pPr>
        <w:spacing w:after="0" w:line="17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 January 23, 2015, the Compensation Committee of the BOD of the Company approved the grant of 685,606 RSUs with a fair value of $4.03 per unit, the NASDAQ average price per share on that date, to executive officers and certain key employees under the 2015 Plan, and the grant of 89,900 RSUs with a fair value of $4.03 per unit, the NASDAQ average price per share on that date, to non-employee members of the BOD under the 2015 Plan. Such awards became effective upon our shareholders' approval of the 2015 Plan on June 23, 2015.</w:t>
      </w:r>
    </w:p>
    <w:p>
      <w:pPr>
        <w:spacing w:after="0" w:line="19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On September 19, 2014, as a result of the Merger, all outstanding MTR Gaming stock options ("MTR Stock Options") vested (to the extent not already vested) and converted into an option or right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Equity Awards and Other Incentive Compensation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purchase the same number of shares of ERI common stock (at the same exercise price per share as in effect prior to such conversion). All other terms, except vesting requirements, applicable to such stock options remain the same.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MTR Stock Option activity for the six months ended June 30, 2015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Range of Exercise</w:t>
            </w: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Weighted-Average</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Options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Prices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17"/>
              <w:spacing w:after="0"/>
              <w:rPr>
                <w:sz w:val="20"/>
                <w:szCs w:val="20"/>
                <w:color w:val="auto"/>
              </w:rPr>
            </w:pPr>
            <w:r>
              <w:rPr>
                <w:rFonts w:ascii="Arial" w:cs="Arial" w:eastAsia="Arial" w:hAnsi="Arial"/>
                <w:sz w:val="14"/>
                <w:szCs w:val="14"/>
                <w:b w:val="1"/>
                <w:bCs w:val="1"/>
                <w:color w:val="auto"/>
                <w:w w:val="89"/>
              </w:rPr>
              <w:t>Exercise Price</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Contractual Life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398,200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$2.44 - $16.27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Expired</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(86,000)</w:t>
            </w:r>
          </w:p>
        </w:tc>
        <w:tc>
          <w:tcPr>
            <w:tcW w:w="1200" w:type="dxa"/>
            <w:vAlign w:val="bottom"/>
          </w:tcPr>
          <w:p>
            <w:pPr>
              <w:jc w:val="center"/>
              <w:spacing w:after="0"/>
              <w:rPr>
                <w:sz w:val="20"/>
                <w:szCs w:val="20"/>
                <w:color w:val="auto"/>
              </w:rPr>
            </w:pPr>
            <w:r>
              <w:rPr>
                <w:rFonts w:ascii="Arial" w:cs="Arial" w:eastAsia="Arial" w:hAnsi="Arial"/>
                <w:sz w:val="18"/>
                <w:szCs w:val="18"/>
                <w:color w:val="auto"/>
                <w:w w:val="84"/>
              </w:rPr>
              <w:t>11.30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11.30</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Outstanding and Exercisable as of</w:t>
            </w: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30, 2015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312,200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$2.44 - $16.27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RSU activity for the six months ended June 30, 2015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9"/>
              </w:rPr>
              <w:t>Grant Date</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RSUs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Contractual Life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Fair Value</w:t>
            </w: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24"/>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Unvested outstanding as of December 31, 2014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778,440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4.05</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Forfeited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Unvested outstanding as of June 30, 2015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688,540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of June 30, 2015, the Company had approximately $2.3 million of unrecognized compensation expense related to unvested RSUs that is expected to be recognized over a weighted-average period of approximately 2.58 years.</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Other and Intangible Assets,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and intangible assets, net, consisted of the following amounts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5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66,826</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Gaming licenses (Indefinite-lived)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482,074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482,074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Customer loyalty program</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493,574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Accumulated amortization trade names</w:t>
            </w:r>
          </w:p>
        </w:tc>
        <w:tc>
          <w:tcPr>
            <w:tcW w:w="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(1,504)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 customer loyalty programs</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0"/>
        </w:trPr>
        <w:tc>
          <w:tcPr>
            <w:tcW w:w="5860" w:type="dxa"/>
            <w:vAlign w:val="bottom"/>
          </w:tcPr>
          <w:p>
            <w:pPr>
              <w:ind w:left="180"/>
              <w:spacing w:after="0"/>
              <w:rPr>
                <w:sz w:val="20"/>
                <w:szCs w:val="20"/>
                <w:color w:val="auto"/>
              </w:rPr>
            </w:pPr>
            <w:r>
              <w:rPr>
                <w:rFonts w:ascii="Arial" w:cs="Arial" w:eastAsia="Arial" w:hAnsi="Arial"/>
                <w:sz w:val="18"/>
                <w:szCs w:val="18"/>
                <w:color w:val="auto"/>
              </w:rPr>
              <w:t>Total goodwill and other intangible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491,913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Land held for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Bond offering costs, Resorts Senior Secured Notes</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6,851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 bond costs Resorts Senior Secured Notes</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10"/>
        </w:trPr>
        <w:tc>
          <w:tcPr>
            <w:tcW w:w="5860" w:type="dxa"/>
            <w:vAlign w:val="bottom"/>
          </w:tcPr>
          <w:p>
            <w:pPr>
              <w:ind w:left="180"/>
              <w:spacing w:after="0"/>
              <w:rPr>
                <w:sz w:val="20"/>
                <w:szCs w:val="20"/>
                <w:color w:val="auto"/>
              </w:rPr>
            </w:pPr>
            <w:r>
              <w:rPr>
                <w:rFonts w:ascii="Arial" w:cs="Arial" w:eastAsia="Arial" w:hAnsi="Arial"/>
                <w:sz w:val="18"/>
                <w:szCs w:val="18"/>
                <w:color w:val="auto"/>
              </w:rPr>
              <w:t>Total Other Assets, net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9,852</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Goodwill, the excess of the purchase price of acquiring MTR Gaming over the fair market value of the net assets acquired, in the amount of $66.8 million was recorded as of the Merger Date. For financial reporting purposes, goodwill is not amortized, but is reviewed no less than annually or when events or circumstances indicate the carrying value might exceed the market value to determine if there has been an impairment in the recorded value.</w:t>
      </w:r>
    </w:p>
    <w:p>
      <w:pPr>
        <w:spacing w:after="0" w:line="16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gaming licenses represents intangible assets acquired from the purchase of a gaming entity located in a gaming jurisdiction where competition is limited, such as when only a limited number of gaming operators are allowed to operate. Included in gaming licenses are the gaming and racing licenses of Mountaineer, Presque Isle Downs and Scioto Downs totaling $461.5 million, which reflects the fair value of the licenses calculated as of the Merger Date, as well as the Eldorado Shreveport gaming license in the amount of $20.6 million as of June 30, 2015 and December 31, 2014. Gaming license rights are not subject to amortization as the Company has determined that they have an indefinite useful life.</w:t>
      </w:r>
    </w:p>
    <w:p>
      <w:pPr>
        <w:spacing w:after="0" w:line="170"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Trade names are amortized on a straight-line basis over a 3.5 year useful life and the customer loyalty program is amortized on a straight-line basis over a one year useful life. Amortization expense with respect to trade names and the customer loyalty program for the three and six months ended June 30, 2015 was $1.7 million and $3.6 million, respectively, which is included in depreciation and amortization in the accompanying unaudited consolidated statement of operations. There was no such amortization for the three and six months ended June 30, 2014. Based upon the amortizable intangible assets as of June 30, 2015, the estimated aggregate future amortization expense is $2.0 million for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Other and Intangible Assets, net (Continued)</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remainder of 2015, $1.9 million for the year ended December 31, 2016, $1.9 million for the year ended December 31, 2017 and $0.4 million for the year ended December 31, 2018.</w:t>
      </w:r>
    </w:p>
    <w:p>
      <w:pPr>
        <w:spacing w:after="0" w:line="186"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Amortization of Resorts' bond costs is computed using the straight-line method, which approximates the effective interest method, over the term of the bonds, and is included in interest expense on the accompanying unaudited consolidated statements of operations. Amortization expense with respect to deferred financing costs amounted to $0.4 million for each of the six months ended June 30, 2015 and 2014. Amortization expense with respect to deferred financing costs amounted to $0.2 million for each of the three months ended June 30, 2015 and 2014. The Company refinanced its Resorts Senior Secured Notes on July 23, 2015 (see Note 13).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Prior to the Merger Date, the Company was taxed as a partnership under the Internal Revenue Code pursuant to which income taxes were primarily the responsibility of the partners. On September 19, 2014, in connection with the Merger, the Company became a C corporation subject to federal and state corporate-level income taxes at prevailing corporate tax rates. The Company files a US federal tax return, and various state and local income tax returns. With few exceptions, the Company is no longer subject to US federal or state and local tax examinations by tax authorities for years before 2011.</w:t>
      </w:r>
    </w:p>
    <w:p>
      <w:pPr>
        <w:spacing w:after="0" w:line="16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Company estimates an annual effective income tax rate based on projected results for the year and applies this rate to income before taxes to calculate income tax expense. Any refinements made due to subsequent information that affects the estimated annual effective income tax rate are reflected as adjustments in the current period. The Company is estimating its operating results will be at or about break-even, but incurs significant tax expense related to tax amortization of indefinite lived gaming licenses (i.e. Naked Credits) as noted below. This unusual circumstance may result in significant variations in the customary relationship between income tax expense and pretax accounting income in interim periods. The Company is applying the guidance of ASC 740-270-30-18 and applying the actual effective tax rate for the year to date operations as the best estimate of the annual effective tax rate.</w:t>
      </w:r>
    </w:p>
    <w:p>
      <w:pPr>
        <w:spacing w:after="0" w:line="174"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income tax provision results in an effective tax rate that has an unusual relation to pretax income (loss). This is due to the federal and state valuation allowances on deferred tax assets as discussed below.</w:t>
      </w:r>
    </w:p>
    <w:p>
      <w:pPr>
        <w:spacing w:after="0" w:line="186"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difference between the effective rate and the statutory rate is attributed primarily to the federal and state valuation allowances on deferred tax assets. As a result of net operating losses and the net deferred tax asset position (after exclusion of certain deferred tax liabilities that generally cannot be offset against deferred tax assets, known as "Naked Credits"), the Company expects to continue to provide for a full valuation allowance against substantially all of the net federal and state deferred tax assets.</w:t>
      </w:r>
    </w:p>
    <w:p>
      <w:pPr>
        <w:spacing w:after="0" w:line="19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For income tax purposes the Company amortizes or depreciates certain assets that have been assigned an indefinite life for book purposes. The incremental amortization or depreciation deductions for income tax purposes result in an increase in certain deferred tax liabilities that cannot be used as a source of future taxable income for purposes of measuring the Company's need for a valuation allowance against the net deferred tax assets. Therefore, we expect to record non cash deferred tax expense as we amortize these assets for tax purposes.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 (Continued)</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During the three and six months ended June 30, 2015, the Company's tax expense was $1.0 million and $2.0 million, respectively. There was no income tax expense during the three and six months ended June 30, 2014 because the Company was a partnership for income tax purposes. As of June 30, 2015, there are no unrecognized tax benefits and the Company does not expect a significant increase or decrease to the total amounts of unrecognized tax benefits within the next twelve months.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Accrued and Other Liabilities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and other liabilities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Accrued insurance and medical claims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Unclaimed chips</w:t>
            </w: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Accrued purses and track related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Accrued real estate and property taxes</w:t>
            </w: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Jackpot liabilities and other accrued gaming promotions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8,211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Construction project and equipment liabilities</w:t>
            </w: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8. Long-Term Debt</w:t>
            </w: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5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80" w:type="dxa"/>
            <w:vAlign w:val="bottom"/>
            <w:gridSpan w:val="2"/>
          </w:tcPr>
          <w:p>
            <w:pPr>
              <w:ind w:left="360"/>
              <w:spacing w:after="0"/>
              <w:rPr>
                <w:sz w:val="20"/>
                <w:szCs w:val="20"/>
                <w:color w:val="auto"/>
              </w:rPr>
            </w:pPr>
            <w:r>
              <w:rPr>
                <w:rFonts w:ascii="Arial" w:cs="Arial" w:eastAsia="Arial" w:hAnsi="Arial"/>
                <w:sz w:val="18"/>
                <w:szCs w:val="18"/>
                <w:color w:val="auto"/>
              </w:rPr>
              <w:t>Long-term debt consisted of the following (in thousands):</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Resorts Senior Secured Notes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168,000</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860" w:type="dxa"/>
            <w:vAlign w:val="bottom"/>
          </w:tcPr>
          <w:p>
            <w:pPr>
              <w:ind w:left="180"/>
              <w:spacing w:after="0"/>
              <w:rPr>
                <w:sz w:val="20"/>
                <w:szCs w:val="20"/>
                <w:color w:val="auto"/>
              </w:rPr>
            </w:pPr>
            <w:r>
              <w:rPr>
                <w:rFonts w:ascii="Arial" w:cs="Arial" w:eastAsia="Arial" w:hAnsi="Arial"/>
                <w:sz w:val="18"/>
                <w:szCs w:val="18"/>
                <w:color w:val="auto"/>
              </w:rPr>
              <w:t>MTR Second Lien Notes</w:t>
            </w: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560,664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560,664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Unamortized premium</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50,163</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605,354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610,827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773,354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778,827</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Scheduled maturities of long-term debt are $728.7 million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Resorts' Senior Secured Notes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June 1, 2011, Resorts completed the issuance of the Resorts Senior Secured Notes. Interest on the Resorts Senior Secured Notes is payable semiannually each June 15 and December 15 to holders of record on the preceding June 1 or December 1, respectively.</w:t>
      </w:r>
    </w:p>
    <w:p>
      <w:pPr>
        <w:spacing w:after="0" w:line="186"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indenture relating to the Resorts Senior Secured Notes contains various restrictive covenants, including limitations on the payment of dividends and other restricted payments, making additional investments, additional liens, transactions with affiliates, covenants imposing limitations on additional</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 (Continued)</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debt, dispositions of property, mergers and similar transactions. As of June 30, 2015, Resorts was in compliance with all of the covenants under the indenture relating to the Resorts Senior Secured Notes.</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Resorts Senior Secured Notes are unconditionally guaranteed, jointly and severally, by all of Resorts' current and future domestic restricted subsidiaries other than Eldorado Capital Corp., an entity that was formed for the exclusive purpose of acting as co-issuer of debt issued by Resorts (collectively, the "Guarantors"). The Silver Legacy Joint Venture is not a subsidiary and did not guarantee the Resorts Senior Secured Notes. The Resorts Senior Secured Notes are secured by a first priority security interest on substantially all of Resorts' current and future assets (other than certain excluded assets, including gaming licenses and Resorts' interests the Silver Legacy Joint Venture). In addition, all of the membership interests in Resorts and equity interests in the Guarantors are subject to a pledge for the benefit of the holders of the Resorts Senior Secured Notes.</w:t>
      </w:r>
    </w:p>
    <w:p>
      <w:pPr>
        <w:spacing w:after="0" w:line="174" w:lineRule="exact"/>
        <w:rPr>
          <w:sz w:val="20"/>
          <w:szCs w:val="20"/>
          <w:color w:val="auto"/>
        </w:rPr>
      </w:pPr>
    </w:p>
    <w:p>
      <w:pPr>
        <w:ind w:right="300" w:firstLine="351"/>
        <w:spacing w:after="0" w:line="335" w:lineRule="auto"/>
        <w:rPr>
          <w:sz w:val="20"/>
          <w:szCs w:val="20"/>
          <w:color w:val="auto"/>
        </w:rPr>
      </w:pPr>
      <w:r>
        <w:rPr>
          <w:rFonts w:ascii="Arial" w:cs="Arial" w:eastAsia="Arial" w:hAnsi="Arial"/>
          <w:sz w:val="15"/>
          <w:szCs w:val="15"/>
          <w:color w:val="auto"/>
        </w:rPr>
        <w:t>Resorts was entitled to redeem some or all of the Resorts Senior Secured Notes prior to June 15, 2015 at a redemption price of 100.0% of the principal amount thereof plus a "make whole premium" together with accrued and unpaid interest thereon. On or after June 15, 2015, the Resorts Senior Secured Notes were subject to redemption at the following redemption prices (expressed as a percentage of principal amount) plus any accrued and unpaid interest thereon:</w:t>
      </w:r>
    </w:p>
    <w:p>
      <w:pPr>
        <w:spacing w:after="0" w:line="13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w w:val="90"/>
              </w:rPr>
              <w:t>Year beginning June 15,</w:t>
            </w:r>
          </w:p>
        </w:tc>
        <w:tc>
          <w:tcPr>
            <w:tcW w:w="55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2016</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102.156%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w w:val="91"/>
              </w:rPr>
              <w:t>2017 and thereafter</w:t>
            </w:r>
          </w:p>
        </w:tc>
        <w:tc>
          <w:tcPr>
            <w:tcW w:w="6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Pursuant to the refinancing transactions described in Note 13—Subsequent Events—Pending Acquisitions and Refinancing, the Company purchased or discharged all of the outstanding Resorts Senior Secured Notes in July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MTR Gaming Second Lien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August 1, 2011, MTR Gaming completed the offering of the MTR Second Lien Notes at an issue price equal to 97% of the aggregate principal amount.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MTR Second Lien Notes mature on August 1, 2019, with interest payable semi-annually in arrears on February 1 and August 1 of each year.</w:t>
      </w:r>
    </w:p>
    <w:p>
      <w:pPr>
        <w:spacing w:after="0" w:line="24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MTR Second Lien Notes and the guarantees are senior secured obligations and are jointly and severally, fully, and unconditionally guaranteed by MTR Gaming's current and future domestic restricted subsidiaries, other than MTR Gaming's immaterial subsidiaries. The MTR Second Lien Notes are secured by a second priority lien on substantially all of the assets of MTR Gaming and the guarantors, other than excluded property, as defined in the MTR Second Lien Notes indenture. The MTR Second Lien Notes and the guarantees are effectively junior to any of MTR Gaming's and the guarantors' existing and future debt that is secured by senior or prior liens on the collateral to the extent of the value of the collateral securing such obligations.</w:t>
      </w:r>
    </w:p>
    <w:p>
      <w:pPr>
        <w:spacing w:after="0" w:line="170"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indenture governing the MTR Second Lien Notes contains a number of customary covenants, including limitations on the payment of distributions and other restricted payments, making additional investments, additional liens, transactions with affiliates, additional debt, dispositions of property, mergers and similar transactions, and events of default. In addition, if the consolidated total debt ratio of MTR Gaming is equal to or greater than 4.0 to 1.0 and such offer is permitted pursuant to the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 (Continued)</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terms of MTR Gaming's credit facilities, MTR Gaming is required to repay debt under its credit facility or make an offer to purchase MTR Second Lien Notes with the excess cash flow amounts (as such term is defined in the indenture governing the MTR Second Lien Notes). As of June 30, 2015, MTR Gaming was in compliance with the covenants under the indenture relating to the MTR Second Lien Notes.</w:t>
      </w:r>
    </w:p>
    <w:p>
      <w:pPr>
        <w:spacing w:after="0" w:line="194"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MTR Gaming was entitled to redeem some or all of the MTR Second Lien Notes prior to August 1, 2015 at a redemption price of 100.0% of the principal amount thereof plus a "make whole premium" together with accrued and unpaid interest thereon. On or after August 1, 2015, MTR Second Lien Notes were subject to redemption at the following redemption prices (expressed as a percentage of principal amount) plus any accrued and unpaid interest thereon:</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w w:val="88"/>
              </w:rPr>
              <w:t>Year beginning August 1,</w:t>
            </w:r>
          </w:p>
        </w:tc>
        <w:tc>
          <w:tcPr>
            <w:tcW w:w="55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2016</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103.00%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4"/>
              </w:rPr>
              <w:t>2017 and thereafter</w:t>
            </w:r>
          </w:p>
        </w:tc>
        <w:tc>
          <w:tcPr>
            <w:tcW w:w="6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In October 2014, MTR Gaming repurchased $10.0 million in aggregate principal amount of its 11.5% MTR Second Lien Notes, at a price of $110.25 per $100 in principal amount of the purchased notes. The repurchase resulted in a $1.2 million annual savings in interest expense. After giving effect to the repurchase of the bonds in October 2014, the annual interest expense on the MTR Second Lien Notes approximates $64.5 million. Additionally, annual amortization of the premium on the MTR Second Lien Notes is $10.9 million.</w:t>
      </w:r>
    </w:p>
    <w:p>
      <w:pPr>
        <w:spacing w:after="0" w:line="197"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Pursuant to the refinancing transactions described in Note 13—Subsequent Events—Pending Acquisitions and Refinancing, the Company purchased or discharged all of the outstanding MTR Second Lien Notes in July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income per share computations during the three and six months ended June 30, 2015 and 2014 (dollars in thousands,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4"/>
          </w:tcPr>
          <w:p>
            <w:pPr>
              <w:jc w:val="center"/>
              <w:ind w:right="156"/>
              <w:spacing w:after="0"/>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40" w:type="dxa"/>
            <w:vAlign w:val="bottom"/>
            <w:gridSpan w:val="7"/>
          </w:tcPr>
          <w:p>
            <w:pPr>
              <w:jc w:val="center"/>
              <w:ind w:right="14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541"/>
              <w:spacing w:after="0"/>
              <w:rPr>
                <w:sz w:val="20"/>
                <w:szCs w:val="20"/>
                <w:color w:val="auto"/>
              </w:rPr>
            </w:pPr>
            <w:r>
              <w:rPr>
                <w:rFonts w:ascii="Arial" w:cs="Arial" w:eastAsia="Arial" w:hAnsi="Arial"/>
                <w:sz w:val="14"/>
                <w:szCs w:val="14"/>
                <w:b w:val="1"/>
                <w:bCs w:val="1"/>
                <w:color w:val="auto"/>
                <w:w w:val="85"/>
              </w:rPr>
              <w:t>June 30,</w:t>
            </w:r>
          </w:p>
        </w:tc>
        <w:tc>
          <w:tcPr>
            <w:tcW w:w="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b w:val="1"/>
                <w:bCs w:val="1"/>
                <w:color w:val="auto"/>
                <w:w w:val="85"/>
              </w:rPr>
              <w:t>June 30,</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1"/>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4"/>
          </w:tcPr>
          <w:p>
            <w:pPr>
              <w:jc w:val="center"/>
              <w:ind w:right="136"/>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40" w:type="dxa"/>
            <w:vAlign w:val="bottom"/>
            <w:gridSpan w:val="7"/>
          </w:tcPr>
          <w:p>
            <w:pPr>
              <w:jc w:val="center"/>
              <w:ind w:right="1460"/>
              <w:spacing w:after="0" w:line="142" w:lineRule="exact"/>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(loss) available to common stockholders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(1,369)</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114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46,516,614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23,311,492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46,505,687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23,311,492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6"/>
              </w:rPr>
              <w:t>46,657,618</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23,311,492</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46,505,687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23,311,492</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Basic</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0.10</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0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5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3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0.12</w:t>
            </w:r>
          </w:p>
        </w:tc>
        <w:tc>
          <w:tcPr>
            <w:tcW w:w="3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(0.03)</w:t>
            </w:r>
          </w:p>
        </w:tc>
        <w:tc>
          <w:tcPr>
            <w:tcW w:w="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 (Continued)</w:t>
      </w:r>
    </w:p>
    <w:p>
      <w:pPr>
        <w:spacing w:after="0" w:line="231" w:lineRule="exact"/>
        <w:rPr>
          <w:sz w:val="20"/>
          <w:szCs w:val="20"/>
          <w:color w:val="auto"/>
        </w:rPr>
      </w:pPr>
    </w:p>
    <w:p>
      <w:pPr>
        <w:ind w:right="160" w:firstLine="341"/>
        <w:spacing w:after="0" w:line="256" w:lineRule="auto"/>
        <w:rPr>
          <w:sz w:val="20"/>
          <w:szCs w:val="20"/>
          <w:color w:val="auto"/>
        </w:rPr>
      </w:pPr>
      <w:r>
        <w:rPr>
          <w:rFonts w:ascii="Arial" w:cs="Arial" w:eastAsia="Arial" w:hAnsi="Arial"/>
          <w:sz w:val="18"/>
          <w:szCs w:val="18"/>
          <w:color w:val="auto"/>
        </w:rPr>
        <w:t>As the accounting acquirer in the Merger and in accordance with the applicable accounting guidance in ASC 805, for purposes of computing comparative earnings per share, the Company has presented the historical weighted average number of common shares outstanding multiplied by the exchange ratio established in the merger agreement (see Note 2) for the three and six months ended June 30, 2014. At the Merger Date, there were no dilutive securities outstanding.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On July 7, 2015, the Company filed a registration statement relating to an underwritten offering of up to $80 million common stock ("Common Stock Offering"). The Company intends to sell shares of common stock to generate aggregate net proceeds of approximately $60.0 million, prior to the exercise of the underwriters' option to purchase additional shares. The number of shares sold in the offering, if any, will be subject to market conditions.</w:t>
      </w:r>
    </w:p>
    <w:p>
      <w:pPr>
        <w:spacing w:after="0" w:line="161"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Company intends to apply the proceeds from the Common Stock Offering to pay a portion of the purchase price for the purchase of all of the assets of Circus Circus Reno and the Silver Legacy Joint Venture that is currently owned by a subsidiary of MGM Resorts International, including repayment of amounts outstanding under the Silver Legacy Joint Venture credit facility and pay fees and costs associated with such transactions.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Company is a party to various lawsuits, which have arisen in the normal course of business. Estimated losses are accrued for these lawsuits and claims when the loss is probable and can be estimated. The current liability for the estimated losses associated with those lawsuits is not material to the consolidated financial condition and those estimated losses are not expected to have a material impact on the results of operations.</w:t>
      </w:r>
    </w:p>
    <w:p>
      <w:pPr>
        <w:spacing w:after="0" w:line="16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On April 17, 2010, Presque Isle Downs, Inc. initiated legal action in the Court of Common Pleas of Erie County, Pennsylvania, against defendants Dwayne Cooper Enterprises, Inc. ("DCE"), Turner Construction Company ("Turner"), and Rectenwald Buehler Architects, Inc. f/k/a Weborg Rectenwald Buehler Architects, Inc. ("RB") to recover damages arising out of failures of the surveillance system installed during the original construction of the casino facilities at Presque Isle Downs. DCE supplied and installed the surveillance system, RB acted as the project architect, and Turner served as the construction manager on the project. Shortly after Presque Isle Downs opened on February 28, 2007, it discovered that certain components of the surveillance system were defective, malfunctioning or missing. After efforts to remediate the deficiencies in the system were unsuccessful, it became necessary to replace certain components of the surveillance system at a cost of $1.9 million, and to write-off approximately $1.5 million related to the net book value of the equipment that was replaced. On April 5, 2011, Presque Isle Downs obtained a default judgment against DCE in the amount of $2.7 million. Efforts to enforce the judgment against DCE are ongoing but the assets of DCE appear to be modest and materially insufficient to pay the judgment. Any proceeds that may be received will be recorded as the amounts are realized. Defendant RB joined five additional vendors/subcontractors as additional defendants in the case. Each of the defendants and all but one of the additional defendants filed motions or objections requesting that the Court dismiss the claims against it. After these motions and objections were denied and the parties engaged in limited discovery, the parties</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 (Continued)</w:t>
      </w:r>
    </w:p>
    <w:p>
      <w:pPr>
        <w:spacing w:after="0" w:line="231"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agreed to submit the case to mediation. The mediation occurred on February 10, 2015, and resulted in an agreement under which the sum of $0.7 million would be paid to Presque Isle Downs, Inc. in exchange for a general release of the defendants (except DCE) and the additional defendants. A settlement agreement and release have been entered into by all parties. It is anticipated the case will be voluntarily dismissed by August 31, 2015.</w:t>
      </w:r>
    </w:p>
    <w:p>
      <w:pPr>
        <w:spacing w:after="0" w:line="161" w:lineRule="exact"/>
        <w:rPr>
          <w:sz w:val="20"/>
          <w:szCs w:val="20"/>
          <w:color w:val="auto"/>
        </w:rPr>
      </w:pPr>
    </w:p>
    <w:p>
      <w:pPr>
        <w:ind w:right="180" w:firstLine="351"/>
        <w:spacing w:after="0" w:line="302" w:lineRule="auto"/>
        <w:rPr>
          <w:sz w:val="20"/>
          <w:szCs w:val="20"/>
          <w:color w:val="auto"/>
        </w:rPr>
      </w:pPr>
      <w:r>
        <w:rPr>
          <w:rFonts w:ascii="Arial" w:cs="Arial" w:eastAsia="Arial" w:hAnsi="Arial"/>
          <w:sz w:val="15"/>
          <w:szCs w:val="15"/>
          <w:color w:val="auto"/>
        </w:rPr>
        <w:t>On October 21, 2011, the Ohio Roundtable filed a complaint in the Court of Common Pleas in Franklin County, Ohio against a number of defendants, including the Governor, the Ohio Lottery Commission and the Ohio Casino Control Commission. The complaint alleges a variety of substantive and procedural defects relative to the approval and implementation of video lottery terminals as well as several counts dealing with the taxation of standalone casinos. As interveners, the Company, along with four of the other racinos in Ohio, filed motions for judgment on the pleadings to supplement the position of the Racing Commission. In May 2012, the Court of Common Pleas dismissed the case; however, the plaintiffs filed an appeal and oral arguments were held on January 17,</w:t>
      </w:r>
    </w:p>
    <w:p>
      <w:pPr>
        <w:spacing w:after="0" w:line="2"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2013 in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District Court of Appeals. In March 2013, the Court of Appeals upheld the ruling. The decision of the Appeals Court was appealed to the Ohio Supreme Court by the plaintiffs on April 30, 2013 and the Ohio Supreme Court has elected to accept the appeal. The Ohio Supreme Court temporarily stayed the appeal until it first ruled on a matter with similar procedural issues. A decision was issued on that case on June 10, 2014. Accordingly, along with the State Appellees, a </w:t>
      </w:r>
      <w:r>
        <w:rPr>
          <w:rFonts w:ascii="Arial" w:cs="Arial" w:eastAsia="Arial" w:hAnsi="Arial"/>
          <w:sz w:val="18"/>
          <w:szCs w:val="18"/>
          <w:i w:val="1"/>
          <w:iCs w:val="1"/>
          <w:color w:val="auto"/>
        </w:rPr>
        <w:t>motion to dismiss as improvidently granted</w:t>
      </w:r>
      <w:r>
        <w:rPr>
          <w:rFonts w:ascii="Arial" w:cs="Arial" w:eastAsia="Arial" w:hAnsi="Arial"/>
          <w:sz w:val="18"/>
          <w:szCs w:val="18"/>
          <w:color w:val="auto"/>
        </w:rPr>
        <w:t xml:space="preserve"> was filed which was partially granted. The remaining propositions of law have been briefed by both parties and oral arguments were held on June 23, 2015.</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Remediation</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October 2004, the Company acquired 229 acres of real property, known as the International Paper site, as an alternative site to build Presque Isle Downs. In connection with the acquisition of the International Paper site, the Company entered into a consent order and decree (the "Consent Order") with the PaDEP and International Paper insulating us from liability for certain pre-existing contamination, subject to compliance with the Consent Order, which included a proposed environmental remediation plan for the site, which was tied specifically to the use of the property as a racetrack. The proposed environmental remediation plan in the Consent Order was based upon a "baseline environmental report" and management estimated that such remediation would be subsumed within the cost of developing the property as a racetrack. The racetrack was never developed at this site. In October 2005, the Company sold approximately 205 acres to GEIDC who assumed primary responsibility for the remediation obligations under the Consent Order relating to the property they acquired. However, the Company was advised by the PaDEP that it was not released from its liability and responsibility under the Consent Order. The Company also purchased an Environmental Risk Insurance Policy in the amount of $10.0 million with respect to the property, which expires in October 2015. The Company believes that the insurance coverage is in excess of any exposure that we may have in this matter.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Gaming Assessments</w:t>
      </w:r>
    </w:p>
    <w:p>
      <w:pPr>
        <w:spacing w:after="0" w:line="225" w:lineRule="exact"/>
        <w:rPr>
          <w:sz w:val="20"/>
          <w:szCs w:val="20"/>
          <w:color w:val="auto"/>
        </w:rPr>
      </w:pPr>
    </w:p>
    <w:p>
      <w:pPr>
        <w:ind w:right="460" w:firstLine="348"/>
        <w:spacing w:after="0" w:line="259" w:lineRule="auto"/>
        <w:rPr>
          <w:sz w:val="20"/>
          <w:szCs w:val="20"/>
          <w:color w:val="auto"/>
        </w:rPr>
      </w:pPr>
      <w:r>
        <w:rPr>
          <w:rFonts w:ascii="Arial" w:cs="Arial" w:eastAsia="Arial" w:hAnsi="Arial"/>
          <w:sz w:val="18"/>
          <w:szCs w:val="18"/>
          <w:color w:val="auto"/>
        </w:rPr>
        <w:t>The Pennsylvania Gaming Control Board (the "PGCB"), the Pennsylvania Department of Revenue and the Pennsylvania State Police (collectively "the Borrowers"), were required to fund the costs they incurred in connection with the initial development of the infrastructure to support gaming operations in Pennsylvania as well as the initial ongoing costs of the Borrowers. The initial funding of these costs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 (Continued)</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was provided from a loan from the Pennsylvania General Fund in the amount of $36.1 million, and further funding was provided from additional loans from the Pennsylvania Property Tax Reserve Fund in the aggregate amount of $63.8 million.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Pennsylvania Department of Revenue will assess all licensees, including Presque Isle Downs, their proportionate share of amounts represented by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borrowings, which are in the aggregate amount of $99.9 million, once the designated number of Pennsylvania's slot machine licensees is operational. On July 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the PGCB issued an administrative order which established that payments associated with the $63.8 million that was borrowed from the Property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Reserve Fund would commence on January 1, 2012. The repayment allocation between all current licensees is based upon equal weighting of (1) cumulative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gross slot revenue since inception in relation to the combined cumulative gross slot revenue for all licensees and (2) single year gross slot revenue (during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state's fiscal year ending June 30) in relation to the combined single year gross slot revenue for all licensees; and amounts paid each year will be adjusted annually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based upon changes in the licensee's proportionate share of gross slot revenue. MTR Gaming has estimated that its total proportionate share of the aggregate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$63.8 million to be assessed to the gaming facilities will be approximately $4.1 million and will be paid quarterly over a ten-year period, which began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January 1, 2012. For the $36.1 million that was borrowed from the General Fund, payment is scheduled to begin after all fourteen licensees are operational.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Although MTR Gaming cannot determine when payment will begin, it has considered a similar repayment model for the General Fund borrowings and estimated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its total proportionate share of the aggregate $36.1 million to all fourteen gaming facilities will approximate $2.2 million, which has been accrued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accompanying consolidated balance sheets at June 30, 2015 and December 31, 2014.</w:t>
      </w:r>
    </w:p>
    <w:p>
      <w:pPr>
        <w:spacing w:after="0" w:line="219"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 recorded estimate is subject to revision based upon future changes in the revenue assumptions utilized to develop the estimate. The estimated total obligation at June 30, 2015 and December 31, 2014 was $4.7 million and $5.0 million, respectively, and is accrued in the accompanying consolidated balance sheets. As of and during the six months ended June 30, 2015, the total estimated liability decreased as a result of changes in the forecasted assumptions utilized in the model by $0.1 million and was recognized in gaming operating expenses. The Company paid $0.2 million during the six months ended June 30, 2015.</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Parties</w:t>
      </w:r>
    </w:p>
    <w:p>
      <w:pPr>
        <w:spacing w:after="0" w:line="231"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As of June 30, 2015, the Company's receivables and payables to related parties amounted to $0.5 million and $0.2 million, respectively. As of December 31, 2014, the Company's receivables and payables to related parties amounted to $0.4 million and $0.2 million, respectively. These amounts represent amounts related to shared services and other transactions in the ordinary course of business between Resorts and Silver Legacy.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following table sets forth, for the period indicated, certain operating data for the Company's reportable segments. Management views each of its casinos as an operating segment. Operating segments are aggregated based on their similar economic characteristics, types of customers, types of services and products provided, and their management and reporting structure. The Company's principal operating activities occur in three geographic regions: Reno, Shreveport and the eastern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 (Continued)</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states. The Company has aggregated its operating segments into three reportable segments: Eldorado Reno, Eldorado Shreveport and MTR Gaming along with its corporate offices.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7"/>
              </w:rPr>
              <w:t>Three Months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5"/>
              </w:rPr>
              <w:t>Six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Ended June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5"/>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3"/>
              </w:rPr>
              <w:t>(in thousands,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92"/>
              <w:spacing w:after="0" w:line="129" w:lineRule="exact"/>
              <w:rPr>
                <w:sz w:val="20"/>
                <w:szCs w:val="20"/>
                <w:color w:val="auto"/>
              </w:rPr>
            </w:pPr>
            <w:r>
              <w:rPr>
                <w:rFonts w:ascii="Arial" w:cs="Arial" w:eastAsia="Arial" w:hAnsi="Arial"/>
                <w:sz w:val="14"/>
                <w:szCs w:val="14"/>
                <w:b w:val="1"/>
                <w:bCs w:val="1"/>
                <w:color w:val="auto"/>
              </w:rPr>
              <w:t>(in</w:t>
            </w:r>
          </w:p>
        </w:tc>
        <w:tc>
          <w:tcPr>
            <w:tcW w:w="840" w:type="dxa"/>
            <w:vAlign w:val="bottom"/>
            <w:gridSpan w:val="4"/>
          </w:tcPr>
          <w:p>
            <w:pPr>
              <w:jc w:val="right"/>
              <w:ind w:right="292"/>
              <w:spacing w:after="0" w:line="129" w:lineRule="exact"/>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 and expenses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Eldorado Reno</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operating revenues(a)</w:t>
            </w:r>
          </w:p>
        </w:tc>
        <w:tc>
          <w:tcPr>
            <w:tcW w:w="120" w:type="dxa"/>
            <w:vAlign w:val="bottom"/>
            <w:gridSpan w:val="2"/>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27,206</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29,620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50,959</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52,786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Arial" w:cs="Arial" w:eastAsia="Arial" w:hAnsi="Arial"/>
                <w:sz w:val="14"/>
                <w:szCs w:val="14"/>
                <w:color w:val="auto"/>
              </w:rPr>
              <w:t>Expenses, excluding depreciation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(22,199)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(24,781)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(43,520)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(47,264)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Corporate management fee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Arial" w:cs="Arial" w:eastAsia="Arial" w:hAnsi="Arial"/>
                <w:sz w:val="14"/>
                <w:szCs w:val="14"/>
                <w:color w:val="auto"/>
              </w:rPr>
              <w:t>Loss on sale or disposal of property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Acquisition charges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(1,081)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Arial" w:cs="Arial" w:eastAsia="Arial" w:hAnsi="Arial"/>
                <w:sz w:val="14"/>
                <w:szCs w:val="14"/>
                <w:color w:val="auto"/>
              </w:rPr>
              <w:t>Equity in income of unconsolidated affiliates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1,106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588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1,781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(1,940)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(3,873)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(3,992)</w:t>
            </w:r>
          </w:p>
        </w:tc>
        <w:tc>
          <w:tcPr>
            <w:tcW w:w="0" w:type="dxa"/>
            <w:vAlign w:val="bottom"/>
          </w:tcPr>
          <w:p>
            <w:pPr>
              <w:spacing w:after="0"/>
              <w:rPr>
                <w:sz w:val="1"/>
                <w:szCs w:val="1"/>
                <w:color w:val="auto"/>
              </w:rPr>
            </w:pPr>
          </w:p>
        </w:tc>
      </w:tr>
      <w:tr>
        <w:trPr>
          <w:trHeight w:val="142"/>
        </w:trPr>
        <w:tc>
          <w:tcPr>
            <w:tcW w:w="5860" w:type="dxa"/>
            <w:vAlign w:val="bottom"/>
            <w:gridSpan w:val="3"/>
          </w:tcPr>
          <w:p>
            <w:pPr>
              <w:spacing w:after="0" w:line="142" w:lineRule="exact"/>
              <w:rPr>
                <w:sz w:val="20"/>
                <w:szCs w:val="20"/>
                <w:color w:val="auto"/>
              </w:rPr>
            </w:pPr>
            <w:r>
              <w:rPr>
                <w:rFonts w:ascii="Arial" w:cs="Arial" w:eastAsia="Arial" w:hAnsi="Arial"/>
                <w:sz w:val="14"/>
                <w:szCs w:val="14"/>
                <w:color w:val="auto"/>
              </w:rPr>
              <w:t>Operating income—Eldorado Reno</w:t>
            </w: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3,656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3,253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8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Eldorado Shreveport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Arial" w:cs="Arial" w:eastAsia="Arial" w:hAnsi="Arial"/>
                <w:sz w:val="14"/>
                <w:szCs w:val="14"/>
                <w:color w:val="auto"/>
              </w:rPr>
              <w:t>Net operating revenues</w:t>
            </w:r>
          </w:p>
        </w:tc>
        <w:tc>
          <w:tcPr>
            <w:tcW w:w="120" w:type="dxa"/>
            <w:vAlign w:val="bottom"/>
            <w:gridSpan w:val="2"/>
          </w:tcPr>
          <w:p>
            <w:pPr>
              <w:jc w:val="right"/>
              <w:ind w:right="37"/>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34,634</w:t>
            </w:r>
          </w:p>
        </w:tc>
        <w:tc>
          <w:tcPr>
            <w:tcW w:w="100" w:type="dxa"/>
            <w:vAlign w:val="bottom"/>
          </w:tcPr>
          <w:p>
            <w:pPr>
              <w:spacing w:after="0"/>
              <w:rPr>
                <w:sz w:val="12"/>
                <w:szCs w:val="12"/>
                <w:color w:val="auto"/>
              </w:rPr>
            </w:pPr>
          </w:p>
        </w:tc>
        <w:tc>
          <w:tcPr>
            <w:tcW w:w="1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32,879</w:t>
            </w:r>
          </w:p>
        </w:tc>
        <w:tc>
          <w:tcPr>
            <w:tcW w:w="100" w:type="dxa"/>
            <w:vAlign w:val="bottom"/>
          </w:tcPr>
          <w:p>
            <w:pPr>
              <w:spacing w:after="0"/>
              <w:rPr>
                <w:sz w:val="12"/>
                <w:szCs w:val="12"/>
                <w:color w:val="auto"/>
              </w:rPr>
            </w:pP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69,268</w:t>
            </w:r>
          </w:p>
        </w:tc>
        <w:tc>
          <w:tcPr>
            <w:tcW w:w="100" w:type="dxa"/>
            <w:vAlign w:val="bottom"/>
          </w:tcPr>
          <w:p>
            <w:pPr>
              <w:spacing w:after="0"/>
              <w:rPr>
                <w:sz w:val="12"/>
                <w:szCs w:val="12"/>
                <w:color w:val="auto"/>
              </w:rPr>
            </w:pPr>
          </w:p>
        </w:tc>
        <w:tc>
          <w:tcPr>
            <w:tcW w:w="2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67,493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Expenses, excluding depreciation and amortization(a)</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(26,689)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(27,937)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(54,205)</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(55,742)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Arial" w:cs="Arial" w:eastAsia="Arial" w:hAnsi="Arial"/>
                <w:sz w:val="14"/>
                <w:szCs w:val="14"/>
                <w:color w:val="auto"/>
              </w:rPr>
              <w:t>Gain on sale or disposal of property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Corporate management fee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(1,888)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(3,807)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8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Operating income—Eldorado Shreveport</w:t>
            </w:r>
          </w:p>
        </w:tc>
        <w:tc>
          <w:tcPr>
            <w:tcW w:w="120" w:type="dxa"/>
            <w:vAlign w:val="bottom"/>
            <w:gridSpan w:val="2"/>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5,382</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2,820</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10,084</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7,469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MTR Gaming</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operating revenues</w:t>
            </w:r>
          </w:p>
        </w:tc>
        <w:tc>
          <w:tcPr>
            <w:tcW w:w="120" w:type="dxa"/>
            <w:vAlign w:val="bottom"/>
            <w:gridSpan w:val="2"/>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120,793</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229,857</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Arial" w:cs="Arial" w:eastAsia="Arial" w:hAnsi="Arial"/>
                <w:sz w:val="14"/>
                <w:szCs w:val="14"/>
                <w:color w:val="auto"/>
              </w:rPr>
              <w:t>Expenses, excluding depreciation and amortization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(94,258)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(182,447)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Corporate management fee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(2,397)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(4,160)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Arial" w:cs="Arial" w:eastAsia="Arial" w:hAnsi="Arial"/>
                <w:sz w:val="14"/>
                <w:szCs w:val="14"/>
                <w:color w:val="auto"/>
              </w:rPr>
              <w:t>Gain on sale or disposal of property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Acquisition charges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(10,120)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(20,659)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8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Operating income—MTR Gaming</w:t>
            </w:r>
          </w:p>
        </w:tc>
        <w:tc>
          <w:tcPr>
            <w:tcW w:w="120" w:type="dxa"/>
            <w:vAlign w:val="bottom"/>
            <w:gridSpan w:val="2"/>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14,017</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22,507</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Eldorado Corporate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Expenses, excluding depreciation(a)</w:t>
            </w:r>
          </w:p>
        </w:tc>
        <w:tc>
          <w:tcPr>
            <w:tcW w:w="120" w:type="dxa"/>
            <w:vAlign w:val="bottom"/>
            <w:gridSpan w:val="2"/>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(3,253)</w:t>
            </w:r>
          </w:p>
        </w:tc>
        <w:tc>
          <w:tcPr>
            <w:tcW w:w="1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(6,524)</w:t>
            </w: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Arial" w:cs="Arial" w:eastAsia="Arial" w:hAnsi="Arial"/>
                <w:sz w:val="14"/>
                <w:szCs w:val="14"/>
                <w:color w:val="auto"/>
              </w:rPr>
              <w:t>Corporate management fee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3,593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6,237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Acquisition charges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Arial" w:cs="Arial" w:eastAsia="Arial" w:hAnsi="Arial"/>
                <w:sz w:val="14"/>
                <w:szCs w:val="14"/>
                <w:color w:val="auto"/>
              </w:rPr>
              <w:t>Depreciation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8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Operating income (loss)—Eldorado Corporate</w:t>
            </w:r>
          </w:p>
        </w:tc>
        <w:tc>
          <w:tcPr>
            <w:tcW w:w="120" w:type="dxa"/>
            <w:vAlign w:val="bottom"/>
            <w:gridSpan w:val="2"/>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(701)</w:t>
            </w:r>
          </w:p>
        </w:tc>
        <w:tc>
          <w:tcPr>
            <w:tcW w:w="200" w:type="dxa"/>
            <w:vAlign w:val="bottom"/>
            <w:gridSpan w:val="2"/>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Total Reportable Segments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operating revenues(a)</w:t>
            </w:r>
          </w:p>
        </w:tc>
        <w:tc>
          <w:tcPr>
            <w:tcW w:w="120" w:type="dxa"/>
            <w:vAlign w:val="bottom"/>
            <w:gridSpan w:val="2"/>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182,633</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62,499</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350,084</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120,279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Arial" w:cs="Arial" w:eastAsia="Arial" w:hAnsi="Arial"/>
                <w:sz w:val="14"/>
                <w:szCs w:val="14"/>
                <w:color w:val="auto"/>
              </w:rPr>
              <w:t>Expenses, excluding depreciation and amortization(a)</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(146,399)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9"/>
              </w:rPr>
              <w:t>(52,718)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(286,696)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(103,006)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on sale or disposal of property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Arial" w:cs="Arial" w:eastAsia="Arial" w:hAnsi="Arial"/>
                <w:sz w:val="14"/>
                <w:szCs w:val="14"/>
                <w:color w:val="auto"/>
              </w:rPr>
              <w:t>Acquisition charges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(1,081)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 income of unconsolidated affiliates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(14,031)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(4,086)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8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Operating income—Total Reportable Segments</w:t>
            </w:r>
          </w:p>
        </w:tc>
        <w:tc>
          <w:tcPr>
            <w:tcW w:w="120" w:type="dxa"/>
            <w:vAlign w:val="bottom"/>
            <w:gridSpan w:val="2"/>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23,059</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6,775</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35,143</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8,327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Reconciliations to Consolidated Net Income (Loss)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8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Income—Total Reportable Segments</w:t>
            </w:r>
          </w:p>
        </w:tc>
        <w:tc>
          <w:tcPr>
            <w:tcW w:w="120" w:type="dxa"/>
            <w:vAlign w:val="bottom"/>
            <w:gridSpan w:val="2"/>
            <w:shd w:val="clear" w:color="auto" w:fill="CCEEFF"/>
          </w:tcPr>
          <w:p>
            <w:pPr>
              <w:jc w:val="right"/>
              <w:ind w:right="37"/>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23,059</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6,775</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35,143</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spacing w:after="0" w:line="149" w:lineRule="exact"/>
              <w:rPr>
                <w:sz w:val="20"/>
                <w:szCs w:val="20"/>
                <w:color w:val="auto"/>
              </w:rPr>
            </w:pPr>
            <w:r>
              <w:rPr>
                <w:rFonts w:ascii="Arial" w:cs="Arial" w:eastAsia="Arial" w:hAnsi="Arial"/>
                <w:sz w:val="14"/>
                <w:szCs w:val="14"/>
                <w:color w:val="auto"/>
              </w:rPr>
              <w:t>Unallocated income and expenses: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income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Interest expense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(17,238)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(3,870)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(34,475)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Provision for income taxes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(2,048)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860" w:type="dxa"/>
            <w:vAlign w:val="bottom"/>
            <w:gridSpan w:val="3"/>
          </w:tcPr>
          <w:p>
            <w:pPr>
              <w:spacing w:after="0" w:line="142" w:lineRule="exact"/>
              <w:rPr>
                <w:sz w:val="20"/>
                <w:szCs w:val="20"/>
                <w:color w:val="auto"/>
              </w:rPr>
            </w:pPr>
            <w:r>
              <w:rPr>
                <w:rFonts w:ascii="Arial" w:cs="Arial" w:eastAsia="Arial" w:hAnsi="Arial"/>
                <w:sz w:val="14"/>
                <w:szCs w:val="14"/>
                <w:color w:val="auto"/>
              </w:rPr>
              <w:t>Net income (loss)</w:t>
            </w: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4,795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2,909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(1,369)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line="239" w:lineRule="auto"/>
        <w:tabs>
          <w:tab w:leader="none" w:pos="168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intercompany management fee revenues earned by Eldorado Reno and expensed by Eldorado Shreveport amounting to $0.8 million and $1.5 million, respectively, for the three and six months ended June 30, 2014.</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 (Continued)</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Six Months</w:t>
            </w:r>
          </w:p>
        </w:tc>
      </w:tr>
      <w:tr>
        <w:trPr>
          <w:trHeight w:val="161"/>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5"/>
              </w:rPr>
              <w:t>Ended June 30,</w:t>
            </w:r>
          </w:p>
        </w:tc>
      </w:tr>
      <w:tr>
        <w:trPr>
          <w:trHeight w:val="142"/>
        </w:trPr>
        <w:tc>
          <w:tcPr>
            <w:tcW w:w="6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r>
      <w:tr>
        <w:trPr>
          <w:trHeight w:val="129"/>
        </w:trPr>
        <w:tc>
          <w:tcPr>
            <w:tcW w:w="6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5"/>
          </w:tcPr>
          <w:p>
            <w:pPr>
              <w:jc w:val="center"/>
              <w:ind w:right="300"/>
              <w:spacing w:after="0" w:line="129" w:lineRule="exact"/>
              <w:rPr>
                <w:sz w:val="20"/>
                <w:szCs w:val="20"/>
                <w:color w:val="auto"/>
              </w:rPr>
            </w:pPr>
            <w:r>
              <w:rPr>
                <w:rFonts w:ascii="Arial" w:cs="Arial" w:eastAsia="Arial" w:hAnsi="Arial"/>
                <w:sz w:val="14"/>
                <w:szCs w:val="14"/>
                <w:b w:val="1"/>
                <w:bCs w:val="1"/>
                <w:color w:val="auto"/>
                <w:w w:val="83"/>
              </w:rPr>
              <w:t>(in thousands,</w:t>
            </w:r>
          </w:p>
        </w:tc>
      </w:tr>
      <w:tr>
        <w:trPr>
          <w:trHeight w:val="161"/>
        </w:trPr>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unaudited)</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Eldorado Reno</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738</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Eldorado Shreveport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1,176</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MTR Gaming</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13,047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Eldorado Corporate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34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17,863</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w:t>
            </w:r>
          </w:p>
        </w:tc>
        <w:tc>
          <w:tcPr>
            <w:tcW w:w="16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32"/>
              <w:spacing w:after="0"/>
              <w:rPr>
                <w:sz w:val="20"/>
                <w:szCs w:val="20"/>
                <w:color w:val="auto"/>
              </w:rPr>
            </w:pPr>
            <w:r>
              <w:rPr>
                <w:rFonts w:ascii="Arial" w:cs="Arial" w:eastAsia="Arial" w:hAnsi="Arial"/>
                <w:sz w:val="14"/>
                <w:szCs w:val="14"/>
                <w:b w:val="1"/>
                <w:bCs w:val="1"/>
                <w:color w:val="auto"/>
                <w:w w:val="85"/>
              </w:rPr>
              <w:t>As of</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r>
      <w:tr>
        <w:trPr>
          <w:trHeight w:val="129"/>
        </w:trPr>
        <w:tc>
          <w:tcPr>
            <w:tcW w:w="2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520"/>
              <w:spacing w:after="0" w:line="129"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1"/>
                <w:szCs w:val="11"/>
                <w:color w:val="auto"/>
              </w:rPr>
            </w:pPr>
          </w:p>
        </w:tc>
      </w:tr>
      <w:tr>
        <w:trPr>
          <w:trHeight w:val="161"/>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w w:val="89"/>
              </w:rPr>
              <w:t>(unaudited)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Assets(a)</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Eldorado Reno</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2"/>
              <w:spacing w:after="0"/>
              <w:rPr>
                <w:sz w:val="20"/>
                <w:szCs w:val="20"/>
                <w:color w:val="auto"/>
              </w:rPr>
            </w:pPr>
            <w:r>
              <w:rPr>
                <w:rFonts w:ascii="Arial" w:cs="Arial" w:eastAsia="Arial" w:hAnsi="Arial"/>
                <w:sz w:val="18"/>
                <w:szCs w:val="18"/>
                <w:color w:val="auto"/>
              </w:rPr>
              <w:t>235,009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236,330</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Eldorado Shreveport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146,965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143,928</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Eldorado Corporate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2"/>
              <w:spacing w:after="0"/>
              <w:rPr>
                <w:sz w:val="20"/>
                <w:szCs w:val="20"/>
                <w:color w:val="auto"/>
              </w:rPr>
            </w:pPr>
            <w:r>
              <w:rPr>
                <w:rFonts w:ascii="Arial" w:cs="Arial" w:eastAsia="Arial" w:hAnsi="Arial"/>
                <w:sz w:val="18"/>
                <w:szCs w:val="18"/>
                <w:color w:val="auto"/>
              </w:rPr>
              <w:t>5,818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MTR Gaming</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911,530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921,726</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Eliminating and reclassification entries(b)</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(130,319)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(126,654)</w:t>
            </w:r>
          </w:p>
        </w:tc>
      </w:tr>
      <w:tr>
        <w:trPr>
          <w:trHeight w:val="20"/>
        </w:trPr>
        <w:tc>
          <w:tcPr>
            <w:tcW w:w="2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9"/>
              </w:rPr>
              <w:t>1,169,003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1,175,330</w:t>
            </w:r>
          </w:p>
        </w:tc>
      </w:tr>
      <w:tr>
        <w:trPr>
          <w:trHeight w:val="20"/>
        </w:trPr>
        <w:tc>
          <w:tcPr>
            <w:tcW w:w="2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hanging="540"/>
        <w:spacing w:after="0"/>
        <w:tabs>
          <w:tab w:leader="none" w:pos="2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Total assets presented in this table are considered restricted under the Company's indenture described in Note 8.</w:t>
      </w:r>
    </w:p>
    <w:p>
      <w:pPr>
        <w:spacing w:after="0" w:line="275" w:lineRule="exact"/>
        <w:rPr>
          <w:rFonts w:ascii="Arial" w:cs="Arial" w:eastAsia="Arial" w:hAnsi="Arial"/>
          <w:sz w:val="16"/>
          <w:szCs w:val="16"/>
          <w:color w:val="auto"/>
        </w:rPr>
      </w:pPr>
    </w:p>
    <w:p>
      <w:pPr>
        <w:ind w:left="2260" w:hanging="540"/>
        <w:spacing w:after="0"/>
        <w:tabs>
          <w:tab w:leader="none" w:pos="2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the following for the periods indicated:</w:t>
      </w:r>
    </w:p>
    <w:p>
      <w:pPr>
        <w:spacing w:after="0" w:line="234"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Proceeds from Resorts Senior Secured Notes loaned to Eldorado Shreveport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116,308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116,308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Accrued interest on the above intercompany loan</w:t>
            </w:r>
          </w:p>
        </w:tc>
        <w:tc>
          <w:tcPr>
            <w:tcW w:w="640" w:type="dxa"/>
            <w:vAlign w:val="bottom"/>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receivables/payables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Reclassification of noncurrent deferred tax assets</w:t>
            </w:r>
          </w:p>
        </w:tc>
        <w:tc>
          <w:tcPr>
            <w:tcW w:w="640" w:type="dxa"/>
            <w:vAlign w:val="bottom"/>
          </w:tcPr>
          <w:p>
            <w:pPr>
              <w:jc w:val="right"/>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 and advances to MTR Gaming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investment in and advances to Eldorado Shreveport</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shd w:val="clear" w:color="auto" w:fill="CCEEFF"/>
          </w:tcPr>
          <w:p>
            <w:pPr>
              <w:ind w:left="5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130,319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126,654</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Pending Acquisitions and Refinancing</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Pending Acquisitions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July 7, 2015, certain of the Company's subsidiaries, Circus Circus Casinos, Inc. and Galleon, Inc., subsidiaries of MGM Resorts International, entered into a purchase and sale agreement</w:t>
      </w:r>
    </w:p>
    <w:p>
      <w:pPr>
        <w:spacing w:after="0" w:line="18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Pending Acquisitions and Refinancing (Continued)</w:t>
      </w:r>
    </w:p>
    <w:p>
      <w:pPr>
        <w:spacing w:after="0" w:line="2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"Purchase Agreement") with respect to the acquisition of (i) all of the assets and properties of Circus Circus Reno and (ii) the other 50% membership interest in the Silver Legacy Joint Venture owned by Galleon, Inc. (collectively, the "Circus Reno/Silver Legacy Purchase"). ERI has unconditionally guaranteed the purchaser's obligations under the Purchase Agreement. ERI currently has an indirect interest in 48.1% of the interests of the Silver Legacy Joint Venture. In connection with the consummation of the Circus Reno/Silver Legacy Purchase, ERI expects to acquire the 1.9% indirect interest in the Silver Legacy Joint Venture held by ELLC in September 2015. Following the consummation of the foregoing transactions, the Silver Legacy Joint Venture will be a wholly-owned indirect subsidiary of ERI.</w:t>
      </w:r>
    </w:p>
    <w:p>
      <w:pPr>
        <w:spacing w:after="0" w:line="198"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proposed purchase price for the Circus Reno/Silver Legacy Purchase is $72.5 million, subject to a customary working capital adjustment, and the assumption of amounts outstanding under the Silver Legacy Joint Venture credit facility, of which $82.0 million was outstanding at June 30, 2015. In conjunction with the execution of the Purchase Agreement, ERI deposited $3.0 million in escrow, which it will surrender in the event the proposed acquisitions fail to close for reasons other than a breach by Circus Circus Casinos, Inc. or Galleon, Inc. The balance of the purchase price will be payable in cash at the closing of the Circus Reno/Silver Legacy Purchase. The Company expects to apply a portion of the proceeds of the sale of the New Notes (as defined below), proceeds from the sale of common stock, borrowings under the New Revolving Credit Facility (as defined below) and cash on hand to pay the purchase price for the Circus Reno/Silver Legacy Purchase. The consummation of the transactions contemplated by the Purchase Agreement is subject to the satisfaction of certain conditions, including the approval of various gaming authorities. The Circus Reno/Silver Legacy transaction is expected to be consummated by the end of 2015, but there can be no assurance that the proposed acquisition will be consummated or as to the date by which the proposed acquisition will be consummated.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Refinancing Transactions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Tender Offer</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July 13, 2015, the Company commenced a cash tender offer and consent solicitation for any and all Resorts Senior Secured Notes and MTR Second Lien Notes. The total consideration offered in the tender offer was $1,047.92 per $1,000 principal amount of the Resorts Notes tendered and accepted for purchase and $1,066.39 per $1,000 in principal amount of MTR Second Lien Notes tendered and accepted for purchase, which included a $30 per $1,000 in principal amount of Resorts Senior Secured Notes and MTR Second Lien Notes. The tender offer was consummated on July 23, 2015 and approximately $130.0 million in aggregate principal amount of Resorts Senior Notes and $403.9 million in aggregate principal amount of MTR Second Lien Notes were accepted for purchase. The Resorts Senior Secured Notes and MTR Second Lien Notes that remained outstanding following the consummation of the tender offer were satisfied and discharged pursuant to the terms of the indentures governing such notes.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On July 23, 2015, the Company issued $375.0 million in aggregate principal amount of 7.0% Senior Notes due 2023 (the "New Notes") pursuant to an indenture, dated as of July 23, 2015 (the "Indenture"), at an issue price equal to 100.0% of the aggregate principal amount of the New Notes.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Pending Acquisitions and Refinancing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New Notes are guaranteed by all of the Company's direct and indirect restricted subsidiaries other than immaterial subsidiaries.</w:t>
      </w:r>
    </w:p>
    <w:p>
      <w:pPr>
        <w:spacing w:after="0" w:line="225" w:lineRule="exact"/>
        <w:rPr>
          <w:sz w:val="20"/>
          <w:szCs w:val="20"/>
          <w:color w:val="auto"/>
        </w:rPr>
      </w:pPr>
    </w:p>
    <w:p>
      <w:pPr>
        <w:ind w:right="80" w:firstLine="348"/>
        <w:spacing w:after="0" w:line="283" w:lineRule="auto"/>
        <w:rPr>
          <w:sz w:val="20"/>
          <w:szCs w:val="20"/>
          <w:color w:val="auto"/>
        </w:rPr>
      </w:pPr>
      <w:r>
        <w:rPr>
          <w:rFonts w:ascii="Arial" w:cs="Arial" w:eastAsia="Arial" w:hAnsi="Arial"/>
          <w:sz w:val="16"/>
          <w:szCs w:val="16"/>
          <w:color w:val="auto"/>
        </w:rPr>
        <w:t>The Company used or will use the net proceeds from the New Notes offering together with borrowings under the New Term Loan and the New Revolving Credit Facility (as defined below) to (i) purchase or otherwise redeem (a) all of the outstanding Resorts Senior Secured Notes and (b) all of the outstanding MTR Second Lien Notes, (ii) pay a portion of the purchase price for the Circus Reno/Silver Legacy Purchase and repay all amounts outstanding under the Silver Legacy Joint Venture credit facility, and (iii) pay fees and costs associated with such transactions. Net proceeds from the New Notes offering equal to</w:t>
      </w:r>
    </w:p>
    <w:p>
      <w:pPr>
        <w:spacing w:after="0" w:line="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$50.0 million, plus interest to the latest possible redemption date, were placed in escrow, to be released only if the Circus Reno/Silver Legacy Purchase is consummated on or prior to April 1, 2016; otherwise, $50.0 million in aggregate principal amount of the New Notes will be subject to a special mandatory redemption, on a pro rata basis, at a redemption price equal to 100.0% of the principal amount thereof plus accrued and unpaid interest to, but not including, the redemption date.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New Notes will mature on August 1, 2023, with interest payable semi-annually in arrears on February 1 and August 1 of each year.</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On or after August 1, 2018, the Company may redeem all or a portion of the New Notes upon not less than 30 nor more than 60 days' notice, at the redemption prices (expressed as percentages of the principal amount) set forth below plus accrued and unpaid interest and additional interest, if any, on the New Notes redeemed, to the applicable redemption date, if redeemed during the twelve month period beginning on August 1 of the years indicated below:</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0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2019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Prior to August 1, 2018, the Company may redeem all or a portion of the New Notes at a price equal to 100% of the New Notes redeemed plus accrued and unpaid interest to the redemption date, plus a make-whole premium. At any time prior to August 1, 2018, the Company is also entitled to redeem up to 35% of the original aggregate principal amount of the New Notes with proceeds of certain equity financings at a redemption price equal to 107% of the principal amount of the New Notes redeemed, plus accrued and unpaid interest. If the Company experiences certain change of control events (as defined in the Indenture), it must offer to repurchase the New Notes at 101% of their principal amount, plus accrued and unpaid interest to the applicable repurchase date. If the Company sells assets under certain circumstances and does not use the proceeds for specified purposes, the Company must offer to repurchase the New Notes at 100.0% of their principal amount, plus accrued and unpaid interest to the applicable repurchase date.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New Notes are subject to redemption imposed by gaming laws and regulations of applicable gaming regulatory authorities.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Pending Acquisitions and Refinancing (Continued)</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25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New Notes or the guarantees of the New Notes;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merge, consolidate, or sell, trainer or otherwise dispose of all or substantially all of the Company's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New Notes to be declared due and payable.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On July 23, 2015, the Company entered into a new $425.0 million seven year term loan (the "New Term Loan") and new $150.0 million five year revolving credit facility (the "New Revolving Credit Facility" and, together with the New Term Loan, the "New Credit Facility"). Also on July 23, 2015, the Company incurred $40.0 million of borrowings under the New Revolving Credit Facility. The following is a summary of the terms of the New Credit Facility.</w:t>
      </w:r>
    </w:p>
    <w:p>
      <w:pPr>
        <w:spacing w:after="0" w:line="161" w:lineRule="exact"/>
        <w:rPr>
          <w:sz w:val="20"/>
          <w:szCs w:val="20"/>
          <w:color w:val="auto"/>
        </w:rPr>
      </w:pPr>
    </w:p>
    <w:p>
      <w:pPr>
        <w:jc w:val="both"/>
        <w:ind w:firstLine="348"/>
        <w:spacing w:after="0" w:line="255" w:lineRule="auto"/>
        <w:rPr>
          <w:sz w:val="20"/>
          <w:szCs w:val="20"/>
          <w:color w:val="auto"/>
        </w:rPr>
      </w:pPr>
      <w:r>
        <w:rPr>
          <w:rFonts w:ascii="Arial" w:cs="Arial" w:eastAsia="Arial" w:hAnsi="Arial"/>
          <w:sz w:val="18"/>
          <w:szCs w:val="18"/>
          <w:color w:val="auto"/>
        </w:rPr>
        <w:t>The New Term Loan will bear interest at a rate per annum of, at the Company's option, either (x) LIBOR plus 3.25%, with a LIBOR floor of 1.0%, or (y) a base rate plus 2.25%, and will have an issue price of 99.5% of the principal amount of the New Term Loan. The New Revolving Credit Facility will bear interest at a rate per annum of, at the Company's option, either (x) LIBOR plus a spread ranging from 2.5% to 3.25% or (y) a base rate plus a spread ranging from 1.5% to 2.25%, in each case with the spread determined based on the Company's total leverage ratio. Additionally, the Company is subject to fees on the unused portion of the New Revolving Credit Facility.</w:t>
      </w:r>
    </w:p>
    <w:p>
      <w:pPr>
        <w:spacing w:after="0" w:line="19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New Credit Facility is secured by substantially all of the Company's personal property assets and substantially all personal property assets of each subsidiary that guaranties the New Credit Facility (other than certain subsidiary guarantors designated as immaterial or restricted subsidiaries) (the "New Credit Facility Guarantors"), whether owned on the closing date of the New Credit Facility or thereafter acquired, and mortgages on the real property and improvements owned or leased us or the New Credit Facility Guarantors. The New Credit Facility is also secured by a pledge of all of the equity owned by us and the New Credit Facility Guarantors (subject to certain gaming law restrictions). The credit agreement governing the New Credit Facility contains a number of customary covenants that, among other things, restrict, subject to certain exceptions, the Company's ability and the ability of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Pending Acquisitions and Refinancing (Continued)</w:t>
      </w:r>
    </w:p>
    <w:p>
      <w:pPr>
        <w:spacing w:after="0" w:line="231"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New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139"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credit agreement governing the New Credit Facility also includes requirements that the Company maintains a maximum total leverage ratio and a minimum interest coverage ratio (adjusting over time). From the closing date through December 31, 2015, the Company is required to maintain a maximum total leverage ratio of 6.75 to 1.00 and a minimum interest coverage ratio of 2.50 to 1.00, from January 1, 2016 through December 31, 2017, a maximum total leverage ratio of 6.00 to 1.00 and from January 1, 2016 through December 31, 2016, a minimum interest coverage ratio of 2.75 to 1.00 and, from January 1, 2018 and thereafter, a maximum total leverage ratio of 5.00 to 1.00 and from January 1, 2017 and thereafter, a minimum interest coverage ratio of 3.00 to 1.00, provided that a default of the financial ratio covenants shall only become an event of default under the New Term Loan if the lenders providing the New Revolving Credit Facility take certain affirmative actions after the occurrence of a default of such financial ratio covenants.</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credit agreement governing the New Credit Facility contains a number of customary events of default, including, among others, for the non-payment of principal, interest or other amounts, the inaccuracy of certain representations and warranties, the failure to perform or observe certain covenants, a cross default to other indebtedness including the New Notes, certain events of bankruptcy or insolvency; certain ERISA events, the invalidity of certain loan documents, certain changes of control and the loss of certain classes of licenses to conduct gaming. If any event of default occurs, the lenders under the New Credit Facility would be entitled to take various actions, including accelerating amounts due thereunder and taking all actions permitted to be taken by a secured creditor.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Eldorado Resorts, Inc. ("ERI" or the "Company"), a Nevada corporation, was formed in September 2014 to be the parent company following the merger of wholly owned subsidiaries of the Company into Eldorado HoldCo LLC ("HoldCo"), a Nevada limited liability company formed in 2009 that is the parent company of Eldorado Resorts LLC ("Resorts"), and MTR Gaming Group, Inc. ("MTR Gaming"), a Delaware corporation incorporated in 1988 (the "Merger"). Effective upon the consummation of the Merger on September 19, 2014 (the "Merger Date"), MTR Gaming and HoldCo each became a wholly owned subsidiary of ERI and, as a result of such transactions, Resorts became an indirect wholly owned subsidiary of ERI.</w:t>
      </w:r>
    </w:p>
    <w:p>
      <w:pPr>
        <w:spacing w:after="0" w:line="170"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MTR Gaming is a hospitality and gaming company with racetrack, gaming and hotel properties in West Virginia, Pennsylvania and Ohio. MTR Gaming, through its wholly-owned subsidiaries, owns and operates Mountaineer Casino, Racetrack &amp; Resort in Chester, West Virginia ("Mountaineer"), Presque Isle Downs &amp; Casino in Erie, Pennsylvania ("Presque Isle Downs") and Scioto Downs in Columbus, Ohio. Scioto Downs, through its subsidiary RacelineBet, Inc., also operates Racelinebet.com, a national account wagering service that offers online and telephone wagering on horse races as a marketing affiliate of TwinSpires.com, an affiliate of Churchill Downs, Inc.</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Resorts owns and operates Eldorado Resort Casino Shreveport, a hotel and riverboat gaming complex that includes a 403-room, all suite, art deco-style hotel and a tri-level riverboat dockside casino situated on the Red River in Shreveport, Louisiana ("Eldorado Shreveport") and the Eldorado Hotel and Casino, a premier hotel, casino and entertainment facility in Reno, Nevada ("Eldorado Reno"). Resorts owns the Eldorado Shreveport indirectly through two wholly owned subsidiaries which own 100.0% of the partnership interests in the Eldorado Shreveport Joint Venture, a Louisiana general partnership ("Louisiana Partnership").</w:t>
      </w:r>
    </w:p>
    <w:p>
      <w:pPr>
        <w:spacing w:after="0" w:line="16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Resorts also owns a 48.1% interest in the Circus and Eldorado Joint Venture, LLC (the "Silver Legacy Joint Venture") which owns the Silver Legacy Resort Casino (the "Silver Legacy"), a major, themed hotel/casino connected via a skywalk to the Eldorado Reno. On July 7, 2015, certain of our subsidiaries, Circus Circus Casinos, Inc. and Galleon, Inc., subsidiaries of MGM Resorts International, entered into a purchase and sale agreement (the "Purchase Agreement") with respect to the acquisition of (i) all of the assets and properties of Circus Circus Reno and (ii) the other 50% membership interest in the Silver Legacy Joint Venture owned by Galleon, Inc. (collectively, the "Circus Reno/Silver Legacy Purchase"). ERI has unconditionally guaranteed the purchasers' obligations under the Purchase Agreement. ERI currently has an indirect interest in 48.1% of the interests of the Silver Legacy Joint Venture. In connection with the consummation of the Circus Reno/Silver Legacy Purchase, ERI expects to acquire the 1.9% indirect interest in the Silver Legacy Joint Venture held by ELLC in September 2015. Following the consummation of the foregoing transactions, the Silver Legacy Joint Venture will be a wholly-owned indirect subsidiary of ERI.</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proposed purchase price is $72.5 million, subject to a customary working capital adjustment, and the assumption of amounts outstanding under the Silver Legacy Joint Venture credit facility, of which approximately $82.0 million was outstanding at June 30, 2015. ERI deposited $3.0 million in escrow, which it will surrender in the event the proposed acquisitions fail to close for reasons other than a breach by Circus Circus Casinos, Inc. or Galleon, Inc. The balance of the purchase price will be payable in cash at the closing of the Circus Reno/Silver Legacy Purchase. The Company expects to apply a portion of the proceeds of the sale of its 7% Senior Notes due 2023, proceeds from the sale of common stock, borrowings under the Company's revolving credit facility and cash on hand to pay the purchase price for the Circus Reno/Silver Legacy Purchase. The consummation of the transactions contemplated by the Purchase Agreement is subject to the satisfaction of certain conditions, including</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approval of various gaming authorities. The Circus Reno/Silver Legacy transaction is expected to be consummated by the end of 2015, but there can be no assurance that the proposed acquisition will be consummated or as to the date by which the proposed acquisition will be consummated.</w:t>
      </w:r>
    </w:p>
    <w:p>
      <w:pPr>
        <w:spacing w:after="0" w:line="139"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Resorts also previously owned a 21.3% interest in Tamarack Junction, a small casino in south Reno. On September 1, 2014, and as a condition to closing the Merger, Resorts distributed to HoldCo, and HoldCo subsequently distributed to its members on a pro rata basis, all of Resorts' interest in Tamarack. The distribution resulted in no gain or loss being recognized because the distribution was in the amount of $5.5 million, which was the book value of Tamarack.</w:t>
      </w:r>
    </w:p>
    <w:p>
      <w:pPr>
        <w:spacing w:after="0" w:line="16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ERI, HoldCo and MTR Gaming are collectively referred to as "we," "us," "our" or the "Company." The Merger closed on the "Merger Date" and has been accounted for as a reverse acquisition of MTR Gaming by HoldCo under accounting principles generally accepted in the United States ("US GAAP"). As a result, HoldCo is considered the acquirer of MTR Gaming for accounting purposes. The financial information included in this Item 2 for periods prior to the Merger Date are those of HoldCo and its subsidiaries. The presentation of information herein for periods prior to the Merger Date and after the Merger Date are not fully comparable because the results of operations for MTR Gaming are not included for periods prior to the Merger Date. Summary financial results of MTR Gaming for the three and six months ended June 30, 2014 are included in MTR Gaming's Quarterly Report on Form 10-Q as filed with the Securities and Exchange Commission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Operating Trends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Performance Metrics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operating results are highly dependent on the volume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 rooms per day including the impact of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Impact</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economic downturn and the uneven recovery from the downturn continue to adversely influence consumers' confidence, discretionary spending levels and travel patterns. High unemployment and the record number of home foreclosures experienced in the economic downturn, increased competition and volatility of the economy have had, and continue to have, a significant negative impact on the gaming and tourism industries, and, as a result, our operating performance over the past several years. In response to the impact of the economic downturn, increased competition and other market factors on our business, our management has implemented cost savings measures and will continue to review our operations to look for opportunities to further reduce expenses and maximize cash flows. While there has been some improvement in the economy, we believe the impact of the economic downturn and the continuing uneven recovery may continue to negatively affect our operating results for some period of time. We remain uncertain as to the duration and magnitude of the impact of such factors on our operations and the length and sustainability of the recovery from the economic downturn.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Expansion of Native American Gaming and Regional Gaming</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business has been adversely impacted by the expansion of Native American gaming and the expansion of gaming in our markets, including Ohio. Future growth of Native American and other gaming establishments, including the addition of hotel rooms and other amenities, would place additional competitive pressure on our operations. While we cannot predict the extent of any future impact, it could be significant.</w:t>
      </w:r>
    </w:p>
    <w:p>
      <w:pPr>
        <w:spacing w:after="0" w:line="19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Eldorado Reno. </w:t>
      </w:r>
      <w:r>
        <w:rPr>
          <w:rFonts w:ascii="Arial" w:cs="Arial" w:eastAsia="Arial" w:hAnsi="Arial"/>
          <w:sz w:val="18"/>
          <w:szCs w:val="18"/>
          <w:color w:val="auto"/>
        </w:rPr>
        <w:t>A significant portion of our revenues and operating income are generated from patrons who are residents of northern California, and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our operations have been adversely impacted by the growth in Native American gaming in northern California.</w:t>
      </w:r>
    </w:p>
    <w:p>
      <w:pPr>
        <w:spacing w:after="0" w:line="186"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Many existing Native American gaming facilities in northern California are modest compared to Eldorado Reno. However, a number of Native American tribes have established large-scale gaming facilities in California and some Native American tribes have announced that they are in the process of expanding, developing, or are considering establishing, large-scale hotel and gaming facilities in northern California. As northern California Native American gaming operations have expanded, we believe the increasing competition generated by these gaming operations has had a negative impact, principally on drive-in, day-trip visitor traffic from our main feeder markets in northern California. A 320,000 square foot gaming facility located in Sonoma County, California opened on November 5, 2013.</w:t>
      </w:r>
    </w:p>
    <w:p>
      <w:pPr>
        <w:spacing w:after="0" w:line="198"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Under their current compacts, most Native American tribes in California may operate up to 2,000 slot machines and up to two gaming facilities on any one reservation. However, under action taken by the National Indian Gaming Commission, gaming devices similar in appearance to slot machines, but which are deemed to be technological enhancements to bingo style gaming, are not subject to such limits and may be used by tribes without state permission. The number of slot machines the tribes may be allowed to operate could increase as a result of any new or amended compacts the tribes may enter into with the State of California that receive the requisite approvals. Such increases have occurred with respect to a number of new or amended compacts which have been executed and approved.</w:t>
      </w:r>
    </w:p>
    <w:p>
      <w:pPr>
        <w:spacing w:after="0" w:line="198"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b w:val="1"/>
          <w:bCs w:val="1"/>
          <w:i w:val="1"/>
          <w:iCs w:val="1"/>
          <w:color w:val="auto"/>
        </w:rPr>
        <w:t xml:space="preserve">Eldorado Shreveport. </w:t>
      </w:r>
      <w:r>
        <w:rPr>
          <w:rFonts w:ascii="Arial" w:cs="Arial" w:eastAsia="Arial" w:hAnsi="Arial"/>
          <w:sz w:val="16"/>
          <w:szCs w:val="16"/>
          <w:color w:val="auto"/>
        </w:rPr>
        <w:t>Casino gaming is currently prohibited in several jurisdictions from which the Shreveport/Bossier City market draws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Texas. Although casino gaming is currently not permitted in Texas, the Texas legislature has from time to time considered proposals to authorize casino gaming and there can be no assurance that casino gaming will not be approved in Texas in the future, which would have a material adverse effect on our business. Eldorado Shreveport competes with several Native American casinos located in Oklahoma, certain of which are located near our core Texas markets. Because we draw a significant amount of our customers from the Dallas/Fort Worth area, but are located approximately 190 miles from that area, we believe we will continue to face increased competition from gaming operations in Oklahoma, including the WinStar and Choctaw casinos, and would face significant competition that may have a material adverse effect on our business and results of operations if casino gaming is approved in Texas. In June 2013, construction was completed on a 30,000 square foot casino and 400-room hotel in Bossier City across the Red River from Eldorado Shreveport. The facility, which also includes several restaurants and a 1,000-seat entertainment arena, received final approval from the Louisiana Gaming Control Board and opened on June 15, 2013. In December 2014, a new luxury, land-based casino with 1,600 slot machines, 72 gaming tables, a poker room, and a 740-room hotel with a ballroom and spa, opened in Lake Charles, Louisiana approximately 200 miles south of Eldorado Shreveport, but closer to the Houston, Texas market.</w:t>
      </w:r>
    </w:p>
    <w:p>
      <w:pPr>
        <w:spacing w:after="0" w:line="18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MTR Gaming. </w:t>
      </w:r>
      <w:r>
        <w:rPr>
          <w:rFonts w:ascii="Arial" w:cs="Arial" w:eastAsia="Arial" w:hAnsi="Arial"/>
          <w:sz w:val="18"/>
          <w:szCs w:val="18"/>
          <w:color w:val="auto"/>
        </w:rPr>
        <w:t>The MTR Gaming properties experience varying competitive pressures, from casinos in western Pennsylvania, western New York, northern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West Virginia and eastern Ohio. We believe the expansion of gaming in Ohio, which includes casinos that opened in Cleveland in May 2012 and Columbus in October 2012 and additional casinos in Cincinnati and Toledo, as well as the installation of VLTs at existing horse race tracks near Cleveland, one of which opened in April 2013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and the other in December 2013 and the relocation of a racetrack to Austintown, Ohio, which opened in September 2014, have had and will continue to have a negative impact on our results of operations at all our properties and such impact may be material. In order to sustain our market share in the increased competitive environment, we continuously reevaluate our advertising strategies and promotional offers to our guests to ensure our reinvestment levels reflect the appropriate level of offerings to sustain our margins.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Bowling Tournaments in the Reno Market</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National Bowling Stadium, located one block from Eldorado Reno, is one of the largest bowling complexes in North America and has been selected to host multi-month tournaments in Reno every year through 2018 except for 2017. It has also been selected to host ten United States Bowling Congress ("USBC") tournaments from 2019 through 2026. During this period, two of the ten USBC Tournaments may be held in the same year. Through a one-time agreement, the National Bowling Stadium hosted the USBC Open Tournament in Reno in 2014; usually an off-year for Reno. Historically, these multi-month bowling tournaments have attracted a significant number of visitors to the Reno market and have benefited business in the downtown area, including Eldorado Reno. The USBC Tournaments returned to Reno in 2014 and brought approximately 62,000 bowlers to the Reno area during the 2014 tournament period which began on February 28th and continued through July 12th. The USBC Tournament attracted approximately 15,600 women bowlers to the Reno market from March to July in 2015.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On August 26, 2014, the Board of Health of Hancock County, West Virginia adopted and approved the Clean Air Regulation Act of 2014 ("Regulation"), which became effective July 1, 2015. The Regulation, bans smoking in public places in Hancock County including at Mountaineer. To comply with the Regulation upon its effective date, Mountaineer built a 9,800 square foot smoking pavilion with 210 slot machines and six table games which opened on July 1, 2015. Notwithstanding our efforts to mitigate the impact of the smoking ban, we expect that the Regulation will have a negative impact on our business and results of operations at Mountaineer, and such impact may be material.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2015 Compared to the Three Months Ended June 30,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8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1"/>
        </w:trPr>
        <w:tc>
          <w:tcPr>
            <w:tcW w:w="5220" w:type="dxa"/>
            <w:vAlign w:val="bottom"/>
          </w:tcPr>
          <w:p>
            <w:pPr>
              <w:spacing w:after="0"/>
              <w:rPr>
                <w:sz w:val="14"/>
                <w:szCs w:val="14"/>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Percent</w:t>
            </w:r>
          </w:p>
        </w:tc>
      </w:tr>
      <w:tr>
        <w:trPr>
          <w:trHeight w:val="142"/>
        </w:trPr>
        <w:tc>
          <w:tcPr>
            <w:tcW w:w="5220" w:type="dxa"/>
            <w:vAlign w:val="bottom"/>
          </w:tcPr>
          <w:p>
            <w:pPr>
              <w:spacing w:after="0"/>
              <w:rPr>
                <w:sz w:val="12"/>
                <w:szCs w:val="12"/>
                <w:color w:val="auto"/>
              </w:rPr>
            </w:pPr>
          </w:p>
        </w:tc>
        <w:tc>
          <w:tcPr>
            <w:tcW w:w="80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Change</w:t>
            </w:r>
          </w:p>
        </w:tc>
        <w:tc>
          <w:tcPr>
            <w:tcW w:w="340" w:type="dxa"/>
            <w:vAlign w:val="bottom"/>
          </w:tcPr>
          <w:p>
            <w:pPr>
              <w:spacing w:after="0"/>
              <w:rPr>
                <w:sz w:val="12"/>
                <w:szCs w:val="12"/>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182,633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61,749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195.8%</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Operating expenses</w:t>
            </w:r>
          </w:p>
        </w:tc>
        <w:tc>
          <w:tcPr>
            <w:tcW w:w="800" w:type="dxa"/>
            <w:vAlign w:val="bottom"/>
          </w:tcPr>
          <w:p>
            <w:pPr>
              <w:jc w:val="right"/>
              <w:spacing w:after="0"/>
              <w:rPr>
                <w:sz w:val="20"/>
                <w:szCs w:val="20"/>
                <w:color w:val="auto"/>
              </w:rPr>
            </w:pPr>
            <w:r>
              <w:rPr>
                <w:rFonts w:ascii="Arial" w:cs="Arial" w:eastAsia="Arial" w:hAnsi="Arial"/>
                <w:sz w:val="18"/>
                <w:szCs w:val="18"/>
                <w:color w:val="auto"/>
              </w:rPr>
              <w:t>160,430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56,054</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186.2%</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of unconsolidated affiliates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Operating income</w:t>
            </w:r>
          </w:p>
        </w:tc>
        <w:tc>
          <w:tcPr>
            <w:tcW w:w="800" w:type="dxa"/>
            <w:vAlign w:val="bottom"/>
          </w:tcPr>
          <w:p>
            <w:pPr>
              <w:jc w:val="right"/>
              <w:spacing w:after="0"/>
              <w:rPr>
                <w:sz w:val="20"/>
                <w:szCs w:val="20"/>
                <w:color w:val="auto"/>
              </w:rPr>
            </w:pPr>
            <w:r>
              <w:rPr>
                <w:rFonts w:ascii="Arial" w:cs="Arial" w:eastAsia="Arial" w:hAnsi="Arial"/>
                <w:sz w:val="18"/>
                <w:szCs w:val="18"/>
                <w:color w:val="auto"/>
              </w:rPr>
              <w:t>23,059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6,775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240.4%</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w:t>
            </w:r>
          </w:p>
        </w:tc>
      </w:tr>
    </w:tbl>
    <w:p>
      <w:pPr>
        <w:spacing w:after="0" w:line="20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Net Operating Revenues. </w:t>
      </w:r>
      <w:r>
        <w:rPr>
          <w:rFonts w:ascii="Arial" w:cs="Arial" w:eastAsia="Arial" w:hAnsi="Arial"/>
          <w:sz w:val="18"/>
          <w:szCs w:val="18"/>
          <w:color w:val="auto"/>
        </w:rPr>
        <w:t>MTR Gaming contributed $120.8 million of net operating revenues for the three months ended June 30, 2015,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casino revenues. Including the incremental MTR Gaming revenues, net operating revenues increased 195.8% for the three months ended June 30, 2015 compared to the same prior year period. Excluding incremental MTR Gaming revenues, consolidated net operating revenues increased $0.1 million for the three months ended</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June 30, 2015 compared to the same prior year period primarily due to increased net revenues at Eldorado Shreveport partially offset by declines in net revenues at Eldorado Reno.</w:t>
      </w:r>
    </w:p>
    <w:p>
      <w:pPr>
        <w:spacing w:after="0" w:line="18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i w:val="1"/>
          <w:iCs w:val="1"/>
          <w:color w:val="auto"/>
        </w:rPr>
        <w:t xml:space="preserve">Equity in Income of Unconsolidated Affiliates. </w:t>
      </w:r>
      <w:r>
        <w:rPr>
          <w:rFonts w:ascii="Arial" w:cs="Arial" w:eastAsia="Arial" w:hAnsi="Arial"/>
          <w:sz w:val="18"/>
          <w:szCs w:val="18"/>
          <w:color w:val="auto"/>
        </w:rPr>
        <w:t>Income from our unconsolidated affiliates, the Silver Legacy Joint Venture and our former unconsolidated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Tamarack, decreased $1.1 million for the three months ended June 30, 2015 compared to the same prior year period. Resorts' interest in Tamarack was disposed of on September 1, 2014.</w:t>
      </w:r>
    </w:p>
    <w:p>
      <w:pPr>
        <w:spacing w:after="0" w:line="194" w:lineRule="exact"/>
        <w:rPr>
          <w:sz w:val="20"/>
          <w:szCs w:val="20"/>
          <w:color w:val="auto"/>
        </w:rPr>
      </w:pPr>
    </w:p>
    <w:p>
      <w:pPr>
        <w:ind w:left="360"/>
        <w:spacing w:after="0"/>
        <w:tabs>
          <w:tab w:leader="none" w:pos="3000" w:val="left"/>
        </w:tabs>
        <w:rPr>
          <w:sz w:val="20"/>
          <w:szCs w:val="20"/>
          <w:color w:val="auto"/>
        </w:rPr>
      </w:pPr>
      <w:r>
        <w:rPr>
          <w:rFonts w:ascii="Arial" w:cs="Arial" w:eastAsia="Arial" w:hAnsi="Arial"/>
          <w:sz w:val="18"/>
          <w:szCs w:val="18"/>
          <w:i w:val="1"/>
          <w:iCs w:val="1"/>
          <w:color w:val="auto"/>
        </w:rPr>
        <w:t>Operating Income and Net Income.</w:t>
      </w:r>
      <w:r>
        <w:rPr>
          <w:sz w:val="20"/>
          <w:szCs w:val="20"/>
          <w:color w:val="auto"/>
        </w:rPr>
        <w:tab/>
      </w:r>
      <w:r>
        <w:rPr>
          <w:rFonts w:ascii="Arial" w:cs="Arial" w:eastAsia="Arial" w:hAnsi="Arial"/>
          <w:sz w:val="15"/>
          <w:szCs w:val="15"/>
          <w:color w:val="auto"/>
        </w:rPr>
        <w:t>Consolidated operating income and net income includes operating income and net income of $14.0 million and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$5.7 million, respectively, attributable to MTR Gaming for the three months ended June 30, 2015. Excluding operating income attributable to MTR Gaming,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operating income was $9.1 million and net loss was $0.9 million during the three months ended June 30, 2015. Consolidated operating income,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excluding operating income attributable to MTR Gaming, included of incremental corporate costs offset by decreased acquisition charges, a decline in equity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of unconsolidated affiliates, lower depreciation and improved operating margins at both Eldorado Reno and Eldorado Shreveport. Excluding net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MTR Gaming, the decrease in net income is primarily attributable to the provision for income taxes.</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highlights our sources of net operating revenues (dollars in thousands):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0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   16,688</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17,905</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31,801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108,299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Pari-mutuel commissions—MTR Gaming</w:t>
            </w:r>
          </w:p>
        </w:tc>
        <w:tc>
          <w:tcPr>
            <w:tcW w:w="10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3,056</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0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8,401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8,806</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Arial" w:cs="Arial" w:eastAsia="Arial" w:hAnsi="Arial"/>
                <w:sz w:val="18"/>
                <w:szCs w:val="18"/>
                <w:color w:val="auto"/>
              </w:rPr>
              <w:t>Hotel:</w:t>
            </w:r>
          </w:p>
        </w:tc>
        <w:tc>
          <w:tcPr>
            <w:tcW w:w="10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4,858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2,223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2,141</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8,444</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7,305</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1,373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1,372</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Arial" w:cs="Arial" w:eastAsia="Arial" w:hAnsi="Arial"/>
                <w:sz w:val="18"/>
                <w:szCs w:val="18"/>
                <w:color w:val="auto"/>
              </w:rPr>
              <w:t>Promotional allowances:</w:t>
            </w:r>
          </w:p>
        </w:tc>
        <w:tc>
          <w:tcPr>
            <w:tcW w:w="10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(4,114)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(6,524)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(6,598)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(15,723)</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(10,976)</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i w:val="1"/>
          <w:iCs w:val="1"/>
          <w:color w:val="auto"/>
        </w:rPr>
        <w:t xml:space="preserve">Casino Revenues. </w:t>
      </w:r>
      <w:r>
        <w:rPr>
          <w:rFonts w:ascii="Arial" w:cs="Arial" w:eastAsia="Arial" w:hAnsi="Arial"/>
          <w:sz w:val="18"/>
          <w:szCs w:val="18"/>
          <w:color w:val="auto"/>
        </w:rPr>
        <w:t>MTR Gaming contributed $108.3 million of casino revenues for the three months ended June 30, 2015 consisting of net win from slot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table games and poker. As a result, consolidated casino revenues increased 225.6% for the three months ended June 30, 2015 compared to the same prior year period.</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Consolidated casino revenues, excluding MTR Gaming casino revenues, increased 0.7% for the three months ended June 30, 2015 compared to the same prior year period. Despite severe weather and flooding in the Shreveport area, Eldorado Shreveport experienced a 5.1% increase in casino revenues for the three months ended June 30, 2015 compared to the same prior year period primarily due to growth in slot revenues, and to a lesser extent, increased table games revenues. Eldorado Shreveport benefited from a successful casino event along with strategic revisions to the property's casino marketing programs. Casino revenues fell 6.8% at Eldorado Reno mainly due to the decline in bowlers associated with the aforementioned tournament schedule which negatively impacted visitor traffic to the Reno market in comparison to the same prior year period.</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2380" w:val="left"/>
        </w:tabs>
        <w:rPr>
          <w:sz w:val="20"/>
          <w:szCs w:val="20"/>
          <w:color w:val="auto"/>
        </w:rPr>
      </w:pPr>
      <w:r>
        <w:rPr>
          <w:rFonts w:ascii="Arial" w:cs="Arial" w:eastAsia="Arial" w:hAnsi="Arial"/>
          <w:sz w:val="18"/>
          <w:szCs w:val="18"/>
          <w:i w:val="1"/>
          <w:iCs w:val="1"/>
          <w:color w:val="auto"/>
        </w:rPr>
        <w:t>Pari-mutuel Commissions.</w:t>
      </w:r>
      <w:r>
        <w:rPr>
          <w:sz w:val="20"/>
          <w:szCs w:val="20"/>
          <w:color w:val="auto"/>
        </w:rPr>
        <w:tab/>
      </w:r>
      <w:r>
        <w:rPr>
          <w:rFonts w:ascii="Arial" w:cs="Arial" w:eastAsia="Arial" w:hAnsi="Arial"/>
          <w:sz w:val="16"/>
          <w:szCs w:val="16"/>
          <w:color w:val="auto"/>
        </w:rPr>
        <w:t>MTR Gaming contributed $3.1 million of pari-mutuel commissions for the three months ended June 30, 2015.</w:t>
      </w:r>
    </w:p>
    <w:p>
      <w:pPr>
        <w:spacing w:after="0" w:line="225"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i w:val="1"/>
          <w:iCs w:val="1"/>
          <w:color w:val="auto"/>
        </w:rPr>
        <w:t xml:space="preserve">Food and Beverage Revenues. </w:t>
      </w:r>
      <w:r>
        <w:rPr>
          <w:rFonts w:ascii="Arial" w:cs="Arial" w:eastAsia="Arial" w:hAnsi="Arial"/>
          <w:sz w:val="16"/>
          <w:szCs w:val="16"/>
          <w:color w:val="auto"/>
        </w:rPr>
        <w:t>MTR Gaming contributed $8.8 million of food and beverage revenues for the three months ended June 30, 2015.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consolidated food and beverage revenues increased 56.4% for the three months ended June 30, 2015 compared to the same prior year period.</w:t>
      </w:r>
    </w:p>
    <w:p>
      <w:pPr>
        <w:spacing w:after="0" w:line="13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Consolidated food and beverage revenues, excluding MTR Gaming food and beverage revenues, decreased 2.1% for the three months ended June 30, 2015 compared to the same prior year period. Food and beverage revenues decreased 4.6% at Eldorado Reno mainly due to decreased customer counts in the property's high volume restaurants in conjunction with the decline in bowlers in the Reno market. This decline was partially offset by growth in the average check price as a result of selective price increases. Food and beverage revenues increased 1.4% at Eldorado Shreveport for the three months ended June 30, 2015 compared to the same prior year period due to higher revenues associated with increased visitation and selective price increases.</w:t>
      </w:r>
    </w:p>
    <w:p>
      <w:pPr>
        <w:spacing w:after="0" w:line="170"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i w:val="1"/>
          <w:iCs w:val="1"/>
          <w:color w:val="auto"/>
        </w:rPr>
        <w:t xml:space="preserve">Hotel Revenues. </w:t>
      </w:r>
      <w:r>
        <w:rPr>
          <w:rFonts w:ascii="Arial" w:cs="Arial" w:eastAsia="Arial" w:hAnsi="Arial"/>
          <w:sz w:val="18"/>
          <w:szCs w:val="18"/>
          <w:color w:val="auto"/>
        </w:rPr>
        <w:t>MTR Gaming contributed $1.4 million of hotel revenues for the three months ended June 30, 2015. As a result, consolidated hotel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increased 15.6% for the three months ended June 30, 2015 compared to the same prior period.</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Consolidated hotel revenues, excluding MTR Gaming hotel revenues, decreased 3.1% for the three months ended June 30, 2015 compared to the same prior year period. Hotel revenues at Eldorado Reno declined 5.9% primarily due to a decrease in hotel occupancy from 91.1% for the three months ended June 30, 2014 to 84.1% for the three months ended June 30, 2015. This decrease in revenues was partially offset by an increase in the ADR from $74.79 for the three months ended June 30, 2014 to $76.14 for the three months ended June 30, 2015 resulting from an increase in the resort fee along with efforts to effectively yield hotel room rates. Hotel revenues at Eldorado Shreveport increased 3.8% due to higher hotel occupancy along with an increase in the ADR. Eldorado Shreveport's ADR and occupancy increased to $64.41 and 94.1%, respectively, for the three months ended June 30, 2015 from $64.16 and 91.0%, respectively, for the three months ended June 30, 2014.</w:t>
      </w:r>
    </w:p>
    <w:p>
      <w:pPr>
        <w:spacing w:after="0" w:line="17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Other revenues are comprised of revenues generated by our retail outlets, entertainment venues and other miscellaneous items. MTR</w:t>
      </w:r>
      <w:r>
        <w:rPr>
          <w:rFonts w:ascii="Arial" w:cs="Arial" w:eastAsia="Arial" w:hAnsi="Arial"/>
          <w:sz w:val="18"/>
          <w:szCs w:val="18"/>
          <w:i w:val="1"/>
          <w:iCs w:val="1"/>
          <w:color w:val="auto"/>
        </w:rPr>
        <w:t xml:space="preserve"> </w:t>
      </w:r>
      <w:r>
        <w:rPr>
          <w:rFonts w:ascii="Arial" w:cs="Arial" w:eastAsia="Arial" w:hAnsi="Arial"/>
          <w:sz w:val="18"/>
          <w:szCs w:val="18"/>
          <w:color w:val="auto"/>
        </w:rPr>
        <w:t>Gaming contributed $4.4 million of other revenues for the three months ended June 30, 2015. As a result, consolidated other revenues increased 193.6% for the three months ended June 30, 2015 compared to the same prior year period.</w:t>
      </w:r>
    </w:p>
    <w:p>
      <w:pPr>
        <w:spacing w:after="0" w:line="194" w:lineRule="exact"/>
        <w:rPr>
          <w:sz w:val="20"/>
          <w:szCs w:val="20"/>
          <w:color w:val="auto"/>
        </w:rPr>
      </w:pPr>
    </w:p>
    <w:p>
      <w:pPr>
        <w:jc w:val="both"/>
        <w:ind w:right="20" w:firstLine="351"/>
        <w:spacing w:after="0" w:line="298" w:lineRule="auto"/>
        <w:rPr>
          <w:sz w:val="20"/>
          <w:szCs w:val="20"/>
          <w:color w:val="auto"/>
        </w:rPr>
      </w:pPr>
      <w:r>
        <w:rPr>
          <w:rFonts w:ascii="Arial" w:cs="Arial" w:eastAsia="Arial" w:hAnsi="Arial"/>
          <w:sz w:val="16"/>
          <w:szCs w:val="16"/>
          <w:color w:val="auto"/>
        </w:rPr>
        <w:t>Consolidated other revenues, excluding MTR Gaming other revenues, decreased 1.8% for the three months ended June 30, 2015 compared to the same prior year period. Other revenues at Eldorado Reno remained relatively flat during the three months ended June 30, 2015 compared to the same prior year period. Other revenues decreased 4.7% at Eldorado Shreveport during the three months ended June 30, 2015 compared to the same prior year period due to lower retail and spa sales which were partially offset by higher ATM commission revenues.</w:t>
      </w:r>
    </w:p>
    <w:p>
      <w:pPr>
        <w:spacing w:after="0" w:line="16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i w:val="1"/>
          <w:iCs w:val="1"/>
          <w:color w:val="auto"/>
        </w:rPr>
        <w:t xml:space="preserve">Promotional Allowances. </w:t>
      </w:r>
      <w:r>
        <w:rPr>
          <w:rFonts w:ascii="Arial" w:cs="Arial" w:eastAsia="Arial" w:hAnsi="Arial"/>
          <w:sz w:val="16"/>
          <w:szCs w:val="16"/>
          <w:color w:val="auto"/>
        </w:rPr>
        <w:t>Consolidated promotional allowances, expressed as a percentage of casino revenues, decreased to 10.0%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2015 compared to 22.8% for the same prior year period; however, total consolidated promotional allowances increased 43.2%. MTR Gaming's promotional allowances represented 4.7% of its casino revenues for the three months ended June 30, 2015. Promotional allowances at Eldorado Reno decreased 6.0% for the three months ended June 30, 2015 compared to the same prior year period in conjunction with the decline in revenues. Promotional allowances decreased 1.1% for the three months ended June 30, 2015 compared to the same prior year period at Eldorado Shreveport despite the increase in casino revenues due to efforts to reduce promotional costs. Management actively reviews the effectiveness of its promotions and direct mail programs to expand successful promotions while eliminating or reducing less profitable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promotions. Promotional activities reflect our efforts to maintain ERI's share of the gaming markets in which it operates in an effort to mitigate the impact of increasing competition.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highlights our operating expenses (dollars in thousands):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7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Three Months Ended</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80" w:type="dxa"/>
            <w:vAlign w:val="bottom"/>
          </w:tcPr>
          <w:p>
            <w:pPr>
              <w:spacing w:after="0"/>
              <w:rPr>
                <w:sz w:val="14"/>
                <w:szCs w:val="14"/>
                <w:color w:val="auto"/>
              </w:rPr>
            </w:pPr>
          </w:p>
        </w:tc>
        <w:tc>
          <w:tcPr>
            <w:tcW w:w="106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4"/>
                <w:szCs w:val="14"/>
                <w:b w:val="1"/>
                <w:bCs w:val="1"/>
                <w:color w:val="auto"/>
                <w:w w:val="85"/>
              </w:rPr>
              <w:t>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70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700" w:type="dxa"/>
            <w:vAlign w:val="bottom"/>
          </w:tcPr>
          <w:p>
            <w:pPr>
              <w:jc w:val="right"/>
              <w:spacing w:after="0"/>
              <w:rPr>
                <w:sz w:val="20"/>
                <w:szCs w:val="20"/>
                <w:color w:val="auto"/>
              </w:rPr>
            </w:pPr>
            <w:r>
              <w:rPr>
                <w:rFonts w:ascii="Arial" w:cs="Arial" w:eastAsia="Arial" w:hAnsi="Arial"/>
                <w:sz w:val="18"/>
                <w:szCs w:val="18"/>
                <w:color w:val="auto"/>
                <w:w w:val="96"/>
              </w:rPr>
              <w:t>$   7,099</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7,519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17,790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700" w:type="dxa"/>
            <w:vAlign w:val="bottom"/>
          </w:tcPr>
          <w:p>
            <w:pPr>
              <w:jc w:val="right"/>
              <w:spacing w:after="0"/>
              <w:rPr>
                <w:sz w:val="20"/>
                <w:szCs w:val="20"/>
                <w:color w:val="auto"/>
              </w:rPr>
            </w:pPr>
            <w:r>
              <w:rPr>
                <w:rFonts w:ascii="Arial" w:cs="Arial" w:eastAsia="Arial" w:hAnsi="Arial"/>
                <w:sz w:val="18"/>
                <w:szCs w:val="18"/>
                <w:color w:val="auto"/>
              </w:rPr>
              <w:t>66,520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25,309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Pari-mutuel commissions—MTR Gaming</w:t>
            </w: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700" w:type="dxa"/>
            <w:vAlign w:val="bottom"/>
          </w:tcPr>
          <w:p>
            <w:pPr>
              <w:jc w:val="right"/>
              <w:spacing w:after="0"/>
              <w:rPr>
                <w:sz w:val="20"/>
                <w:szCs w:val="20"/>
                <w:color w:val="auto"/>
              </w:rPr>
            </w:pPr>
            <w:r>
              <w:rPr>
                <w:rFonts w:ascii="Arial" w:cs="Arial" w:eastAsia="Arial" w:hAnsi="Arial"/>
                <w:sz w:val="18"/>
                <w:szCs w:val="18"/>
                <w:color w:val="auto"/>
              </w:rPr>
              <w:t>5,394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6,024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700" w:type="dxa"/>
            <w:vAlign w:val="bottom"/>
          </w:tcPr>
          <w:p>
            <w:pPr>
              <w:jc w:val="right"/>
              <w:spacing w:after="0"/>
              <w:rPr>
                <w:sz w:val="20"/>
                <w:szCs w:val="20"/>
                <w:color w:val="auto"/>
              </w:rPr>
            </w:pPr>
            <w:r>
              <w:rPr>
                <w:rFonts w:ascii="Arial" w:cs="Arial" w:eastAsia="Arial" w:hAnsi="Arial"/>
                <w:sz w:val="18"/>
                <w:szCs w:val="18"/>
                <w:color w:val="auto"/>
              </w:rPr>
              <w:t>5,245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8"/>
                <w:szCs w:val="18"/>
                <w:color w:val="auto"/>
              </w:rPr>
              <w:t>Hotel:</w:t>
            </w: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Reno</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Eldorado Shreveport</w:t>
            </w:r>
          </w:p>
        </w:tc>
        <w:tc>
          <w:tcPr>
            <w:tcW w:w="70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MTR Gaming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1,914</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700" w:type="dxa"/>
            <w:vAlign w:val="bottom"/>
          </w:tcPr>
          <w:p>
            <w:pPr>
              <w:jc w:val="right"/>
              <w:spacing w:after="0"/>
              <w:rPr>
                <w:sz w:val="20"/>
                <w:szCs w:val="20"/>
                <w:color w:val="auto"/>
              </w:rPr>
            </w:pPr>
            <w:r>
              <w:rPr>
                <w:rFonts w:ascii="Arial" w:cs="Arial" w:eastAsia="Arial" w:hAnsi="Arial"/>
                <w:sz w:val="18"/>
                <w:szCs w:val="18"/>
                <w:color w:val="auto"/>
              </w:rPr>
              <w:t>1,429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1,396</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700" w:type="dxa"/>
            <w:vAlign w:val="bottom"/>
          </w:tcPr>
          <w:p>
            <w:pPr>
              <w:jc w:val="right"/>
              <w:spacing w:after="0"/>
              <w:rPr>
                <w:sz w:val="20"/>
                <w:szCs w:val="20"/>
                <w:color w:val="auto"/>
              </w:rPr>
            </w:pPr>
            <w:r>
              <w:rPr>
                <w:rFonts w:ascii="Arial" w:cs="Arial" w:eastAsia="Arial" w:hAnsi="Arial"/>
                <w:sz w:val="18"/>
                <w:szCs w:val="18"/>
                <w:color w:val="auto"/>
              </w:rPr>
              <w:t>1,760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Marketing and promotions</w:t>
            </w: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4,747</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10,668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Management fee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4,086</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Casino Expenses. </w:t>
      </w:r>
      <w:r>
        <w:rPr>
          <w:rFonts w:ascii="Arial" w:cs="Arial" w:eastAsia="Arial" w:hAnsi="Arial"/>
          <w:sz w:val="18"/>
          <w:szCs w:val="18"/>
          <w:color w:val="auto"/>
        </w:rPr>
        <w:t>MTR Gaming incurred $66.5 million of casino expenses for the three months ended June 30, 2015. As a result, consolidated casino</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increased 259.8% for the three months ended June 30, 2015 compared to the same prior year period.</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Casino expenses, excluding MTR Gaming casino expenses, decreased 3.0% during the three months ended June 30, 2015 compared to the same prior year period. Casino expenses at Eldorado Reno decreased 5.6% for the three months ended June 30, 2015 compared to the same prior year period primarily reflecting the decrease in departmental variable costs, including payroll and gaming taxes, associated with the decrease in the revenues along with decreased casino marketing expenditures. Casino expenses at Eldorado Shreveport decreased 1.9% during the three months ended June 30, 2015 compared to the same prior year period primarily due to lower departmental payroll, promotional costs, bad debt expense and other variable costs resulting from efforts to control variable costs. These declines were partially offset by higher gaming taxes associated with increased casino revenues and increased group health insurance costs resulting from higher medical claims during the current period.</w:t>
      </w:r>
    </w:p>
    <w:p>
      <w:pPr>
        <w:spacing w:after="0" w:line="1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Pari-mutuel Expense.</w:t>
      </w:r>
      <w:r>
        <w:rPr>
          <w:sz w:val="20"/>
          <w:szCs w:val="20"/>
          <w:color w:val="auto"/>
        </w:rPr>
        <w:tab/>
      </w:r>
      <w:r>
        <w:rPr>
          <w:rFonts w:ascii="Arial" w:cs="Arial" w:eastAsia="Arial" w:hAnsi="Arial"/>
          <w:sz w:val="16"/>
          <w:szCs w:val="16"/>
          <w:color w:val="auto"/>
        </w:rPr>
        <w:t>MTR Gaming incurred $3.1 million of pari-mutuel expense for the three months ended June 30, 2015.</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i w:val="1"/>
          <w:iCs w:val="1"/>
          <w:color w:val="auto"/>
        </w:rPr>
        <w:t xml:space="preserve">Food and Beverage Expenses. </w:t>
      </w:r>
      <w:r>
        <w:rPr>
          <w:rFonts w:ascii="Arial" w:cs="Arial" w:eastAsia="Arial" w:hAnsi="Arial"/>
          <w:sz w:val="16"/>
          <w:szCs w:val="16"/>
          <w:color w:val="auto"/>
        </w:rPr>
        <w:t>MTR Gaming incurred $5.2 million of food and beverage expenses for the three months ended June 30, 2015.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food and beverage expenses increased 62.1% for the three months ended June 30, 2015 compared to the same prior period.</w:t>
      </w:r>
    </w:p>
    <w:p>
      <w:pPr>
        <w:spacing w:after="0" w:line="13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Food and beverage expenses, excluding MTR Gaming food and beverage expenses, decreased 8.8% for the three months ended June 30, 2015 compared to the same prior year period. Eldorado Reno's food and beverage expenses decreased 10.5% during the current period due to lower cost of sales combined with lower payroll expenditures associated with lower customer counts. Despite a 1.4% increase in food and beverage revenues, food and beverage expenses decreased 1.4% at Eldorado Shreveport for the three months ended June 30, 2015 compared to the same prior year period. Food and beverage cost of sales, as a percentage of associated revenues, both declined during the three months ended June 30, 2015 compared to the same prior year period due to the implementation of selective menu price increases combined with successful efforts to control food and beverage costs of product. Moreover, revisions to Eldorado Shreveport's employee meal program resulted in improvements in the departmental profit margin.</w:t>
      </w:r>
    </w:p>
    <w:p>
      <w:pPr>
        <w:spacing w:after="0" w:line="17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Hotel Expenses. </w:t>
      </w:r>
      <w:r>
        <w:rPr>
          <w:rFonts w:ascii="Arial" w:cs="Arial" w:eastAsia="Arial" w:hAnsi="Arial"/>
          <w:sz w:val="18"/>
          <w:szCs w:val="18"/>
          <w:color w:val="auto"/>
        </w:rPr>
        <w:t>MTR Gaming incurred $0.4 million of hotel expenses for the three months ended June 30, 2015. As a result, consolidated hotel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20.8% for the three months ended June 30, 2015 compared to the same prior year period.</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Hotel expenses, excluding MTR Gaming hotel expenses, remained relatively flat for the three months ended June 30, 2015 compared to the same prior year period. Hotel expenses at Eldorado Reno decreased 2.8% mainly due to decreased expenses associated with lower hotel occupancy. For the three months ended June 30, 2015 compared to the same prior year period, hotel expenses at Eldorado Shreveport increased 16.4% as additional costs associated with higher occupancy were partially offset by decreases in payroll and other departmental variable costs.</w:t>
      </w:r>
    </w:p>
    <w:p>
      <w:pPr>
        <w:spacing w:after="0" w:line="16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Other expenses are comprised of expenses associated with sales at our retail outlets, entertainment venues and other miscellaneous items.</w:t>
      </w:r>
      <w:r>
        <w:rPr>
          <w:rFonts w:ascii="Arial" w:cs="Arial" w:eastAsia="Arial" w:hAnsi="Arial"/>
          <w:sz w:val="18"/>
          <w:szCs w:val="18"/>
          <w:i w:val="1"/>
          <w:iCs w:val="1"/>
          <w:color w:val="auto"/>
        </w:rPr>
        <w:t xml:space="preserve"> </w:t>
      </w:r>
      <w:r>
        <w:rPr>
          <w:rFonts w:ascii="Arial" w:cs="Arial" w:eastAsia="Arial" w:hAnsi="Arial"/>
          <w:sz w:val="18"/>
          <w:szCs w:val="18"/>
          <w:color w:val="auto"/>
        </w:rPr>
        <w:t>MTR Gaming incurred $1.8 million of other expenses for the three months ended June 30, 2015. As a result, consolidated other expenses increased 101.1% for the three months ended June 30, 2015 compared to the same prior year period.</w:t>
      </w:r>
    </w:p>
    <w:p>
      <w:pPr>
        <w:spacing w:after="0" w:line="194"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Other expenses, excluding MTR Gaming other expenses, increased 1.9% for the three months ended June 30, 2015 compared to the same year period. Other expenses at Eldorado Reno increased 2.4% for the three months ended June 30, 2015 compared to the same prior year period. Other expenses at Eldorado Shreveport remained flat during the three months ended June 30, 2015 compared to the same prior year period.</w:t>
      </w:r>
    </w:p>
    <w:p>
      <w:pPr>
        <w:spacing w:after="0" w:line="16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i w:val="1"/>
          <w:iCs w:val="1"/>
          <w:color w:val="auto"/>
        </w:rPr>
        <w:t xml:space="preserve">Marketing and Promotional Expenses. </w:t>
      </w:r>
      <w:r>
        <w:rPr>
          <w:rFonts w:ascii="Arial" w:cs="Arial" w:eastAsia="Arial" w:hAnsi="Arial"/>
          <w:sz w:val="18"/>
          <w:szCs w:val="18"/>
          <w:color w:val="auto"/>
        </w:rPr>
        <w:t>MTR Gaming incurred $3.5 million of marketing and promotion expenses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2015. As a result, consolidated marketing and promotion expenses increased 56.0% for the three months ended June 30, 2015 compared to the same prior year period.</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Excluding MTR Gaming, marketing and promotional expenses decreased 18.4% for the three months ended June 30, 2015 compared to the same period in the prior year due to efforts to reduce advertising spend at Eldorado Reno and Eldorado Shreveport during the current period along with reductions in promotional offers.</w:t>
      </w:r>
    </w:p>
    <w:p>
      <w:pPr>
        <w:spacing w:after="0" w:line="194"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and Management Fees. </w:t>
      </w:r>
      <w:r>
        <w:rPr>
          <w:rFonts w:ascii="Arial" w:cs="Arial" w:eastAsia="Arial" w:hAnsi="Arial"/>
          <w:sz w:val="18"/>
          <w:szCs w:val="18"/>
          <w:color w:val="auto"/>
        </w:rPr>
        <w:t>MTR Gaming incurred $13.7 million of general and administrative expenses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2015. As a result, consolidated general and administrative expenses increased 152.7% during the three months ended June 30, 2015 compared to the same prior year period.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Excluding MTR Gaming, general and administrative expenses increased 22.4% during the three months ended June 30, 2015 compared to the same prior year period due to incremental corporate costs associated with the Merger.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Historically, we paid management fees to Recreational Enterprises, Inc. ("REI") and Hotel Casino Management, Inc. ("HCM"), affiliates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 2014, we paid $0.2 million in management fees to REI and HCM.</w:t>
      </w:r>
    </w:p>
    <w:p>
      <w:pPr>
        <w:spacing w:after="0" w:line="219" w:lineRule="exact"/>
        <w:rPr>
          <w:sz w:val="20"/>
          <w:szCs w:val="20"/>
          <w:color w:val="auto"/>
        </w:rPr>
      </w:pPr>
    </w:p>
    <w:p>
      <w:pPr>
        <w:jc w:val="both"/>
        <w:ind w:right="500" w:firstLine="351"/>
        <w:spacing w:after="0" w:line="259" w:lineRule="auto"/>
        <w:rPr>
          <w:sz w:val="20"/>
          <w:szCs w:val="20"/>
          <w:color w:val="auto"/>
        </w:rPr>
      </w:pPr>
      <w:r>
        <w:rPr>
          <w:rFonts w:ascii="Arial" w:cs="Arial" w:eastAsia="Arial" w:hAnsi="Arial"/>
          <w:sz w:val="18"/>
          <w:szCs w:val="18"/>
          <w:i w:val="1"/>
          <w:iCs w:val="1"/>
          <w:color w:val="auto"/>
        </w:rPr>
        <w:t xml:space="preserve">Depreciation and Amortization Expense. </w:t>
      </w:r>
      <w:r>
        <w:rPr>
          <w:rFonts w:ascii="Arial" w:cs="Arial" w:eastAsia="Arial" w:hAnsi="Arial"/>
          <w:sz w:val="18"/>
          <w:szCs w:val="18"/>
          <w:color w:val="auto"/>
        </w:rPr>
        <w:t>MTR Gaming incurred $10.1 million of depreciation and amortization expense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2015. As a result, depreciation and amortization expense increased 243.4% for three months ended June 30, 2015 compared to the same prior year period.</w:t>
      </w:r>
    </w:p>
    <w:p>
      <w:pPr>
        <w:spacing w:after="0" w:line="194" w:lineRule="exact"/>
        <w:rPr>
          <w:sz w:val="20"/>
          <w:szCs w:val="20"/>
          <w:color w:val="auto"/>
        </w:rPr>
      </w:pPr>
    </w:p>
    <w:p>
      <w:pPr>
        <w:jc w:val="both"/>
        <w:ind w:right="180" w:firstLine="341"/>
        <w:spacing w:after="0" w:line="268" w:lineRule="auto"/>
        <w:rPr>
          <w:sz w:val="20"/>
          <w:szCs w:val="20"/>
          <w:color w:val="auto"/>
        </w:rPr>
      </w:pPr>
      <w:r>
        <w:rPr>
          <w:rFonts w:ascii="Arial" w:cs="Arial" w:eastAsia="Arial" w:hAnsi="Arial"/>
          <w:sz w:val="18"/>
          <w:szCs w:val="18"/>
          <w:color w:val="auto"/>
        </w:rPr>
        <w:t>At Eldorado Reno and Eldorado Shreveport, depreciation and amortization expense decreased 4.3% for the three months ended June 30, 2015 compared to the same prior year period resulting from more assets becoming fully depreciated.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Charges</w:t>
      </w:r>
    </w:p>
    <w:p>
      <w:pPr>
        <w:spacing w:after="0" w:line="231"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We incurred acquisition charges of $0.3 million for the three months ended June 30, 2015 in connection with the Circus Reno/Silver Legacy Purchase and $1.1 million for the three months ended June 30 2014 in connection with the Merger. The amounts were expensed in accordance with the applicable accounting guidance for business combinations.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MTR Gaming incurred $13.4 million of interest expense for the three months ended June 30, 2015. This incremental expense offset a $0.1 million decline in Resorts' interest expense for the three months ended June 20, 2015 compared to the same prior year period due to a reduction in the balance outstanding under Resorts' credit facility which matured on May 30, 2014 and was not renewed.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1"/>
              </w:rPr>
              <w:t>Six Months Ended June 30, 2015 Compared to the Six Months Ended June 30, 2014</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32"/>
        </w:trPr>
        <w:tc>
          <w:tcPr>
            <w:tcW w:w="6500" w:type="dxa"/>
            <w:vAlign w:val="bottom"/>
            <w:gridSpan w:val="2"/>
          </w:tcPr>
          <w:p>
            <w:pPr>
              <w:ind w:left="360"/>
              <w:spacing w:after="0"/>
              <w:rPr>
                <w:sz w:val="20"/>
                <w:szCs w:val="20"/>
                <w:color w:val="auto"/>
              </w:rPr>
            </w:pPr>
            <w:r>
              <w:rPr>
                <w:rFonts w:ascii="Arial" w:cs="Arial" w:eastAsia="Arial" w:hAnsi="Arial"/>
                <w:sz w:val="18"/>
                <w:szCs w:val="18"/>
                <w:color w:val="auto"/>
                <w:w w:val="95"/>
              </w:rPr>
              <w:t>The following table highlights the results of our operations (dollars in thousands):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08"/>
        </w:trPr>
        <w:tc>
          <w:tcPr>
            <w:tcW w:w="17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Six Months Ended</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1"/>
        </w:trPr>
        <w:tc>
          <w:tcPr>
            <w:tcW w:w="17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Borders>
              <w:bottom w:val="single" w:sz="8" w:color="auto"/>
            </w:tcBorders>
            <w:gridSpan w:val="4"/>
          </w:tcPr>
          <w:p>
            <w:pPr>
              <w:jc w:val="center"/>
              <w:ind w:left="552"/>
              <w:spacing w:after="0"/>
              <w:rPr>
                <w:sz w:val="20"/>
                <w:szCs w:val="20"/>
                <w:color w:val="auto"/>
              </w:rPr>
            </w:pPr>
            <w:r>
              <w:rPr>
                <w:rFonts w:ascii="Arial" w:cs="Arial" w:eastAsia="Arial" w:hAnsi="Arial"/>
                <w:sz w:val="14"/>
                <w:szCs w:val="14"/>
                <w:b w:val="1"/>
                <w:bCs w:val="1"/>
                <w:color w:val="auto"/>
                <w:w w:val="85"/>
              </w:rPr>
              <w:t>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Percent</w:t>
            </w:r>
          </w:p>
        </w:tc>
      </w:tr>
      <w:tr>
        <w:trPr>
          <w:trHeight w:val="142"/>
        </w:trPr>
        <w:tc>
          <w:tcPr>
            <w:tcW w:w="17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Change</w:t>
            </w:r>
          </w:p>
        </w:tc>
        <w:tc>
          <w:tcPr>
            <w:tcW w:w="34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revenues</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350,084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118,779</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194.7%</w:t>
            </w:r>
          </w:p>
        </w:tc>
      </w:tr>
      <w:tr>
        <w:trPr>
          <w:trHeight w:val="216"/>
        </w:trPr>
        <w:tc>
          <w:tcPr>
            <w:tcW w:w="17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315,196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109,780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187.1%</w:t>
            </w: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of unconsolidated affiliates</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(67.0)%</w:t>
            </w:r>
          </w:p>
        </w:tc>
      </w:tr>
      <w:tr>
        <w:trPr>
          <w:trHeight w:val="216"/>
        </w:trPr>
        <w:tc>
          <w:tcPr>
            <w:tcW w:w="17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Operating income</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35,143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8,327</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322.0%</w:t>
            </w:r>
          </w:p>
        </w:tc>
      </w:tr>
      <w:tr>
        <w:trPr>
          <w:trHeight w:val="216"/>
        </w:trPr>
        <w:tc>
          <w:tcPr>
            <w:tcW w:w="17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(337.7)%</w:t>
            </w:r>
          </w:p>
        </w:tc>
      </w:tr>
    </w:tbl>
    <w:p>
      <w:pPr>
        <w:spacing w:after="0" w:line="20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Net Operating Revenues. </w:t>
      </w:r>
      <w:r>
        <w:rPr>
          <w:rFonts w:ascii="Arial" w:cs="Arial" w:eastAsia="Arial" w:hAnsi="Arial"/>
          <w:sz w:val="16"/>
          <w:szCs w:val="16"/>
          <w:color w:val="auto"/>
        </w:rPr>
        <w:t>MTR Gaming contributed $229.9 million of net operating revenues for the six months ended June 30, 2015, consisting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of casino revenues. Including the incremental MTR Gaming revenues, net operating revenues increased 194.7% for the six months ended June 30, 2015 compared to the same prior year period. Excluding incremental MTR Gaming revenues, consolidated net operating revenues increased 1.2% for the six months ended June 30, 2015 compared to the same prior year period primarily due to improvements in casino revenues at both Eldorado Reno and Eldorado Shreveport combined with a decrease in promotional allowances and higher non-gaming revenues at Eldorado Shreveport.</w:t>
      </w:r>
    </w:p>
    <w:p>
      <w:pPr>
        <w:spacing w:after="0" w:line="170"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Equity in Income of Unconsolidated Affiliates. </w:t>
      </w:r>
      <w:r>
        <w:rPr>
          <w:rFonts w:ascii="Arial" w:cs="Arial" w:eastAsia="Arial" w:hAnsi="Arial"/>
          <w:sz w:val="18"/>
          <w:szCs w:val="18"/>
          <w:color w:val="auto"/>
        </w:rPr>
        <w:t>Income from our unconsolidated affiliates, the Silver Legacy Joint Venture and our former unconsolidated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Tamarack, decreased $1.2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2015 compared to the same prior year period. Resorts' interest in Tamarack was disposed of on September 1, 2014.</w:t>
      </w: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Operating Income and Net (Loss) Income. </w:t>
      </w:r>
      <w:r>
        <w:rPr>
          <w:rFonts w:ascii="Arial" w:cs="Arial" w:eastAsia="Arial" w:hAnsi="Arial"/>
          <w:sz w:val="16"/>
          <w:szCs w:val="16"/>
          <w:color w:val="auto"/>
        </w:rPr>
        <w:t>Consolidated operating income and net (loss) income includes operating income and net loss of $22.5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$2.1 million, respectively, attributable to MTR Gaming for the six months ended June 30, 2015. Excluding operating income attributable to MTR Gaming, consolidated operating income was $12.6 million and net income was $0.7 million during the six months ended June 30, 2015. Excluding operating income attributable to MTR Gaming, consolidated operating income increased $4.3 million during the six months ended June 30, 2015 compared to the same prior year period and was favorably impacted by the decline in acquisition charges and improved operating margins at Eldorado Reno. Excluding net loss attributable to MTR Gaming, the decrease in net income is primarily attributable to the provision for income taxes.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highlights our sources of net operating revenues (dollars in thousands):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7"/>
              </w:rPr>
              <w:t>Six Months Ended</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Borders>
              <w:bottom w:val="single" w:sz="8" w:color="auto"/>
            </w:tcBorders>
            <w:gridSpan w:val="4"/>
          </w:tcPr>
          <w:p>
            <w:pPr>
              <w:jc w:val="center"/>
              <w:ind w:left="497"/>
              <w:spacing w:after="0"/>
              <w:rPr>
                <w:sz w:val="20"/>
                <w:szCs w:val="20"/>
                <w:color w:val="auto"/>
              </w:rPr>
            </w:pPr>
            <w:r>
              <w:rPr>
                <w:rFonts w:ascii="Arial" w:cs="Arial" w:eastAsia="Arial" w:hAnsi="Arial"/>
                <w:sz w:val="14"/>
                <w:szCs w:val="14"/>
                <w:b w:val="1"/>
                <w:bCs w:val="1"/>
                <w:color w:val="auto"/>
                <w:w w:val="85"/>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0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   31,118</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30,771</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63,724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209,608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Pari-mutuel commissions—MTR Gaming</w:t>
            </w:r>
          </w:p>
        </w:tc>
        <w:tc>
          <w:tcPr>
            <w:tcW w:w="10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4,261</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0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16,066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16,672</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13,108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Arial" w:cs="Arial" w:eastAsia="Arial" w:hAnsi="Arial"/>
                <w:sz w:val="18"/>
                <w:szCs w:val="18"/>
                <w:color w:val="auto"/>
              </w:rPr>
              <w:t>Hotel:</w:t>
            </w:r>
          </w:p>
        </w:tc>
        <w:tc>
          <w:tcPr>
            <w:tcW w:w="10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8,659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4,308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4,273</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15,478</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13,192</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2,853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2,763</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Arial" w:cs="Arial" w:eastAsia="Arial" w:hAnsi="Arial"/>
                <w:sz w:val="18"/>
                <w:szCs w:val="18"/>
                <w:color w:val="auto"/>
              </w:rPr>
              <w:t>Promotional allowances:</w:t>
            </w:r>
          </w:p>
        </w:tc>
        <w:tc>
          <w:tcPr>
            <w:tcW w:w="10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(7,737)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(13,480)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(13,189)</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(31,081)</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(21,029)</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Casino Revenues. </w:t>
      </w:r>
      <w:r>
        <w:rPr>
          <w:rFonts w:ascii="Arial" w:cs="Arial" w:eastAsia="Arial" w:hAnsi="Arial"/>
          <w:sz w:val="18"/>
          <w:szCs w:val="18"/>
          <w:color w:val="auto"/>
        </w:rPr>
        <w:t>MTR Gaming contributed $209.6 million of casino revenues for the six months ended June 30, 2015 consisting of net win from slot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table games and poker. As a result,</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casino revenues increased 228.0% for the six months ended June 30, 2015 compared to the same prior year period.</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Consolidated casino revenues, excluding MTR Gaming casino revenues, increased 2.2% for the six months ended June 30, 2015 compared to the same prior year period due to increased casino revenues at both Eldorado Reno and Eldorado Shreveport.</w:t>
      </w:r>
    </w:p>
    <w:p>
      <w:pPr>
        <w:spacing w:after="0" w:line="186" w:lineRule="exact"/>
        <w:rPr>
          <w:sz w:val="20"/>
          <w:szCs w:val="20"/>
          <w:color w:val="auto"/>
        </w:rPr>
      </w:pPr>
    </w:p>
    <w:p>
      <w:pPr>
        <w:ind w:left="360"/>
        <w:spacing w:after="0"/>
        <w:tabs>
          <w:tab w:leader="none" w:pos="2380" w:val="left"/>
        </w:tabs>
        <w:rPr>
          <w:sz w:val="20"/>
          <w:szCs w:val="20"/>
          <w:color w:val="auto"/>
        </w:rPr>
      </w:pPr>
      <w:r>
        <w:rPr>
          <w:rFonts w:ascii="Arial" w:cs="Arial" w:eastAsia="Arial" w:hAnsi="Arial"/>
          <w:sz w:val="18"/>
          <w:szCs w:val="18"/>
          <w:i w:val="1"/>
          <w:iCs w:val="1"/>
          <w:color w:val="auto"/>
        </w:rPr>
        <w:t>Pari-mutuel Commissions.</w:t>
      </w:r>
      <w:r>
        <w:rPr>
          <w:sz w:val="20"/>
          <w:szCs w:val="20"/>
          <w:color w:val="auto"/>
        </w:rPr>
        <w:tab/>
      </w:r>
      <w:r>
        <w:rPr>
          <w:rFonts w:ascii="Arial" w:cs="Arial" w:eastAsia="Arial" w:hAnsi="Arial"/>
          <w:sz w:val="16"/>
          <w:szCs w:val="16"/>
          <w:color w:val="auto"/>
        </w:rPr>
        <w:t>MTR Gaming contributed $4.3 million of pari-mutuel commissions for the six months ended June 30, 2015.</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i w:val="1"/>
          <w:iCs w:val="1"/>
          <w:color w:val="auto"/>
        </w:rPr>
        <w:t xml:space="preserve">Food and Beverage Revenues. </w:t>
      </w:r>
      <w:r>
        <w:rPr>
          <w:rFonts w:ascii="Arial" w:cs="Arial" w:eastAsia="Arial" w:hAnsi="Arial"/>
          <w:sz w:val="16"/>
          <w:szCs w:val="16"/>
          <w:color w:val="auto"/>
        </w:rPr>
        <w:t>MTR Gaming contributed $16.5 million of food and beverage revenues for the six months ended June 30, 2015.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food and beverage revenues increased 55.5% for the six months ended June 30, 2015 compared to the same prior year period.</w:t>
      </w:r>
    </w:p>
    <w:p>
      <w:pPr>
        <w:spacing w:after="0" w:line="139"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Consolidated food and beverage revenues, excluding MTR Gaming food and beverage revenues, decreased by less than 1.0% for the six months ended June 30, 2015 compared to the same prior year period. Food and beverage revenues decreased 3.6% at Eldorado Reno mainly due to decreased customer counts during the second quarter in association with fewer bowlers in the Reno market and reduced hotel occupancy. This decrease was partially offset by growth in our average check price as a result of selective price increases in Eldorado Reno's restaurants. Food and beverage revenues increased 3.2% at Eldorado Shreveport for the six months ended June 30, 2015 compared to the same prior year period due to increased customer counts combined with selective price increases.</w:t>
      </w:r>
    </w:p>
    <w:p>
      <w:pPr>
        <w:spacing w:after="0" w:line="15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Hotel Revenues. </w:t>
      </w:r>
      <w:r>
        <w:rPr>
          <w:rFonts w:ascii="Arial" w:cs="Arial" w:eastAsia="Arial" w:hAnsi="Arial"/>
          <w:sz w:val="18"/>
          <w:szCs w:val="18"/>
          <w:color w:val="auto"/>
        </w:rPr>
        <w:t>MTR Gaming contributed $2.5 million of hotel revenues for the six months ended June 30, 2015. As a result, consolidated hotel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17.3% for the six months ended June 30, 2015 compared to the same prior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Consolidated hotel revenues, excluding MTR Gaming hotel revenues, decreased 1.7% for the six months ended June 30, 2015 compared to the same prior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year period. Hotel revenues at Eldorado Reno declined 2.9% primarily due to lower occupancy during the six months ended June 30, 2015 compared to the same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prior year period. Eldorado Reno's hotel occupancy was 79.4% for the six months ended June 30, 2015 compared to 82.9% for the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The revenue decrease associated with the decline in occupancy was partially offset by an increase in the ADR from $72.06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June 30, 2015 compared to $71.80 for the six months ended June 30, 2014 as a result of an increase in the resort fee. Shreveport's occupancy rate and ADR were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92.7% and $63.73, respectively, for the six months ended June 30, 2015 compared to 89.9% and $65.14, respectively, for the six months ended June 30, 2014.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 result, hotel revenues increased 0.8% for the six months ended June 30, 2015 compared to the six months ended June 30, 2014.</w:t>
      </w:r>
    </w:p>
    <w:p>
      <w:pPr>
        <w:spacing w:after="0" w:line="219"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Other revenues are comprised of revenues generated by our retail outlets, entertainment venues and other miscellaneous items. MTR</w:t>
      </w:r>
      <w:r>
        <w:rPr>
          <w:rFonts w:ascii="Arial" w:cs="Arial" w:eastAsia="Arial" w:hAnsi="Arial"/>
          <w:sz w:val="18"/>
          <w:szCs w:val="18"/>
          <w:i w:val="1"/>
          <w:iCs w:val="1"/>
          <w:color w:val="auto"/>
        </w:rPr>
        <w:t xml:space="preserve"> </w:t>
      </w:r>
      <w:r>
        <w:rPr>
          <w:rFonts w:ascii="Arial" w:cs="Arial" w:eastAsia="Arial" w:hAnsi="Arial"/>
          <w:sz w:val="18"/>
          <w:szCs w:val="18"/>
          <w:color w:val="auto"/>
        </w:rPr>
        <w:t>Gaming contributed $6.8 million of other revenues for the six months ended June 30, 2015. As a result, consolidated other revenues increased 17.3% for the six months ended June 30, 2015 compared to the same prior year period.</w:t>
      </w:r>
    </w:p>
    <w:p>
      <w:pPr>
        <w:spacing w:after="0" w:line="194"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Consolidated other revenues, excluding MTR Gaming other revenues, decreased 1.0% for the six months ended June 30, 2015 compared to the same prior year period. Other revenues at Eldorado Reno increased 3.3% during the six months ended June 30, 2015 compared to the same prior year period primarily due to increased entertainment revenues in the Eldorado Reno theatre during the current year. Other revenues decreased 2.9% at Eldorado Shreveport during the six months ended June 30, 2015 compared to the same prior year period due to lower retail sales, which were partially offset by higher ATM commission revenues.</w:t>
      </w:r>
    </w:p>
    <w:p>
      <w:pPr>
        <w:spacing w:after="0" w:line="152" w:lineRule="exact"/>
        <w:rPr>
          <w:sz w:val="20"/>
          <w:szCs w:val="20"/>
          <w:color w:val="auto"/>
        </w:rPr>
      </w:pPr>
    </w:p>
    <w:p>
      <w:pPr>
        <w:ind w:right="420" w:firstLine="351"/>
        <w:spacing w:after="0" w:line="370" w:lineRule="auto"/>
        <w:rPr>
          <w:sz w:val="20"/>
          <w:szCs w:val="20"/>
          <w:color w:val="auto"/>
        </w:rPr>
      </w:pPr>
      <w:r>
        <w:rPr>
          <w:rFonts w:ascii="Arial" w:cs="Arial" w:eastAsia="Arial" w:hAnsi="Arial"/>
          <w:sz w:val="15"/>
          <w:szCs w:val="15"/>
          <w:i w:val="1"/>
          <w:iCs w:val="1"/>
          <w:color w:val="auto"/>
        </w:rPr>
        <w:t xml:space="preserve">Promotional Allowances. </w:t>
      </w:r>
      <w:r>
        <w:rPr>
          <w:rFonts w:ascii="Arial" w:cs="Arial" w:eastAsia="Arial" w:hAnsi="Arial"/>
          <w:sz w:val="15"/>
          <w:szCs w:val="15"/>
          <w:color w:val="auto"/>
        </w:rPr>
        <w:t>Consolidated promotional allowances, expressed as a percentage of casino revenues, decreased to 10.2% for the six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June 30, 2015 compared to 22.7% for the same prior year period; however, the total consolidated promotional allowances incurred increased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47.8%. MTR Gaming's promotional allowances represented 4.7% of its casino revenues for the six months ended June 30, 2015. Promotional allowances at Eldorado Reno decreased 1.3% for the six months ended June 30, 2015 compared to the same prior year period resulting from strategic revisions to its casino marketing program. Promotional allowances increased 2.2% for the six months ended June 30, 2015 compared to the same prior year period at Eldorado Shreveport in conjunction with the increases in casino volume. Management actively reviews the effectiveness of its promotions and direct mail programs to expand successful promotions while eliminating or reducing less profitable promotions. Promotional activities reflect our efforts to maintain ERI's share of the gaming markets in which it operates in an effort to mitigate the impact of increasing competition.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highlights our operating expenses (dollars in thousands):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8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Six Months Ended</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00" w:type="dxa"/>
            <w:vAlign w:val="bottom"/>
          </w:tcPr>
          <w:p>
            <w:pPr>
              <w:spacing w:after="0"/>
              <w:rPr>
                <w:sz w:val="14"/>
                <w:szCs w:val="14"/>
                <w:color w:val="auto"/>
              </w:rPr>
            </w:pPr>
          </w:p>
        </w:tc>
        <w:tc>
          <w:tcPr>
            <w:tcW w:w="112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85"/>
              </w:rPr>
              <w:t>June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78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   13,685</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13,659</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35,623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780" w:type="dxa"/>
            <w:vAlign w:val="bottom"/>
          </w:tcPr>
          <w:p>
            <w:pPr>
              <w:jc w:val="right"/>
              <w:spacing w:after="0"/>
              <w:rPr>
                <w:sz w:val="20"/>
                <w:szCs w:val="20"/>
                <w:color w:val="auto"/>
              </w:rPr>
            </w:pPr>
            <w:r>
              <w:rPr>
                <w:rFonts w:ascii="Arial" w:cs="Arial" w:eastAsia="Arial" w:hAnsi="Arial"/>
                <w:sz w:val="18"/>
                <w:szCs w:val="18"/>
                <w:color w:val="auto"/>
              </w:rPr>
              <w:t>128,753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49,282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Pari-mutuel commissions—MTR Gaming</w:t>
            </w: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780" w:type="dxa"/>
            <w:vAlign w:val="bottom"/>
          </w:tcPr>
          <w:p>
            <w:pPr>
              <w:jc w:val="right"/>
              <w:spacing w:after="0"/>
              <w:rPr>
                <w:sz w:val="20"/>
                <w:szCs w:val="20"/>
                <w:color w:val="auto"/>
              </w:rPr>
            </w:pPr>
            <w:r>
              <w:rPr>
                <w:rFonts w:ascii="Arial" w:cs="Arial" w:eastAsia="Arial" w:hAnsi="Arial"/>
                <w:sz w:val="18"/>
                <w:szCs w:val="18"/>
                <w:color w:val="auto"/>
              </w:rPr>
              <w:t>10,667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11,588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780" w:type="dxa"/>
            <w:vAlign w:val="bottom"/>
          </w:tcPr>
          <w:p>
            <w:pPr>
              <w:jc w:val="right"/>
              <w:spacing w:after="0"/>
              <w:rPr>
                <w:sz w:val="20"/>
                <w:szCs w:val="20"/>
                <w:color w:val="auto"/>
              </w:rPr>
            </w:pPr>
            <w:r>
              <w:rPr>
                <w:rFonts w:ascii="Arial" w:cs="Arial" w:eastAsia="Arial" w:hAnsi="Arial"/>
                <w:sz w:val="18"/>
                <w:szCs w:val="18"/>
                <w:color w:val="auto"/>
              </w:rPr>
              <w:t>10,547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14,426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Arial" w:cs="Arial" w:eastAsia="Arial" w:hAnsi="Arial"/>
                <w:sz w:val="18"/>
                <w:szCs w:val="18"/>
                <w:color w:val="auto"/>
              </w:rPr>
              <w:t>Hotel:</w:t>
            </w: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Reno</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Eldorado Shreveport</w:t>
            </w:r>
          </w:p>
        </w:tc>
        <w:tc>
          <w:tcPr>
            <w:tcW w:w="780" w:type="dxa"/>
            <w:vAlign w:val="bottom"/>
          </w:tcPr>
          <w:p>
            <w:pPr>
              <w:jc w:val="right"/>
              <w:spacing w:after="0"/>
              <w:rPr>
                <w:sz w:val="20"/>
                <w:szCs w:val="20"/>
                <w:color w:val="auto"/>
              </w:rPr>
            </w:pPr>
            <w:r>
              <w:rPr>
                <w:rFonts w:ascii="Arial" w:cs="Arial" w:eastAsia="Arial" w:hAnsi="Arial"/>
                <w:sz w:val="18"/>
                <w:szCs w:val="18"/>
                <w:color w:val="auto"/>
              </w:rPr>
              <w:t>593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591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MTR Gaming</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3,859</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780" w:type="dxa"/>
            <w:vAlign w:val="bottom"/>
          </w:tcPr>
          <w:p>
            <w:pPr>
              <w:jc w:val="right"/>
              <w:spacing w:after="0"/>
              <w:rPr>
                <w:sz w:val="20"/>
                <w:szCs w:val="20"/>
                <w:color w:val="auto"/>
              </w:rPr>
            </w:pPr>
            <w:r>
              <w:rPr>
                <w:rFonts w:ascii="Arial" w:cs="Arial" w:eastAsia="Arial" w:hAnsi="Arial"/>
                <w:sz w:val="18"/>
                <w:szCs w:val="18"/>
                <w:color w:val="auto"/>
              </w:rPr>
              <w:t>2,758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2,695</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780" w:type="dxa"/>
            <w:vAlign w:val="bottom"/>
          </w:tcPr>
          <w:p>
            <w:pPr>
              <w:jc w:val="right"/>
              <w:spacing w:after="0"/>
              <w:rPr>
                <w:sz w:val="20"/>
                <w:szCs w:val="20"/>
                <w:color w:val="auto"/>
              </w:rPr>
            </w:pPr>
            <w:r>
              <w:rPr>
                <w:rFonts w:ascii="Arial" w:cs="Arial" w:eastAsia="Arial" w:hAnsi="Arial"/>
                <w:sz w:val="18"/>
                <w:szCs w:val="18"/>
                <w:color w:val="auto"/>
              </w:rPr>
              <w:t>2,940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Marketing and promotions</w:t>
            </w: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8,887</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21,329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Management fee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i w:val="1"/>
          <w:iCs w:val="1"/>
          <w:color w:val="auto"/>
        </w:rPr>
        <w:t xml:space="preserve">Casino Expenses. </w:t>
      </w:r>
      <w:r>
        <w:rPr>
          <w:rFonts w:ascii="Arial" w:cs="Arial" w:eastAsia="Arial" w:hAnsi="Arial"/>
          <w:sz w:val="18"/>
          <w:szCs w:val="18"/>
          <w:color w:val="auto"/>
        </w:rPr>
        <w:t>MTR Gaming incurred $128.8 million of casino expenses for the six months ended June 30, 2015. As a result, consolidated casino</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increased 261.0% for the six months ended June 30, 2015 compared to the same prior year period.</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Casino expenses, excluding MTR Gaming casino expenses, decreased less than 1.0% during the six months ended June 30, 2015 compared to the same prior year period. Casino expenses at Eldorado Reno increased 0.2% for the six months ended June 30, 2015 compared to the same prior year period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primarily reflecting an increase in departmental variable costs, including taxes, associated with the increase in the revenues offset by savings in marketing and promotional expenditures. Despite the increase in casino revenues, casino expenses at Eldorado Shreveport decreased less than 1.0% during the six months ended June 30, 2015 compared to the same prior year period primarily due reductions in promotional and marketing costs.</w:t>
      </w:r>
    </w:p>
    <w:p>
      <w:pPr>
        <w:spacing w:after="0" w:line="161"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Pari-mutuel Expense.</w:t>
      </w:r>
      <w:r>
        <w:rPr>
          <w:sz w:val="20"/>
          <w:szCs w:val="20"/>
          <w:color w:val="auto"/>
        </w:rPr>
        <w:tab/>
      </w:r>
      <w:r>
        <w:rPr>
          <w:rFonts w:ascii="Arial" w:cs="Arial" w:eastAsia="Arial" w:hAnsi="Arial"/>
          <w:sz w:val="16"/>
          <w:szCs w:val="16"/>
          <w:color w:val="auto"/>
        </w:rPr>
        <w:t>MTR Gaming incurred $4.8 million of pari-mutuel expense for the six months ended June 30, 2015.</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i w:val="1"/>
          <w:iCs w:val="1"/>
          <w:color w:val="auto"/>
        </w:rPr>
        <w:t xml:space="preserve">Food and Beverage Expenses. </w:t>
      </w:r>
      <w:r>
        <w:rPr>
          <w:rFonts w:ascii="Arial" w:cs="Arial" w:eastAsia="Arial" w:hAnsi="Arial"/>
          <w:sz w:val="16"/>
          <w:szCs w:val="16"/>
          <w:color w:val="auto"/>
        </w:rPr>
        <w:t>MTR Gaming incurred $10.5 million of food and beverage expenses for the six months ended June 30, 2015.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food and beverage expenses increased 65.8% for the six months ended June 30, 2015 compared to the same prior period.</w:t>
      </w:r>
    </w:p>
    <w:p>
      <w:pPr>
        <w:spacing w:after="0" w:line="139" w:lineRule="exact"/>
        <w:rPr>
          <w:sz w:val="20"/>
          <w:szCs w:val="20"/>
          <w:color w:val="auto"/>
        </w:rPr>
      </w:pPr>
    </w:p>
    <w:p>
      <w:pPr>
        <w:jc w:val="both"/>
        <w:ind w:firstLine="351"/>
        <w:spacing w:after="0" w:line="335" w:lineRule="auto"/>
        <w:rPr>
          <w:sz w:val="20"/>
          <w:szCs w:val="20"/>
          <w:color w:val="auto"/>
        </w:rPr>
      </w:pPr>
      <w:r>
        <w:rPr>
          <w:rFonts w:ascii="Arial" w:cs="Arial" w:eastAsia="Arial" w:hAnsi="Arial"/>
          <w:sz w:val="15"/>
          <w:szCs w:val="15"/>
          <w:color w:val="auto"/>
        </w:rPr>
        <w:t>Food and beverage expenses, excluding MTR Gaming food and beverage expenses, decreased 7.3% for the six months ended June 30, 2015 compared to the same prior year period. Food and beverage expenses at Eldorado Reno and Eldorado Shreveport decreased 7.9% and 4.5%, respectively, during the current period due to lower cost of sales and payroll expenditures resulting from successful efforts to control food and beverage costs of product and reduce labor.</w:t>
      </w:r>
    </w:p>
    <w:p>
      <w:pPr>
        <w:spacing w:after="0" w:line="142"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Hotel Expenses. </w:t>
      </w:r>
      <w:r>
        <w:rPr>
          <w:rFonts w:ascii="Arial" w:cs="Arial" w:eastAsia="Arial" w:hAnsi="Arial"/>
          <w:sz w:val="18"/>
          <w:szCs w:val="18"/>
          <w:color w:val="auto"/>
        </w:rPr>
        <w:t>MTR Gaming incurred $0.7 million of hotel expenses for the six months ended June 30, 2015. As a result, consolidated hotel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16.7% for the six months ended June 30, 2015 compared to the same prior year period.</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Hotel expenses, excluding MTR Gaming hotel expenses, decreased 2.4% for the six months ended June 30, 2015 compared to the same prior year period. Hotel expenses at Eldorado Reno decreased 2.8% mainly due to lower hotel occupancy. For the six months ended June 30, 2015 compared to the same prior year period, hotel expenses at Eldorado Shreveport increased less than 1.0% as additional costs associated with higher occupancy were partially offset by decreases in payroll and other departmental variable costs.</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Other expenses are comprised of expenses associated with sales at our retail outlets, entertainment venues and other miscellaneous items.</w:t>
      </w:r>
      <w:r>
        <w:rPr>
          <w:rFonts w:ascii="Arial" w:cs="Arial" w:eastAsia="Arial" w:hAnsi="Arial"/>
          <w:sz w:val="18"/>
          <w:szCs w:val="18"/>
          <w:i w:val="1"/>
          <w:iCs w:val="1"/>
          <w:color w:val="auto"/>
        </w:rPr>
        <w:t xml:space="preserve"> </w:t>
      </w:r>
      <w:r>
        <w:rPr>
          <w:rFonts w:ascii="Arial" w:cs="Arial" w:eastAsia="Arial" w:hAnsi="Arial"/>
          <w:sz w:val="18"/>
          <w:szCs w:val="18"/>
          <w:color w:val="auto"/>
        </w:rPr>
        <w:t>MTR Gaming incurred $2.9 million of other expenses for the six months ended June 30, 2015. As a result, consolidated other expenses increased 88.0% for the six months ended June 30, 2015 compared to the same prior year period.</w:t>
      </w:r>
    </w:p>
    <w:p>
      <w:pPr>
        <w:spacing w:after="0" w:line="19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Other expenses, excluding MTR Gaming other expenses, increased 2.1% for the six months ended June 30, 2015 compared to the same year period. Other expenses at Eldorado Reno increased 2.3% for the six months ended June 30, 2015 compared to the same prior year period reflecting the increase in other revenues. Other expenses at Eldorado Shreveport increased 1.1% despite a decline in other revenues mainly due to higher retail costs, as a percentage of retail revenues, during the current period.</w:t>
      </w:r>
    </w:p>
    <w:p>
      <w:pPr>
        <w:spacing w:after="0" w:line="197" w:lineRule="exact"/>
        <w:rPr>
          <w:sz w:val="20"/>
          <w:szCs w:val="20"/>
          <w:color w:val="auto"/>
        </w:rPr>
      </w:pPr>
    </w:p>
    <w:p>
      <w:pPr>
        <w:ind w:left="360"/>
        <w:spacing w:after="0"/>
        <w:tabs>
          <w:tab w:leader="none" w:pos="3220" w:val="left"/>
        </w:tabs>
        <w:rPr>
          <w:sz w:val="20"/>
          <w:szCs w:val="20"/>
          <w:color w:val="auto"/>
        </w:rPr>
      </w:pPr>
      <w:r>
        <w:rPr>
          <w:rFonts w:ascii="Arial" w:cs="Arial" w:eastAsia="Arial" w:hAnsi="Arial"/>
          <w:sz w:val="18"/>
          <w:szCs w:val="18"/>
          <w:i w:val="1"/>
          <w:iCs w:val="1"/>
          <w:color w:val="auto"/>
        </w:rPr>
        <w:t>Marketing and Promotional Expenses.</w:t>
      </w:r>
      <w:r>
        <w:rPr>
          <w:sz w:val="20"/>
          <w:szCs w:val="20"/>
          <w:color w:val="auto"/>
        </w:rPr>
        <w:tab/>
      </w:r>
      <w:r>
        <w:rPr>
          <w:rFonts w:ascii="Arial" w:cs="Arial" w:eastAsia="Arial" w:hAnsi="Arial"/>
          <w:sz w:val="16"/>
          <w:szCs w:val="16"/>
          <w:color w:val="auto"/>
        </w:rPr>
        <w:t>MTR Gaming incurred $6.8 million of marketing and promotion expenses for the six months ended June 30, 2015.</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As a result, consolidated marketing and promotion expenses increased 63.2% for the six months ended June 30, 2015 compared to the same prior year period.</w:t>
      </w:r>
    </w:p>
    <w:p>
      <w:pPr>
        <w:spacing w:after="0" w:line="242"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Excluding MTR Gaming, marketing and promotional expenses decreased 13.1% for the six months ended June 30, 2015 compared to the same period in the prior year due to efforts to reduce advertising spend and promotional offers at both Eldorado Reno and Eldorado Shreveport during the current period.</w:t>
      </w:r>
    </w:p>
    <w:p>
      <w:pPr>
        <w:spacing w:after="0" w:line="139"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and Management Fees. </w:t>
      </w:r>
      <w:r>
        <w:rPr>
          <w:rFonts w:ascii="Arial" w:cs="Arial" w:eastAsia="Arial" w:hAnsi="Arial"/>
          <w:sz w:val="18"/>
          <w:szCs w:val="18"/>
          <w:color w:val="auto"/>
        </w:rPr>
        <w:t>MTR Gaming incurred $27.9 million of general and administrative expenses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2015. As a result, consolidated general and administrative expenses increased 156.3% during the six months ended June 30, 2015 compared to the same prior year period.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Excluding MTR Gaming, general and administrative expenses increased 23.7% during the six months ended June 30, 2015 compared to the same prior year period due to increases in professional services and additional payroll associated with the Merger.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Historically, we paid management fees to Recreational Enterprises, Inc. ("REI") and Hotel Casino Management, Inc. ("HCM"), affiliates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2014, we paid $0.3 million in management fees to REI and HCM.</w:t>
      </w:r>
    </w:p>
    <w:p>
      <w:pPr>
        <w:spacing w:after="0" w:line="219"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i w:val="1"/>
          <w:iCs w:val="1"/>
          <w:color w:val="auto"/>
        </w:rPr>
        <w:t xml:space="preserve">Depreciation and Amortization Expense. </w:t>
      </w:r>
      <w:r>
        <w:rPr>
          <w:rFonts w:ascii="Arial" w:cs="Arial" w:eastAsia="Arial" w:hAnsi="Arial"/>
          <w:sz w:val="16"/>
          <w:szCs w:val="16"/>
          <w:color w:val="auto"/>
        </w:rPr>
        <w:t>MTR Gaming incurred $20.7 million of depreciation expense for the six months ended June 30, 2015.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and amortization expense increased 244.5% for six months ended June 30, 2015 compared to the same prior year period.</w:t>
      </w:r>
    </w:p>
    <w:p>
      <w:pPr>
        <w:spacing w:after="0" w:line="13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Depreciation and amortization expense decreased 5.2% for the six months ended June 30, 2015 compared to the same prior year period at Eldorado Reno and Eldorado Shreveport as more assets became fully depreciated.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Charges</w:t>
      </w:r>
    </w:p>
    <w:p>
      <w:pPr>
        <w:spacing w:after="0" w:line="23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During the six months ended June 30, 2015, we incurred $0.3 million in acquisition charges in connection with the Merger and the Circus/Silver Legacy Purchase. During the six months ended June 30, 2014, we incurred $2.5 million, in acquisition charges in connection with the Merger. The amounts were expensed in accordance with the applicable accounting guidance for business combinations.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MTR Gaming incurred $26.8 million of interest expense, net for the six months ended June 30, 2015. This incremental expense offset a $0.1 million decline in Resorts' interest expense for the six months ended June 30, 2015 compared to the same prior year period due to a reduction in the balance outstanding under Resorts' credit facility which matured on May 30, 2014 and was not renewed.</w:t>
      </w:r>
    </w:p>
    <w:p>
      <w:pPr>
        <w:spacing w:after="0" w:line="188" w:lineRule="exact"/>
        <w:rPr>
          <w:sz w:val="20"/>
          <w:szCs w:val="20"/>
          <w:color w:val="auto"/>
        </w:rPr>
      </w:pPr>
    </w:p>
    <w:p>
      <w:pPr>
        <w:ind w:left="180" w:right="420" w:hanging="179"/>
        <w:spacing w:after="0" w:line="275" w:lineRule="auto"/>
        <w:rPr>
          <w:sz w:val="20"/>
          <w:szCs w:val="20"/>
          <w:color w:val="auto"/>
        </w:rPr>
      </w:pPr>
      <w:r>
        <w:rPr>
          <w:rFonts w:ascii="Arial" w:cs="Arial" w:eastAsia="Arial" w:hAnsi="Arial"/>
          <w:sz w:val="18"/>
          <w:szCs w:val="18"/>
          <w:b w:val="1"/>
          <w:bCs w:val="1"/>
          <w:color w:val="auto"/>
        </w:rPr>
        <w:t>Supplemental Unaudited Presentation of Consolidated Earnings before Interest, Taxes, Depreciation and Amortization ("EBITDA") and Adjusted EBITDA for the Six Months Ended June 30, 2015 and 2014</w:t>
      </w:r>
    </w:p>
    <w:p>
      <w:pPr>
        <w:spacing w:after="0" w:line="180"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Adjusted EBITDA (defined below), a non US GAAP financial measure, has been presented as a supplemental disclosure because it is a widely used measure of performance and basis for valuation of companies in our industry and we believe that this non US GAAP supplemental information will be helpful in understanding the Company's ongoing operating results. Adjusted EBITDA represents (losses) earnings before interest expense (income), income tax expense (benefit), depreciation and amortization, equity in income of unconsolidated affiliates, corporate management fee, (loss) gain on the sale or disposal of property, other regulatory gaming assessment costs, acquisition/strategic transaction costs and stock-based compensation expense to the extent that such items existed in the periods presented. Adjusted EBITDA is not a measure of performance or liquidity calculated in accordance with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following table summarizes our net revenues and Adjusted EBITDA for our operating segments for the three and six months ended June 30, 2015 and 2014, in addition to reconciling Adjusted EBITDA to net income (loss) in accordance with US GAAP:</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307"/>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7"/>
          </w:tcPr>
          <w:p>
            <w:pPr>
              <w:ind w:lef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687"/>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(unaudited,</w:t>
            </w:r>
          </w:p>
        </w:tc>
        <w:tc>
          <w:tcPr>
            <w:tcW w:w="1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in</w:t>
            </w:r>
          </w:p>
        </w:tc>
        <w:tc>
          <w:tcPr>
            <w:tcW w:w="780" w:type="dxa"/>
            <w:vAlign w:val="bottom"/>
            <w:gridSpan w:val="2"/>
          </w:tcPr>
          <w:p>
            <w:pPr>
              <w:jc w:val="right"/>
              <w:ind w:right="54"/>
              <w:spacing w:after="0" w:line="142" w:lineRule="exact"/>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Eldorado Reno(1)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27,206</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28,869</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50,959</w:t>
            </w:r>
          </w:p>
        </w:tc>
        <w:tc>
          <w:tcPr>
            <w:tcW w:w="100" w:type="dxa"/>
            <w:vAlign w:val="bottom"/>
          </w:tcPr>
          <w:p>
            <w:pPr>
              <w:spacing w:after="0"/>
              <w:rPr>
                <w:sz w:val="18"/>
                <w:szCs w:val="18"/>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51,285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Eldorado Shreveport</w:t>
            </w:r>
          </w:p>
        </w:tc>
        <w:tc>
          <w:tcPr>
            <w:tcW w:w="1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67,494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Resorts Total Net Revenues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61,840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61,749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120,227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118,779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MTR Gaming</w:t>
            </w:r>
          </w:p>
        </w:tc>
        <w:tc>
          <w:tcPr>
            <w:tcW w:w="1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120,793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229,857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239,728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Total Net Revenues</w:t>
            </w:r>
          </w:p>
        </w:tc>
        <w:tc>
          <w:tcPr>
            <w:tcW w:w="14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182,633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350,084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358,507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w:t>
            </w: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Eldorado Reno</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5,008</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4,089</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7,439</w:t>
            </w:r>
          </w:p>
        </w:tc>
        <w:tc>
          <w:tcPr>
            <w:tcW w:w="100" w:type="dxa"/>
            <w:vAlign w:val="bottom"/>
          </w:tcPr>
          <w:p>
            <w:pPr>
              <w:spacing w:after="0"/>
              <w:rPr>
                <w:sz w:val="18"/>
                <w:szCs w:val="18"/>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4,021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Eldorado Shreveport(1)</w:t>
            </w:r>
          </w:p>
        </w:tc>
        <w:tc>
          <w:tcPr>
            <w:tcW w:w="1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Eldorado Total Adjusted EBITDA</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12,953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22,502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17,273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Corporate(2)</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(1,984)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(7,239)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(4,391)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MTR Gaming(2)(3)</w:t>
            </w:r>
          </w:p>
        </w:tc>
        <w:tc>
          <w:tcPr>
            <w:tcW w:w="1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Combined Adjusted EBITDA(4)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36,366</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35,443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64,090</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Eldorado Reno:</w:t>
            </w: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(3,044)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Interest expense, net of interest income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(benefit) for income taxes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(375)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income of unconsolidated affiliates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(2,161)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(588)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(1,781)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Corporate management fee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disposal of property</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Acquisition charges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Adjusted Eldorado Reno EBITDA</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Eldorado Shreveport:</w:t>
            </w: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Interest expense, net of interest income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5,350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Corporate management fee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disposal of property</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Adjusted Eldorado Shreveport EBITDA</w:t>
            </w:r>
          </w:p>
        </w:tc>
        <w:tc>
          <w:tcPr>
            <w:tcW w:w="14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13,252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Corporate(2):</w:t>
            </w:r>
          </w:p>
        </w:tc>
        <w:tc>
          <w:tcPr>
            <w:tcW w:w="1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(34,591)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7"/>
              <w:spacing w:after="0"/>
              <w:rPr>
                <w:sz w:val="20"/>
                <w:szCs w:val="20"/>
                <w:color w:val="auto"/>
              </w:rPr>
            </w:pPr>
            <w:r>
              <w:rPr>
                <w:rFonts w:ascii="Arial" w:cs="Arial" w:eastAsia="Arial" w:hAnsi="Arial"/>
                <w:sz w:val="18"/>
                <w:szCs w:val="18"/>
                <w:color w:val="auto"/>
              </w:rPr>
              <w:t>(19,854)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
              <w:spacing w:after="0"/>
              <w:rPr>
                <w:sz w:val="20"/>
                <w:szCs w:val="20"/>
                <w:color w:val="auto"/>
              </w:rPr>
            </w:pPr>
            <w:r>
              <w:rPr>
                <w:rFonts w:ascii="Arial" w:cs="Arial" w:eastAsia="Arial" w:hAnsi="Arial"/>
                <w:sz w:val="18"/>
                <w:szCs w:val="18"/>
                <w:color w:val="auto"/>
                <w:w w:val="98"/>
              </w:rPr>
              <w:t>(42,258)</w:t>
            </w: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w w:val="92"/>
              </w:rPr>
              <w:t>(40,618)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 of interest income</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Provision for income taxes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18,157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management fee</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(2,077)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sale or disposal of property</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costs</w:t>
            </w:r>
          </w:p>
        </w:tc>
        <w:tc>
          <w:tcPr>
            <w:tcW w:w="1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Adjusted Corporate EBITDA</w:t>
            </w:r>
          </w:p>
        </w:tc>
        <w:tc>
          <w:tcPr>
            <w:tcW w:w="14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jc w:val="right"/>
              <w:ind w:right="7"/>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(7,239</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40" w:type="dxa"/>
            <w:vAlign w:val="bottom"/>
            <w:vMerge w:val="restart"/>
          </w:tcPr>
          <w:p>
            <w:pPr>
              <w:jc w:val="right"/>
              <w:ind w:right="612"/>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tcPr>
          <w:p>
            <w:pPr>
              <w:jc w:val="right"/>
              <w:ind w:right="177"/>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right"/>
              <w:ind w:right="557"/>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(unaudited,</w:t>
            </w:r>
          </w:p>
        </w:tc>
        <w:tc>
          <w:tcPr>
            <w:tcW w:w="1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96"/>
              </w:rPr>
              <w:t>in</w:t>
            </w:r>
          </w:p>
        </w:tc>
        <w:tc>
          <w:tcPr>
            <w:tcW w:w="780" w:type="dxa"/>
            <w:vAlign w:val="bottom"/>
            <w:gridSpan w:val="2"/>
          </w:tcPr>
          <w:p>
            <w:pPr>
              <w:jc w:val="right"/>
              <w:ind w:right="58"/>
              <w:spacing w:after="0" w:line="142" w:lineRule="exact"/>
              <w:rPr>
                <w:sz w:val="20"/>
                <w:szCs w:val="20"/>
                <w:color w:val="auto"/>
              </w:rPr>
            </w:pPr>
            <w:r>
              <w:rPr>
                <w:rFonts w:ascii="Arial" w:cs="Arial" w:eastAsia="Arial" w:hAnsi="Arial"/>
                <w:sz w:val="14"/>
                <w:szCs w:val="14"/>
                <w:b w:val="1"/>
                <w:bCs w:val="1"/>
                <w:color w:val="auto"/>
                <w:w w:val="82"/>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MTR Gaming(3):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Net income(2)</w:t>
            </w: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34,327</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18,672</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34,846</w:t>
            </w:r>
          </w:p>
        </w:tc>
        <w:tc>
          <w:tcPr>
            <w:tcW w:w="100" w:type="dxa"/>
            <w:vAlign w:val="bottom"/>
          </w:tcPr>
          <w:p>
            <w:pPr>
              <w:spacing w:after="0"/>
              <w:rPr>
                <w:sz w:val="18"/>
                <w:szCs w:val="18"/>
                <w:color w:val="auto"/>
              </w:rPr>
            </w:pPr>
          </w:p>
        </w:tc>
        <w:tc>
          <w:tcPr>
            <w:tcW w:w="28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33,223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 net of interest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(Benefit) provision for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(17,268)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(6,562)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15,470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rPr>
              <w:t>Other regulatory gaming assessments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(gain) on sale or disposal of property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Adjusted MTR Gaming EBITDA</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51,006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9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600" w:hanging="531"/>
        <w:spacing w:after="0" w:line="332" w:lineRule="auto"/>
        <w:tabs>
          <w:tab w:leader="none" w:pos="1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Excludes intercompany management fee revenues earned by Eldorado Reno and expensed by Eldorado Shreveport amounting to $0.8 million and $1.5 million, respectively, for the three and six months ended June 30, 2014.</w:t>
      </w:r>
    </w:p>
    <w:p>
      <w:pPr>
        <w:spacing w:after="0" w:line="166" w:lineRule="exact"/>
        <w:rPr>
          <w:rFonts w:ascii="Arial" w:cs="Arial" w:eastAsia="Arial" w:hAnsi="Arial"/>
          <w:sz w:val="16"/>
          <w:szCs w:val="16"/>
          <w:color w:val="auto"/>
        </w:rPr>
      </w:pPr>
    </w:p>
    <w:p>
      <w:pPr>
        <w:ind w:left="1680" w:right="20" w:hanging="531"/>
        <w:spacing w:after="0" w:line="284" w:lineRule="auto"/>
        <w:tabs>
          <w:tab w:leader="none" w:pos="1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corporate expenses subsequent to the Merger Date related to ERI totaling $0.6 million and $1.5 million, excluding stock-based compensation expense of $0.2 million and $0.8 million and MTR Gaming's corporate expenses totaling $3.0 million and $5.7 million for the three and six months ended June 30, 2015, respectively. Includes MTR Gaming's corporate expenses totaling $2.0 million and</w:t>
      </w:r>
    </w:p>
    <w:p>
      <w:pPr>
        <w:spacing w:after="0" w:line="1" w:lineRule="exact"/>
        <w:rPr>
          <w:rFonts w:ascii="Arial" w:cs="Arial" w:eastAsia="Arial" w:hAnsi="Arial"/>
          <w:sz w:val="16"/>
          <w:szCs w:val="16"/>
          <w:color w:val="auto"/>
        </w:rPr>
      </w:pPr>
    </w:p>
    <w:p>
      <w:pPr>
        <w:ind w:left="1680" w:right="80"/>
        <w:spacing w:after="0" w:line="261" w:lineRule="auto"/>
        <w:rPr>
          <w:rFonts w:ascii="Arial" w:cs="Arial" w:eastAsia="Arial" w:hAnsi="Arial"/>
          <w:sz w:val="16"/>
          <w:szCs w:val="16"/>
          <w:color w:val="auto"/>
        </w:rPr>
      </w:pPr>
      <w:r>
        <w:rPr>
          <w:rFonts w:ascii="Arial" w:cs="Arial" w:eastAsia="Arial" w:hAnsi="Arial"/>
          <w:sz w:val="18"/>
          <w:szCs w:val="18"/>
          <w:color w:val="auto"/>
        </w:rPr>
        <w:t>$4.4 million, excluding stock-based compensation expense of $0.1 million and $0.6 million, for the three and six months ended June 30, 2014, respectively.</w:t>
      </w:r>
    </w:p>
    <w:p>
      <w:pPr>
        <w:spacing w:after="0" w:line="205" w:lineRule="exact"/>
        <w:rPr>
          <w:rFonts w:ascii="Arial" w:cs="Arial" w:eastAsia="Arial" w:hAnsi="Arial"/>
          <w:sz w:val="16"/>
          <w:szCs w:val="16"/>
          <w:color w:val="auto"/>
        </w:rPr>
      </w:pPr>
    </w:p>
    <w:p>
      <w:pPr>
        <w:ind w:left="1680" w:right="20" w:hanging="531"/>
        <w:spacing w:after="0" w:line="370" w:lineRule="auto"/>
        <w:tabs>
          <w:tab w:leader="none" w:pos="16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Information for MTR Gaming for periods prior to the Merger are based on MTR Gaming's Quarterly Report on Form 10-Q for the three and six months ended June 30, 2014 as filed with the SEC. Adjusted MTR Gaming EBITDA excludes corporate expense as noted above.</w:t>
      </w:r>
    </w:p>
    <w:p>
      <w:pPr>
        <w:spacing w:after="0" w:line="129" w:lineRule="exact"/>
        <w:rPr>
          <w:rFonts w:ascii="Arial" w:cs="Arial" w:eastAsia="Arial" w:hAnsi="Arial"/>
          <w:sz w:val="15"/>
          <w:szCs w:val="15"/>
          <w:color w:val="auto"/>
        </w:rPr>
      </w:pPr>
    </w:p>
    <w:p>
      <w:pPr>
        <w:jc w:val="both"/>
        <w:ind w:left="1680" w:right="160" w:hanging="531"/>
        <w:spacing w:after="0" w:line="306" w:lineRule="auto"/>
        <w:tabs>
          <w:tab w:leader="none" w:pos="1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combined basis reflects operations of MTR Gaming for periods prior to the Merger combined with the operations of Resorts. Such presentation does not conform with US GAAP or the SEC's rules for pro forma presentation; however, we have included the combined information because we believe it provides a meaningful comparison for the periods presented.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primary sources of liquidity and capital resources have been existing cash, cash flow from operations and proceeds from the issuance of debt securities.</w:t>
      </w:r>
    </w:p>
    <w:p>
      <w:pPr>
        <w:spacing w:after="0" w:line="26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expect that our primary capital requirements for the remainder of 2015 will relate to the operation and maintenance of our properties, servicing our outstanding indebtedness and the payment of the purchase price for the Circus Reno/Silver Legacy Purchase. During the remainder of 2015, we plan to spend approximately $10.0 million, net of reimbursements from West Virginia, on qualified capital expenditures. We expect that cash generated from operations will be sufficient to fund our operations and capital requirements and service our outstanding indebtedness for the foreseeable future; however, we cannot provide assurance that operating cash flows will be sufficient to do so. See the Debt Obligations discussion below for additional information regarding our outstanding indebtedness. We expect to apply a portion of the proceeds of the sale of our 7% Senior Notes due 2023 (described below), proceeds from the sale of common stock, borrowings under our revolving credit facility and cash on hand to pay the purchase price for the Circus Reno/Silver Legacy Purchase.</w:t>
      </w:r>
    </w:p>
    <w:p>
      <w:pPr>
        <w:spacing w:after="0" w:line="172"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At June 30, 2015, our consolidated cash and cash equivalents, excluding restricted cash, of $88.6 million, $31.6 million of which was held by Resorts, $54.1 million of which was held by MTR Gaming and $2.9 million of which was held by corporate.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ERI is a holding company and its only significant assets are ownership interests in its subsidiaries, HoldCo and MTR Gaming. ERI's ability to fund its obligations depends on the cash flow of its subsidiaries and the ability of its subsidiaries to distribute or otherwise make funds available to ERI.</w:t>
      </w:r>
    </w:p>
    <w:p>
      <w:pPr>
        <w:spacing w:after="0" w:line="139"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i w:val="1"/>
          <w:iCs w:val="1"/>
          <w:color w:val="auto"/>
        </w:rPr>
        <w:t xml:space="preserve">Operating Cash Flow. </w:t>
      </w:r>
      <w:r>
        <w:rPr>
          <w:rFonts w:ascii="Arial" w:cs="Arial" w:eastAsia="Arial" w:hAnsi="Arial"/>
          <w:sz w:val="18"/>
          <w:szCs w:val="18"/>
          <w:color w:val="auto"/>
        </w:rPr>
        <w:t>For the six months ended June 30, 2015, cash flows provided by operating activities totaled $19.2 million compared to $6.8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same prior year period. The increase in operating cash was primarily due to various changes in balance sheet accounts in conjunction with the Merger along with changes in the balance sheet accounts in the normal course of business.</w:t>
      </w:r>
    </w:p>
    <w:p>
      <w:pPr>
        <w:spacing w:after="0" w:line="19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i w:val="1"/>
          <w:iCs w:val="1"/>
          <w:color w:val="auto"/>
        </w:rPr>
        <w:t xml:space="preserve">Investing Cash Flow. </w:t>
      </w:r>
      <w:r>
        <w:rPr>
          <w:rFonts w:ascii="Arial" w:cs="Arial" w:eastAsia="Arial" w:hAnsi="Arial"/>
          <w:sz w:val="18"/>
          <w:szCs w:val="18"/>
          <w:color w:val="auto"/>
        </w:rPr>
        <w:t>Net cash flows used in investing activities totaled $18.1 million for the six months ended June 30, 2015 compared to $1.8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prior year period. Net cash flows used in investing activities for 2015 primarily consisted of $17.9 million in capital expenditures for various renovation projects and equipment purchases.</w:t>
      </w:r>
    </w:p>
    <w:p>
      <w:pPr>
        <w:spacing w:after="0" w:line="194"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i w:val="1"/>
          <w:iCs w:val="1"/>
          <w:color w:val="auto"/>
        </w:rPr>
        <w:t xml:space="preserve">Financing Cash Flow. </w:t>
      </w:r>
      <w:r>
        <w:rPr>
          <w:rFonts w:ascii="Arial" w:cs="Arial" w:eastAsia="Arial" w:hAnsi="Arial"/>
          <w:sz w:val="16"/>
          <w:szCs w:val="16"/>
          <w:color w:val="auto"/>
        </w:rPr>
        <w:t>Net cash flows used in financing activities for the six months ended June 30, 2015 totaled $27,000 representing capital lease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compared to $3.2 million for the six months ended June 30, 2014 primarily resulting from payments totaling $2.5 million on the Resorts credit facility which was subsequently terminated in May 2014. Additionally, $0.6 million was distributed representing Louisiana state tax payments.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six months ended June 30, 2015, additions to property and equipment, primarily slot machines, and other capital projects, aggregated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$17.9 million, which included $2.9 million at Eldorado Reno, $1.5 million at Eldorado Shreveport, $0.5 million at corporate and $13.0 million at the MTR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Gaming properties.</w:t>
      </w:r>
    </w:p>
    <w:p>
      <w:pPr>
        <w:spacing w:after="0" w:line="21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legislation approved by West Virginia in July 2011, Mountaineer participates in a modernization fund which provides for reimbursement from amounts paid to the West Virginia Lottery Commission in an amount equal to $1 for each $2 expended for certain qualifying capital expenditures having a useful life of more than six years and placed into service after July 1, 2011. Qualifying capital expenditures include the purchase of slot machines and related equipment to the extent such slot machines are retained by Mountaineer at its West Virginia location for not less than five years. Any unexpended balance from a given fiscal year will be available for one additional fiscal year, after which time the remaining unused balance carried forward will be forfeited. Mountaineer did not receive any reimbursements during the six months ended June 30, 2015. As of June 30, 2015, Mountaineer remains eligible for approximately $6.9 million under annual modernization fund grants that expire in varying dates through June 30, 2016. We can make no assurances we will be able to make qualifying capital expenditures purchases sufficient to receive reimbursement of the available funds prior to their expiration.</w:t>
      </w:r>
    </w:p>
    <w:p>
      <w:pPr>
        <w:spacing w:after="0" w:line="172" w:lineRule="exact"/>
        <w:rPr>
          <w:sz w:val="20"/>
          <w:szCs w:val="20"/>
          <w:color w:val="auto"/>
        </w:rPr>
      </w:pPr>
    </w:p>
    <w:p>
      <w:pPr>
        <w:ind w:right="800" w:firstLine="348"/>
        <w:spacing w:after="0" w:line="268" w:lineRule="auto"/>
        <w:rPr>
          <w:sz w:val="20"/>
          <w:szCs w:val="20"/>
          <w:color w:val="auto"/>
        </w:rPr>
      </w:pPr>
      <w:r>
        <w:rPr>
          <w:rFonts w:ascii="Arial" w:cs="Arial" w:eastAsia="Arial" w:hAnsi="Arial"/>
          <w:sz w:val="18"/>
          <w:szCs w:val="18"/>
          <w:color w:val="auto"/>
        </w:rPr>
        <w:t>We anticipate spending on capital expenditures during the remainder of 2015 to be approximately $13.5 million, or $10.0 million after anticipated reimbursements from West Virginia on qualified capital expenditures.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Resorts' Senior Secured Notes</w:t>
      </w:r>
    </w:p>
    <w:p>
      <w:pPr>
        <w:spacing w:after="0" w:line="225"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On June 1, 2011, Resorts completed the issuance of the 8.625% Senior Secured Notes due 2019 (the "Resorts Senior Secured Notes"). Interest on the Resorts Senior Secured Notes is payable semiannually each June 15 and December 15 to holders of record on the preceding June 1 or December 1, respectively.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indenture relating to the Resorts Senior Secured Notes contains various restrictive covenants, including limitations on the payment of dividends and other restricted payments, making additional investments, additional liens, transactions with affiliates, covenants imposing limitations on additional debt, dispositions of property, mergers and similar transactions. As of June 30, 2015, Resorts was in compliance with all of the covenants under the indenture relating to the Resorts Senior Secured Notes.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Resorts Senior Secured Notes are unconditionally guaranteed, jointly and severally, by all of Resorts' current and future domestic restricted subsidiaries other than Eldorado Capital Corp., an entity that was formed for the exclusive purpose of acting as co-issuer of debt issued by Resorts (collectively, the "Guarantors"). The Silver Legacy Joint Venture is not a subsidiary and did not guarantee the Resorts Senior Secured Notes. The Resorts Senior Secured Notes are secured by a first priority security interest on substantially all of Resorts' current and future assets (other than certain excluded assets, including gaming licenses and Resorts' interests the Silver Legacy Joint Venture). In addition, all of the membership interests in Resorts and equity interests in the Guarantors are subject to a pledge for the benefit of the holders of the Resorts Senior Secured Notes.</w:t>
      </w:r>
    </w:p>
    <w:p>
      <w:pPr>
        <w:spacing w:after="0" w:line="174" w:lineRule="exact"/>
        <w:rPr>
          <w:sz w:val="20"/>
          <w:szCs w:val="20"/>
          <w:color w:val="auto"/>
        </w:rPr>
      </w:pPr>
    </w:p>
    <w:p>
      <w:pPr>
        <w:ind w:right="300" w:firstLine="351"/>
        <w:spacing w:after="0" w:line="335" w:lineRule="auto"/>
        <w:rPr>
          <w:sz w:val="20"/>
          <w:szCs w:val="20"/>
          <w:color w:val="auto"/>
        </w:rPr>
      </w:pPr>
      <w:r>
        <w:rPr>
          <w:rFonts w:ascii="Arial" w:cs="Arial" w:eastAsia="Arial" w:hAnsi="Arial"/>
          <w:sz w:val="15"/>
          <w:szCs w:val="15"/>
          <w:color w:val="auto"/>
        </w:rPr>
        <w:t>Resorts was entitled to redeem some or all of the Resorts Senior Secured Notes prior to June 15, 2015 at a redemption price of 100.0% of the principal amount thereof plus a "make whole premium" together with accrued and unpaid interest thereon. On or after June 15, 2015, the Resorts Senior Secured Notes were subject to redemption at the following redemption prices (expressed as a percentage of principal amount) plus any accrued and unpaid interest thereon:</w:t>
      </w:r>
    </w:p>
    <w:p>
      <w:pPr>
        <w:spacing w:after="0" w:line="13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w w:val="90"/>
              </w:rPr>
              <w:t>Year beginning June 15,</w:t>
            </w:r>
          </w:p>
        </w:tc>
        <w:tc>
          <w:tcPr>
            <w:tcW w:w="55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2016</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102.156%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w w:val="91"/>
              </w:rPr>
              <w:t>2017 and thereafter</w:t>
            </w:r>
          </w:p>
        </w:tc>
        <w:tc>
          <w:tcPr>
            <w:tcW w:w="6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refinancing transactions described below, the Company purchased or discharged all of the outstanding Resorts Senior Secured Notes in July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MTR Gaming Second Lien Notes</w:t>
      </w:r>
    </w:p>
    <w:p>
      <w:pPr>
        <w:spacing w:after="0" w:line="225"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On August 1, 2011, MTR Gaming completed the offering of the MTR Gaming 11.5% Senior Secured Second Lien Notes due August 1, 2019 (the "MTR Second Lien Notes") at an issue price equal to 97% of the aggregate principal amount. The MTR Second Lien Notes mature on August 1, 2019, with interest payable semi-annually in arrears on February 1 and August 1 of each year.</w:t>
      </w:r>
    </w:p>
    <w:p>
      <w:pPr>
        <w:spacing w:after="0" w:line="19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MTR Second Lien Notes and the guarantees are senior secured obligations and are jointly and severally, fully, and unconditionally guaranteed by MTR Gaming's current and future domestic restricted subsidiaries, other than MTR Gaming's immaterial subsidiaries. The MTR Second Lien Notes are secured by a second priority lien on substantially all of the assets of MTR Gaming and the guarantors, other than excluded property, as defined in the Senior Secured Second Lien Indenture. The MTR Second Lien Notes and the guarantees are effectively junior to any of MTR Gaming's and the guarantors' existing and future debt that is secured by senior or prior liens on the collateral to the extent of the value of the collateral securing such obligations.</w:t>
      </w:r>
    </w:p>
    <w:p>
      <w:pPr>
        <w:spacing w:after="0" w:line="170"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indenture governing the MTR Second Lien Notes contains a number of customary covenants, including limitations on the payment of distributions and other restricted payments, making additional investments, additional liens, transactions with affiliates, additional debt, dispositions of property, mergers and similar transactions, and events of default. In addition, if the consolidated total debt ratio of MTR Gaming is equal to or greater than 4.0 to 1.0 and such offer is permitted pursuant to the terms of MTR Gaming's credit facilities, MTR Gaming is required to repay debt under its credit facility or make an offer to purchase MTR Second Lien Notes with the excess cash flow amounts (as such term is defined in the indenture governing the MTR Second Lien Notes). As of June 30, 2015,</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MTR Gaming was in compliance with the covenants under the indenture relating to the MTR Second Lien Notes.</w:t>
      </w:r>
    </w:p>
    <w:p>
      <w:pPr>
        <w:spacing w:after="0" w:line="225"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MTR Gaming was entitled to redeem some or all of the MTR Second Lien Notes prior to August 1, 2015 at a redemption price of 100.0% of the principal amount thereof plus a "make whole premium" together with accrued and unpaid interest thereon. On or after August 1, 2015, the MTR Second Lien Notes were subject to redemption at the following redemption prices (expressed as a percentage of principal amount) plus any accrued and unpaid interest thereon:</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w w:val="88"/>
              </w:rPr>
              <w:t>Year beginning August 1,</w:t>
            </w:r>
          </w:p>
        </w:tc>
        <w:tc>
          <w:tcPr>
            <w:tcW w:w="55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2016</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103.00%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4"/>
              </w:rPr>
              <w:t>2017 and thereafter</w:t>
            </w:r>
          </w:p>
        </w:tc>
        <w:tc>
          <w:tcPr>
            <w:tcW w:w="6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In October 2014, MTR Gaming repurchased $10.0 million in aggregate principal amount of its 11.5% MTR Second Lien Notes, at a price of $110.25 per $100 in principal amount of the purchased notes. The repurchase resulted in a $1.2 million annual savings in interest expense. After giving effect to the repurchase of the bonds in October 2014, the annual interest expense on the MTR Second Lien Notes approximates $64.5 million. Additionally, annual amortization of the premium on the MTR Second Lien Notes is $10.9 million.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Pursuant to the refinancing transactions described below, the Company purchased or discharged all of the outstanding MTR Second Lien Notes in July 2015.</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 Transactions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Tender Offer</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July 13, 2015, the Company commenced a cash tender offer and consent solicitation for any and all Resorts Senior Secured Notes and MTR Second Lien Notes. The total consideration offered in the tender offer was $1,047.92 per $1,000 principal amount of the Resorts Notes tendered and accepted for purchase and $1,066.39 per $1,000 in principal amount of MTR Second Lien Notes tendered and accepted for purchase, which included a $30 per $1,000 in principal amount of Resorts Senior Secured Notes and MTR Second Lien Notes. The tender offer was consummated on July 23, 2015 and approximately $130.0 million in aggregate principal amount of Resorts Senior Notes and $403.9 million in aggregate principal amount of MTR Second Lien Notes were accepted for purchase. The Resorts Senior Secured Notes and MTR Second Lien Notes that remained outstanding following the consummation of the tender offer were satisfied and discharged pursuant to the terms of the indentures governing such notes.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On July 23, 2015, the Company issued $375.0 million in aggregate principal amount of 7.0% Senior Notes due 2023 (the "New Notes") pursuant to an indenture, dated as of July 23, 2015 (the "Indenture"), at an issue price equal to 100.0% of the aggregate principal amount of the New Notes. The New Notes are guaranteed by all of the Company's direct and indirect restricted subsidiaries other than immaterial subsidiaries.</w:t>
      </w:r>
    </w:p>
    <w:p>
      <w:pPr>
        <w:spacing w:after="0" w:line="16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Company used or will use the net proceeds from the New Notes offering together with borrowings under the New Term Loan and the New Revolving Credit Facility (as defined below) to (i) purchase or otherwise redeem (a) all of the outstanding Resorts Senior Secured Notes and (b) all of the outstanding MTR Second Lien Notes, (ii) pay a portion of the purchase price for the Circus Reno/Silver Legacy Purchase and repay all amounts outstanding under the Silver Legacy Joint Venture credit facility, and (iii) pay fees and costs associated with such transactions. Net proceeds from the New Notes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offering equal to $50.0 million, plus interest to the latest possible redemption date, were placed in escrow, to be released only if the Circus Reno/Silver Legacy Purchase is consummated on or prior to April 1, 2016; otherwise, $50.0 million in aggregate principal amount of the New Notes will be subject to a special mandatory redemption, on a pro rata basis, at a redemption price equal to 100.0% of the principal amount thereof plus accrued and unpaid interest to, but not including, the redemption date.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New Notes will mature on August 1, 2023, with interest payable semi-annually in arrears on February 1 and August 1 of each year.</w:t>
      </w:r>
    </w:p>
    <w:p>
      <w:pPr>
        <w:spacing w:after="0" w:line="225"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On or after August 1, 2018, the Company may redeem all or a portion of the New Notes upon not less than 30 nor more than 60 days' notice, at the redemption prices (expressed as percentages of the principal amount) set forth below plus accrued and unpaid interest and additional interest, if any, on the New Notes redeemed, to the applicable redemption date, if redeemed during the twelve month period beginning on August 1 of the years indicated below:</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0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2019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Prior to August 1, 2018, the Company may redeem all or a portion of the New Notes at a price equal to 100% of the New Notes redeemed plus accrued and unpaid interest to the redemption date, plus a make-whole premium. At any time prior to August 1, 2018, the Company is also entitled to redeem up to 35% of the original aggregate principal amount of the New Notes with proceeds of certain equity financings at a redemption price equal to 107% of the principal amount of the New Notes redeemed, plus accrued and unpaid interest. If the Company experiences certain change of control events (as defined in the Indenture), it must offer to repurchase the New Notes at 101% of their principal amount, plus accrued and unpaid interest to the applicable repurchase date. If the Company sells assets under certain circumstances and does not use the proceeds for specified purposes, the Company must offer to repurchase the New Notes at 100% of their principal amount, plus accrued and unpaid interest to the applicable repurchase date.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New Notes are subject to redemption imposed by gaming laws and regulations of applicable gaming regulatory authorities.</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25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New Notes or the guarantees of the New Notes;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New Notes to be declared due and payable.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On July 23, 2015, the Company entered into a new $425.0 million seven year term loan (the "New Term Loan") and new $150.0 million five year revolving credit facility (the "New Revolving Credit Facility" and, together with the New Term Loan, the "New Credit Facility"). Also on July 23, 2015, the Company incurred $40.0 million of borrowings under the New Revolving Credit Facility. The following is a summary of the terms of the New Credit Facility.</w:t>
      </w:r>
    </w:p>
    <w:p>
      <w:pPr>
        <w:spacing w:after="0" w:line="161" w:lineRule="exact"/>
        <w:rPr>
          <w:sz w:val="20"/>
          <w:szCs w:val="20"/>
          <w:color w:val="auto"/>
        </w:rPr>
      </w:pPr>
    </w:p>
    <w:p>
      <w:pPr>
        <w:jc w:val="both"/>
        <w:ind w:firstLine="348"/>
        <w:spacing w:after="0" w:line="255" w:lineRule="auto"/>
        <w:rPr>
          <w:sz w:val="20"/>
          <w:szCs w:val="20"/>
          <w:color w:val="auto"/>
        </w:rPr>
      </w:pPr>
      <w:r>
        <w:rPr>
          <w:rFonts w:ascii="Arial" w:cs="Arial" w:eastAsia="Arial" w:hAnsi="Arial"/>
          <w:sz w:val="18"/>
          <w:szCs w:val="18"/>
          <w:color w:val="auto"/>
        </w:rPr>
        <w:t>The New Term Loan will bear interest at a rate per annum of, at the Company's option, either (x) LIBOR plus 3.25%, with a LIBOR floor of 1.0%, or (y) a base rate plus 2.25%, and will have an issue price of 99.5% of the principal amount of the New Term Loan. The New Revolving Credit Facility will bear interest at a rate per annum of, at the Company's option, either (x) LIBOR plus a spread ranging from 2.5% to 3.25% or (y) a base rate plus a spread ranging from 1.5% to 2.25%, in each case with the spread determined based on the Company's total leverage ratio. Additionally, the Company is subject to fees on the unused portion of the New Revolving Credit Facility.</w:t>
      </w:r>
    </w:p>
    <w:p>
      <w:pPr>
        <w:spacing w:after="0" w:line="197"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New Credit Facility is secured by substantially all of the Company's personal property assets and substantially all personal property assets of each subsidiary that guaranties the New Credit Facility (other than certain subsidiary guarantors designated as immaterial or restricted subsidiaries) (the "New Credit Facility Guarantors"), whether owned on the closing date of the New Credit Facility or thereafter acquired, and mortgages on the real property and improvements owned or leased us or the New Credit Facility Guarantors. The New Credit Facility is also secured by a pledge of all of the equity owned by us and the New Credit Facility Guarantors (subject to certain gaming law restrictions). The credit agreement governing the New Credit Facility contains a number of customary covenants that, among other things, restrict, subject to certain exceptions, the Company's ability and the ability of the New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172"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credit agreement governing the New Credit Facility also includes requirements that the Company maintains a maximum total leverage ratio and a minimum interest coverage ratio (adjusting over time). From the closing date through December 31, 2015, the Company is required to maintain a maximum total leverage ratio of 6.75 to 1.00 and a minimum interest coverage ratio of 2.50 to 1.00, from January 1, 2016 through December 31, 2017, a maximum total leverage ratio of 6.00 to 1.00 and from January 1, 2016 through December 31, 2016, a minimum interest coverage ratio of 2.75 to 1.00 and, from January 1, 2018 and thereafter, a maximum total leverage ratio of 5.00 to 1.00 and from January 1, 2017 and thereafter, a minimum interest coverage ratio of 3.00 to 1.00, provided that a default of the financial ratio covenants shall only become an event of default under the New Term Loan if the lenders providing the New Revolving Credit Facility take certain affirmative actions after the occurrence of a default of such financial ratio covenants.</w:t>
      </w:r>
    </w:p>
    <w:p>
      <w:pPr>
        <w:spacing w:after="0" w:line="172"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credit agreement governing the New Credit Facility contains a number of customary events of default, including, among others, for the non-payment of principal, interest or other amounts, the inaccuracy of certain representations and warranties, the failure to perform or observe certain covenants, a cross default to other indebtedness including the New Notes, certain events of bankruptcy or insolvency; certain ERISA events, the invalidity of certain loan documents, certain changes of control and the loss of certain classes of licenses to conduct gaming. If any event of default occurs,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lenders under the New Credit Facility would be entitled to take various actions, including accelerating amounts due thereunder and taking all actions permitted to be taken by a secured creditor.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There have been no material changes during the six months ended June 30, 2015 to our contractual obligations as disclosed in our Annual Report on Form 10-K for the year ended December 31,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Pennsylvania Gaming Control Board (the "PGCB"), the Pennsylvania Department of Revenue and the Pennsylvania State Police (collectively "the Borrowers"), were required to fund the costs they incurred in connection with the initial development of the infrastructure to support gaming operations in Pennsylvania as well as the initial ongoing costs of the Borrowers. The initial funding of these costs was provided from a loan from the Pennsylvania General Fund in the amount of $36.1 million, and further funding was provided from additional loans from the Pennsylvania Property Tax Reserve Fund in the aggregate amount of $63.8 million.</w:t>
      </w:r>
    </w:p>
    <w:p>
      <w:pPr>
        <w:spacing w:after="0" w:line="197"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Pennsylvania Department of Revenue will assess all licensees, including Presque Isle Downs, their proportionate share of amounts represented by the borrowings, which are in the aggregate amount of $99.9 million, once the designated number of Pennsylvania's slot machine licensees is operational. On July 11, 2011, the PGCB issued an administrative order which established that payments associated with the $63.8 million that was borrowed from the Property Tax Reserve Fund would commence on January 1, 2012. The repayment allocation between all current licensees is based upon equal weighting of (i) cumulative gross slot revenue since inception in relation to the combined cumulative gross slot revenue for all licensees and (ii) single year gross slot revenue (during the state's fiscal year ending June 30) in relation to the combined single year gross slot revenue for all licensees; and amounts paid each year will be adjusted annually based upon changes in the licensee's proportionate share of gross slot revenue. We have estimated that our total proportionate share of the aggregate $63.8 million to be assessed to the gaming facilities will be approximately $4.1 million and will be paid quarterly over a ten-year period, which began effective January 1, 2012. For the $36.1 million that was borrowed from the General Fund, payment is scheduled to begin after all fourteen licensees are operational. Although we cannot determine when payment will begin, we have considered a similar repayment model for the General Fund borrowings and estimated that our total proportionate share of the aggregate $36.1 million to all fourteen gaming facilities will approximate $2.2 million, which has been accrued in our consolidated balance sheets at June 30, 2015 and December 31, 2014.</w:t>
      </w:r>
    </w:p>
    <w:p>
      <w:pPr>
        <w:spacing w:after="0" w:line="178"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recorded estimate is subject to revision based upon future changes in the revenue assumptions utilized to develop the estimate. Our estimated total obligation at June 30, 2015 and December 31, 2014 was $4.7 million and $5.0 million, respectively, and is accrued in the respective accompanying consolidated balance sheets. The Company paid $0.2 million during the six months ended June 30, 2015.</w:t>
      </w:r>
    </w:p>
    <w:p>
      <w:pPr>
        <w:spacing w:after="0" w:line="19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are faced with certain contingencies involving litigation and environmental remediation and compliance. These commitments and contingencies are discussed in greater detail in "Part II, Item 1. "Legal Proceedings" and Note 10 to our consolidated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2014.</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Our critical accounting policies disclosures are included in our Annual Report on Form 10-K for the year ended December 31, 2014. Management believes that there have been no material changes since December 31, 2014. We have not substantively changed the application of our policies and there have been no material changes in assumptions or estimation techniques used as compared to prior periods.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party to any off-balance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forward-looking statements. Forward-looking statements in this report include, among other things, statements concerning:</w:t>
      </w:r>
    </w:p>
    <w:p>
      <w:pPr>
        <w:spacing w:after="0" w:line="188"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projections of future results of operations or financial condition;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expectations regarding our business and results of operations of our existing casino properties and prospects for future development;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and our ability to operate efficiently;</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comply with the covenants in the agreements governing our outstanding indebtedness;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expectations regarding availability of capital resources;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intention to pursue development opportunities and acquisitions and obtain financing for such development and acquisitions;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impact of regulation on our business and our ability to receive and maintain necessary approvals for our existing properties and future projects.</w:t>
      </w:r>
    </w:p>
    <w:p>
      <w:pPr>
        <w:spacing w:after="0" w:line="260"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Any forward-looking statement is based upon a number of estimates and assumptions that, while considered reasonable by us, is inherently subject to significant business, economic and competitive uncertainties and contingencies, many of which are beyond our control, and are subject to change. Actual results of operations may vary materially from any forward-looking statement made herein. Forward-looking statements should not be regarded as a representation by us or any other person that the forward-looking statements will be achieved. Undue reliance should not be placed on any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forward-looking statements. Some of the contingencies and uncertainties to which any forward-looking statement contained herein is subject include, but are not limited to, the following:</w:t>
      </w:r>
    </w:p>
    <w:p>
      <w:pPr>
        <w:spacing w:after="0" w:line="199" w:lineRule="exact"/>
        <w:rPr>
          <w:sz w:val="20"/>
          <w:szCs w:val="20"/>
          <w:color w:val="auto"/>
        </w:rPr>
      </w:pPr>
    </w:p>
    <w:p>
      <w:pPr>
        <w:ind w:left="1080" w:right="4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substantial indebtedness and significant financial commitments could adversely affect our results of operations and our ability to service such obligations;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restrictions and limitations in agreements governing our debt could significantly affect our ability to operate our business and our liquidity;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facilities operate in very competitive environments and we face increasing 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dependence on our Nevada, Louisiana, West Virginia, Pennsylvania and Ohio casinos for substantially all of our revenues and cash flows;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consummate the Circus Reno/Silver Legacy Purchase;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obtain financing for the purchase of Circus Reno and the 50% interest in Silver Legacy on terms that are acceptable to us, or at all;</w:t>
      </w:r>
    </w:p>
    <w:p>
      <w:pPr>
        <w:spacing w:after="0" w:line="261"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integrate the operations of Circus Reno, the Silver Legacy and the MTR Gaming properties and realize the benefits of the Circus Reno/Silver Legacy Purchase, the Merger and other future acquisitions;</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operations are particularly sensitive to reductions in discretionary consumer spending and are affected by changes in general economic and market conditions;</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in gaming taxes and fees in jurisdictions in which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construction factors relating to maintenance and expansion of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war, terrorist activity, natural disasters and other catastrophic events;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intense competition to attract and retain management and key employees in the gaming industry;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other factors set forth in Part I, Items 1A. "Risk Factors" included in our Annual Report on Form 10-K for the year ended December 31, 2014.</w:t>
      </w:r>
    </w:p>
    <w:p>
      <w:pPr>
        <w:spacing w:after="0" w:line="248"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 light of these and other risks, uncertainties and assumptions, the forward-looking events discussed in this report might not occur. Any forward- looking statement speaks only as of the date on which that statement is made. We do not intend to update publicly any forward-looking statement to reflect events or circumstances that occur after the date on which the statement is made, except as may be required by law.</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We are exposed to changes in interest rates primarily from variable rate long-term debt arrangements, of which there are none outstanding at June 30, 2015.</w:t>
      </w:r>
    </w:p>
    <w:p>
      <w:pPr>
        <w:spacing w:after="0" w:line="194"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The Company evaluates its exposure to market risk by monitoring interest rates in the marketplace and has, on occasion, utilized derivative financial instruments to help manage this risk. The Company does not utilize derivative financial instruments for trading purposes. There were no material quantitative changes in our market risk exposure, or how such risks are managed, during the six months ended June 30, 2015.</w:t>
      </w:r>
    </w:p>
    <w:p>
      <w:pPr>
        <w:spacing w:after="0" w:line="15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45"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67"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194"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Exchange Act Rules 13a- 15(e) and 15d-15(e)) as of the end of the period covered by this Form 10-Q Quarterly Report. They have concluded that our disclosure controls and procedures are effective to ensure that the information required to be disclosed by us in the reports that we file under the Exchange Act is recorded, processed, summarized, evaluated and reported within the time periods specified in SEC rules and forms.</w:t>
      </w:r>
    </w:p>
    <w:p>
      <w:pPr>
        <w:spacing w:after="0" w:line="194"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25"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There were no significant changes in our internal control over financial reporting identified in connection with the above evaluation that occurred during the period covered by this Form 10-Q Quarterly Report that have materially affected, or are reasonably likely to materially affect, our internal control over financial reporting.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INFORMATION</w:t>
      </w:r>
    </w:p>
    <w:p>
      <w:pPr>
        <w:spacing w:after="0" w:line="2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We are a party to various lawsuits, which have arisen in the normal course of our business. Estimated 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16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 xml:space="preserve">Presque Isle Downs, Inc. v Dwayne Cooper Enterprises, Inc. et al; Civil Action No. 10493-2009; Court of Common Pleas of Erie County, Pennsylvania. </w:t>
      </w:r>
      <w:r>
        <w:rPr>
          <w:rFonts w:ascii="Arial" w:cs="Arial" w:eastAsia="Arial" w:hAnsi="Arial"/>
          <w:sz w:val="16"/>
          <w:szCs w:val="16"/>
          <w:color w:val="auto"/>
        </w:rPr>
        <w:t>On April 17, 2010, Presque Isle Downs, Inc. initiated legal action in the Court of Common Pleas of Erie County, Pennsylvania,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defendants Dwayne Cooper Enterprises, Inc. ("DCE"), Turner Construction Company ("Turner"), and Rectenwald Buehler Architects, Inc. f/k/a Weborg Rectenwald Buehler Architects, Inc. ("RB") to recover damages arising out of failures of the surveillance system installed during the original construction of the casino facilities at Presque Isle Downs. DCE supplied and installed the surveillance system, RB acted as the project architect, and Turner served as the construction manager on the project. Shortly after Presque Isle Downs opened on February 28, 2007, it discovered that certain components of the surveillance system were defective, malfunctioning or missing. After efforts to remediate the deficiencies in the system were unsuccessful, it became necessary to replace certain components of the surveillance system at a cost of $1.9 million, and to write-off approximately $1.5 million related to the net book value of the equipment that was replaced. On April 5, 2011, Presque Isle Downs obtained a default judgment against DCE in the amount of $2.7 million. Efforts to enforce the judgment against DCE are ongoing but the assets of DCE appear to be modest and materially insufficient to pay the judgment. Any proceeds that may be received will be recorded as the amounts are realized. Defendant RB joined five additional vendors/subcontractors as additional defendants in the case. Each of the defendants and all but one of the additional defendants filed motions or objections requesting that the Court dismiss the claims against it. After these motions and objections were denied and the parties engaged in limited discovery, the parties agreed to submit the case to mediation. The mediation occurred on February 10, 2015, and resulted in an agreement under which the sum of $0.7 million would be paid to Presque Isle Downs, Inc. in exchange for a general release of the defendants (except DCE) and the additional defendants. A settlement agreement and release have been entered into by all parties. It is anticipated the case will be voluntarily dismissed by August 31, 2015.</w:t>
      </w:r>
    </w:p>
    <w:p>
      <w:pPr>
        <w:spacing w:after="0" w:line="178"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i w:val="1"/>
          <w:iCs w:val="1"/>
          <w:color w:val="auto"/>
        </w:rPr>
        <w:t xml:space="preserve">State ex rel. Walgate v. Kasich; Case No. 11 CV-10-13126; Court of Common Pleas Franklin County, Ohio. </w:t>
      </w:r>
      <w:r>
        <w:rPr>
          <w:rFonts w:ascii="Arial" w:cs="Arial" w:eastAsia="Arial" w:hAnsi="Arial"/>
          <w:sz w:val="15"/>
          <w:szCs w:val="15"/>
          <w:color w:val="auto"/>
        </w:rPr>
        <w:t>On October 21, 2011, the Ohio Roundtable</w:t>
      </w:r>
      <w:r>
        <w:rPr>
          <w:rFonts w:ascii="Arial" w:cs="Arial" w:eastAsia="Arial" w:hAnsi="Arial"/>
          <w:sz w:val="15"/>
          <w:szCs w:val="15"/>
          <w:i w:val="1"/>
          <w:iCs w:val="1"/>
          <w:color w:val="auto"/>
        </w:rPr>
        <w:t xml:space="preserve"> </w:t>
      </w:r>
      <w:r>
        <w:rPr>
          <w:rFonts w:ascii="Arial" w:cs="Arial" w:eastAsia="Arial" w:hAnsi="Arial"/>
          <w:sz w:val="15"/>
          <w:szCs w:val="15"/>
          <w:color w:val="auto"/>
        </w:rPr>
        <w:t>filed a complaint in the Court of Common Pleas in Franklin County, Ohio against a number of defendants, including the Governor, the Ohio Lottery Commission and the Ohio Casino Control Commission. The complaint alleges a variety of substantive and procedural defects relative to the approval and implementation of video lottery terminals as well as several counts dealing with the taxation of standalone casinos. As interveners, we, along with four of the other racinos in Ohio, filed motions for judgment on the pleadings to supplement the position of the Racing Commission. In May 2012, the Court of Common Pleas dismissed the case;</w:t>
      </w:r>
    </w:p>
    <w:p>
      <w:pPr>
        <w:spacing w:after="0" w:line="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however, the plaintiffs filed an appeal and oral arguments were held on January 17, 2013 in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District Court of Appeals. In March 2013, the Court of Appeals upheld the ruling. The decision of the Appeals Court was appealed to the Ohio Supreme Court by the plaintiffs on April 30, 2013 and the Ohio Supreme Court has elected to accept the appeal. The Ohio Supreme Court temporarily stayed the appeal until it first ruled on a matter with similar procedural issues. A decision was issued on that case on June 10, 2014. Accordingly, along with the State Appellees, a </w:t>
      </w:r>
      <w:r>
        <w:rPr>
          <w:rFonts w:ascii="Arial" w:cs="Arial" w:eastAsia="Arial" w:hAnsi="Arial"/>
          <w:sz w:val="16"/>
          <w:szCs w:val="16"/>
          <w:i w:val="1"/>
          <w:iCs w:val="1"/>
          <w:color w:val="auto"/>
        </w:rPr>
        <w:t>motion to dismiss as improvidently granted</w:t>
      </w:r>
      <w:r>
        <w:rPr>
          <w:rFonts w:ascii="Arial" w:cs="Arial" w:eastAsia="Arial" w:hAnsi="Arial"/>
          <w:sz w:val="16"/>
          <w:szCs w:val="16"/>
          <w:color w:val="auto"/>
        </w:rPr>
        <w:t xml:space="preserve"> was filed which was partially granted. The remaining propositions of law have been briefed by both parties and oral argument were held on June 23, 2015.</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Legal matters are discussed in greater detail in "Part I, Item 3. Legal Proceedings" and Note 15 to our Consolidated Financial statements included in our Annual Report on Form 10-K for the year ended December 31, 2014.</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description of our risk factors can be found in "Part I, Item 1A. Risk Factors" included in our Annual Report on Form 10-K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The information presented below updates, and should be read in conjunction with, the risk factors and information disclosed in our Form 10-</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K for the year ended December 31, 2014. Except as presented below, there have been no material changes to risk factors described in our Form 10-K for the year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2014.</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the proposed Circus Reno/Silver Legacy Purchase and the Merger</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The acquisition of Circus Reno and 50% of the equity interests in the Silver Legacy Joint Venture is subject to various closing conditions as well as other uncertainties, including our ability to obtain financing to fund the purchase on terms that we find acceptable or at all, and there can be no assurances as to whether and when it may be completed</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consummation of the announced, proposed acquisition of Circus Reno and the 50% interest in the Silver Legacy is subject to certain customary conditions. A number of the conditions are not within our control, and it is possible that such conditions may prevent, delay or otherwise materially adversely affect the completion of the acquisition. These conditions include, among other things, approval by the relevant gaming authorities and obtaining any necessary third party consents to consummate the acquisition. Because the purchase agreement for the Circus Reno/Silver Legacy Purchase does not contain a financing condition, our failure to close due to inability to obtain financing could subject us to a claim for substantial damages. In addition, although we intend to issue and sell equity securities to finance a portion of purchase price for the Circus Reno/Silver Legacy Purchase, we cannot be certain that we will be able to sell equity securities on terms that are acceptable to us, or at all. Accordingly, we may incur borrowings under the New Revolving Credit Facility or other indebtedness to the extent that we do not receive sufficient proceeds from the potential sale of equity securities. Any such additional indebtedness would increase the amount of our indebtedness and could constrain our operations.</w:t>
      </w:r>
    </w:p>
    <w:p>
      <w:pPr>
        <w:spacing w:after="0" w:line="174"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While we expect that the Circus Reno/Silver Legacy Purchase will close in the fourth quarter of 2015, we cannot predict with certainty whether and when any of the required conditions will be satisfied or if another uncertainty may arise. If the proposed acquisition does not receive, or timely receive, the required regulatory approvals and clearances, or if another event occurs that delays or prevents the acquisition, such delay or failure to complete the acquisition may cause uncertainty or other negative consequences that may materially and adversely affect our business, financial condition and results of operations. If the transaction is not consummated for these or any other reasons, our ongoing business may be adversely affected and will be subject to a number of risks including:</w:t>
      </w:r>
    </w:p>
    <w:p>
      <w:pPr>
        <w:spacing w:after="0" w:line="167" w:lineRule="exact"/>
        <w:rPr>
          <w:sz w:val="20"/>
          <w:szCs w:val="20"/>
          <w:color w:val="auto"/>
        </w:rPr>
      </w:pPr>
    </w:p>
    <w:p>
      <w:pPr>
        <w:ind w:left="1080" w:right="6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experience negative reactions to the termination of the transaction from customers, channel partners, suppliers, strategic partners, investors or analysts;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would not realize any of the anticipated benefits of having completed the transaction;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expenses incurred related to the transaction, such as legal and accounting fees, must be paid even if the transaction is not completed.</w:t>
      </w:r>
    </w:p>
    <w:p>
      <w:pPr>
        <w:spacing w:after="0" w:line="24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addition, uncertainty about the effect of the proposed acquisition on employees and other parties may have an adverse effect on us or the anticipated benefits of the proposed acquisition. These uncertainties may impair our, the Silver Legacy Joint Venture's and Circus Reno's ability to attract, retain and motivate key personnel until the proposed acquisition is completed and for a period of time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thereafter. Employee retention and recruitment may be particularly challenging prior to completion of the proposed acquisition, as our employees and prospective employees, and the employees and prospective employees of Silver Legacy and Circus Reno, may experience uncertainty about their future roles with us following the proposed acquisition.</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may not realize all of the anticipated benefits of Circus Reno/Silver Legacy Purchase and the Merger and we may encounter difficulties in integrating Circus Reno, Silver Legacy and the MTR Gaming properties with our operations</w:t>
      </w:r>
    </w:p>
    <w:p>
      <w:pPr>
        <w:spacing w:after="0" w:line="186"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Our ability to realize the anticipated benefits of the proposed acquisition of the 50% interest in the Silver Legacy and Circus Reno will depend, to a large extent, on our ability to integrate our existing business with those businesses. Combining independent businesses is a complex, costly and time-consuming process. In addition, while we have made significant progress in integrating the operations of MTR Gaming into our operations, the Merger was only recently consummated and completion of the integration of five different properties within a relatively short period of time may create additional challenges. As a result, we will be required to devote significant management attention and resources to integrating the businesses and operations of Eldorado, MTR Gaming, the Silver Legacy and Circus Reno. The integration process may disrupt the combined business and, if implemented ineffectively, could preclude the realization of the full benefits of our acquisition transactions. In addition, we may pursue additional acquisition opportunities in the future, which would present further integration challenges. Our failure to meet the challenges involved in integrating the businesses that we have acquired or propose to acquire or to realize the anticipated benefits of such transactions could cause an interruption of, or a loss of momentum in, the activities of the Company and could adversely affect the Company's results of operations. In addition, the combined company's results of operations may not meet our expectations, which would then make it difficult to service our outstanding debt obligations, including additional debt that we may incur to finance the purchase price for the Circus Reno/Silver Legacy Purchase and the repayment of amounts outstanding under the Silver Legacy Joint Venture credit agreement.</w:t>
      </w:r>
    </w:p>
    <w:p>
      <w:pPr>
        <w:spacing w:after="0" w:line="178" w:lineRule="exact"/>
        <w:rPr>
          <w:sz w:val="20"/>
          <w:szCs w:val="20"/>
          <w:color w:val="auto"/>
        </w:rPr>
      </w:pPr>
    </w:p>
    <w:p>
      <w:pPr>
        <w:ind w:right="540" w:firstLine="348"/>
        <w:spacing w:after="0" w:line="370" w:lineRule="auto"/>
        <w:rPr>
          <w:sz w:val="20"/>
          <w:szCs w:val="20"/>
          <w:color w:val="auto"/>
        </w:rPr>
      </w:pPr>
      <w:r>
        <w:rPr>
          <w:rFonts w:ascii="Arial" w:cs="Arial" w:eastAsia="Arial" w:hAnsi="Arial"/>
          <w:sz w:val="15"/>
          <w:szCs w:val="15"/>
          <w:color w:val="auto"/>
        </w:rPr>
        <w:t>The overall integration of the businesses may result in material unanticipated problems, expenses, liabilities, competitive responses, loss of customer relationships, and diversion of certain management's attention. The difficulties of combining the operations of the companies include, among others:</w:t>
      </w:r>
    </w:p>
    <w:p>
      <w:pPr>
        <w:spacing w:after="0" w:line="130"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diversion of certain management's attention to integration matters;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achieving anticipated cost savings, synergies, business opportunities and growth prospects from combining our business with that of MTR Gaming, Silver Legacy and Circus Reno;</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integrating operations, business practices and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assimilating employees;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managing the expanded operations of a larger and more complex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 retaining existing customers and suppliers;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 obtaining new customers and suppliers;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associated with the acquisitions;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 retaining and attracting key personnel.</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Many of these factors will be outside of our control and any one of them could result in increased costs, decreases in the amount of expected revenues and diversion of management's time and energy, which could materially impact the business, financial condition and results of operations of the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company. In addition, even if the operations of the businesses of the Company, MTR Gaming, Silver Legacy and Circus Reno are integrated successfully, we may not realize the full benefits or synergies and efficiencies of the transactions, or the full benefits may not be achieved within the anticipated time frame, or at all.</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estimates and judgments related to the acquisition accounting models used to record the purchase price allocation may be inaccurate</w:t>
      </w:r>
    </w:p>
    <w:p>
      <w:pPr>
        <w:spacing w:after="0" w:line="24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management will make significant accounting judgments and estimates for the application of acquisition accounting under US GAAP and the underlying valuation models. Our business, operating results and financial condition could be materially and adversely impacted in future periods if our accounting judgments and estimates related to these models prove to be inaccurate. Additionally, Circus Reno's financial statements are unaudited. The lack of the type of independent verification which audited financial statements would provide increases the risk that we do not have the benefit of full and accurate information about the financial condition and operating history of Circus Reno.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recognize impairment charges for goodwill and other intangible assets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expect the proposed transaction will add approximately $8.0 million of other intangible assets to our consolidated balance sheet. In accordance with US GAAP, our management periodically assesses these assets to determine if they are impaired. Significant negative industry or economic trends, disruptions to our business, inability to effectively integrate acquired businesses, unexpected significant changes or planned changes in use of the assets, divestitures and market capitalization declines may impair goodwill and other intangible assets. Any charges relating to such impairments would adversely affect results of operations in the periods recognized.</w:t>
      </w:r>
    </w:p>
    <w:p>
      <w:pPr>
        <w:spacing w:after="0" w:line="19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Our assets, liabilities or results of operations could be adversely affected by known or unknown or unexpected events, conditions or actions that might occur at Silver Legacy or Circus Reno prior to the closing of the proposed Circus Reno/Silver Legacy Purchase</w:t>
      </w:r>
    </w:p>
    <w:p>
      <w:pPr>
        <w:spacing w:after="0" w:line="139"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assets, liabilities, business, financial condition, cash flows, operating results and prospects of Silver Legacy and Circus Reno to be acquired or assumed by us by reason of the Circus Reno/Silver Legacy Purchase could be adversely affected before or after the closing of such transaction as a result of known or previously unknown events or conditions occurring or existing before the closing of such transaction. Adverse changes in the business or operations of the Silver Legacy Joint Venture or Circus Reno could occur or arise as a result of actions by Silver Legacy or Circus Reno, legal or regulatory developments including the emergence or unfavorable resolution of pre-acquisition loss contingencies, deteriorating general business, market, industry or economic conditions, and other factors both within and beyond the control of Silver Legacy or Circus Reno. A significant decline in the value of the assets to be acquired by us or a significant increase in liabilities to be assumed by us could adversely affect our future business, financial condition, cash flows, operating results and prospects following the completion of the Circus Reno/Silver Legacy Purchase.</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6980" w:type="dxa"/>
            <w:vAlign w:val="bottom"/>
          </w:tcPr>
          <w:p>
            <w:pPr>
              <w:ind w:left="2840"/>
              <w:spacing w:after="0"/>
              <w:rPr>
                <w:sz w:val="20"/>
                <w:szCs w:val="20"/>
                <w:color w:val="auto"/>
              </w:rPr>
            </w:pPr>
            <w:r>
              <w:rPr>
                <w:rFonts w:ascii="Arial" w:cs="Arial" w:eastAsia="Arial" w:hAnsi="Arial"/>
                <w:sz w:val="14"/>
                <w:szCs w:val="14"/>
                <w:b w:val="1"/>
                <w:bCs w:val="1"/>
                <w:color w:val="auto"/>
              </w:rPr>
              <w:t>Description of Exhibit</w:t>
            </w:r>
          </w:p>
        </w:tc>
        <w:tc>
          <w:tcPr>
            <w:tcW w:w="180" w:type="dxa"/>
            <w:vAlign w:val="bottom"/>
          </w:tcPr>
          <w:p>
            <w:pPr>
              <w:spacing w:after="0"/>
              <w:rPr>
                <w:sz w:val="14"/>
                <w:szCs w:val="14"/>
                <w:color w:val="auto"/>
              </w:rPr>
            </w:pPr>
          </w:p>
        </w:tc>
        <w:tc>
          <w:tcPr>
            <w:tcW w:w="230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w w:val="96"/>
              </w:rPr>
              <w:t>Method of Filing</w:t>
            </w:r>
          </w:p>
        </w:tc>
      </w:tr>
      <w:tr>
        <w:trPr>
          <w:trHeight w:val="216"/>
        </w:trPr>
        <w:tc>
          <w:tcPr>
            <w:tcW w:w="1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6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Gary L. Carano pursuant to Rule 13a-14a and Rule 15d-14(a)</w:t>
            </w:r>
          </w:p>
        </w:tc>
        <w:tc>
          <w:tcPr>
            <w:tcW w:w="180" w:type="dxa"/>
            <w:vAlign w:val="bottom"/>
          </w:tcPr>
          <w:p>
            <w:pPr>
              <w:spacing w:after="0"/>
              <w:rPr>
                <w:sz w:val="18"/>
                <w:szCs w:val="18"/>
                <w:color w:val="auto"/>
              </w:rPr>
            </w:pPr>
          </w:p>
        </w:tc>
        <w:tc>
          <w:tcPr>
            <w:tcW w:w="116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87"/>
              </w:rPr>
              <w:t>Filed herewith.</w:t>
            </w:r>
          </w:p>
        </w:tc>
        <w:tc>
          <w:tcPr>
            <w:tcW w:w="1140" w:type="dxa"/>
            <w:vAlign w:val="bottom"/>
          </w:tcPr>
          <w:p>
            <w:pPr>
              <w:spacing w:after="0"/>
              <w:rPr>
                <w:sz w:val="18"/>
                <w:szCs w:val="18"/>
                <w:color w:val="auto"/>
              </w:rPr>
            </w:pPr>
          </w:p>
        </w:tc>
      </w:tr>
      <w:tr>
        <w:trPr>
          <w:trHeight w:val="451"/>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Certification of Robert M. Jones pursuant to Rule 13a-14a and Rule 15d-14(a)</w:t>
            </w:r>
          </w:p>
        </w:tc>
        <w:tc>
          <w:tcPr>
            <w:tcW w:w="2480" w:type="dxa"/>
            <w:vAlign w:val="bottom"/>
            <w:gridSpan w:val="3"/>
          </w:tcPr>
          <w:p>
            <w:pPr>
              <w:jc w:val="right"/>
              <w:ind w:right="1260"/>
              <w:spacing w:after="0"/>
              <w:rPr>
                <w:sz w:val="20"/>
                <w:szCs w:val="20"/>
                <w:color w:val="auto"/>
              </w:rPr>
            </w:pPr>
            <w:r>
              <w:rPr>
                <w:rFonts w:ascii="Arial" w:cs="Arial" w:eastAsia="Arial" w:hAnsi="Arial"/>
                <w:sz w:val="18"/>
                <w:szCs w:val="18"/>
                <w:color w:val="auto"/>
              </w:rPr>
              <w:t>Filed herewith.</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Certification of Gary L. Carano in accordance with 18 U.S.C. Section 1350</w:t>
            </w:r>
          </w:p>
        </w:tc>
        <w:tc>
          <w:tcPr>
            <w:tcW w:w="2480" w:type="dxa"/>
            <w:vAlign w:val="bottom"/>
            <w:gridSpan w:val="3"/>
          </w:tcPr>
          <w:p>
            <w:pPr>
              <w:jc w:val="right"/>
              <w:ind w:right="1260"/>
              <w:spacing w:after="0"/>
              <w:rPr>
                <w:sz w:val="20"/>
                <w:szCs w:val="20"/>
                <w:color w:val="auto"/>
              </w:rPr>
            </w:pPr>
            <w:r>
              <w:rPr>
                <w:rFonts w:ascii="Arial" w:cs="Arial" w:eastAsia="Arial" w:hAnsi="Arial"/>
                <w:sz w:val="18"/>
                <w:szCs w:val="18"/>
                <w:color w:val="auto"/>
              </w:rPr>
              <w:t>Filed herewith.</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Certification of Robert M. Jones in accordance with 18 U.S.C. Section 1350</w:t>
            </w:r>
          </w:p>
        </w:tc>
        <w:tc>
          <w:tcPr>
            <w:tcW w:w="2480" w:type="dxa"/>
            <w:vAlign w:val="bottom"/>
            <w:gridSpan w:val="3"/>
          </w:tcPr>
          <w:p>
            <w:pPr>
              <w:jc w:val="right"/>
              <w:ind w:right="1260"/>
              <w:spacing w:after="0"/>
              <w:rPr>
                <w:sz w:val="20"/>
                <w:szCs w:val="20"/>
                <w:color w:val="auto"/>
              </w:rPr>
            </w:pPr>
            <w:r>
              <w:rPr>
                <w:rFonts w:ascii="Arial" w:cs="Arial" w:eastAsia="Arial" w:hAnsi="Arial"/>
                <w:sz w:val="18"/>
                <w:szCs w:val="18"/>
                <w:color w:val="auto"/>
              </w:rPr>
              <w:t>Filed herewith.</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XBRL Instance Document</w:t>
            </w:r>
          </w:p>
        </w:tc>
        <w:tc>
          <w:tcPr>
            <w:tcW w:w="2480" w:type="dxa"/>
            <w:vAlign w:val="bottom"/>
            <w:gridSpan w:val="3"/>
          </w:tcPr>
          <w:p>
            <w:pPr>
              <w:jc w:val="right"/>
              <w:ind w:right="1260"/>
              <w:spacing w:after="0"/>
              <w:rPr>
                <w:sz w:val="20"/>
                <w:szCs w:val="20"/>
                <w:color w:val="auto"/>
              </w:rPr>
            </w:pPr>
            <w:r>
              <w:rPr>
                <w:rFonts w:ascii="Arial" w:cs="Arial" w:eastAsia="Arial" w:hAnsi="Arial"/>
                <w:sz w:val="18"/>
                <w:szCs w:val="18"/>
                <w:color w:val="auto"/>
              </w:rPr>
              <w:t>Filed herewith.</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2480" w:type="dxa"/>
            <w:vAlign w:val="bottom"/>
            <w:gridSpan w:val="3"/>
          </w:tcPr>
          <w:p>
            <w:pPr>
              <w:jc w:val="right"/>
              <w:ind w:right="1260"/>
              <w:spacing w:after="0"/>
              <w:rPr>
                <w:sz w:val="20"/>
                <w:szCs w:val="20"/>
                <w:color w:val="auto"/>
              </w:rPr>
            </w:pPr>
            <w:r>
              <w:rPr>
                <w:rFonts w:ascii="Arial" w:cs="Arial" w:eastAsia="Arial" w:hAnsi="Arial"/>
                <w:sz w:val="18"/>
                <w:szCs w:val="18"/>
                <w:color w:val="auto"/>
              </w:rPr>
              <w:t>Filed herewith.</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101.3</w:t>
            </w: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2480" w:type="dxa"/>
            <w:vAlign w:val="bottom"/>
            <w:gridSpan w:val="3"/>
          </w:tcPr>
          <w:p>
            <w:pPr>
              <w:jc w:val="right"/>
              <w:ind w:right="1260"/>
              <w:spacing w:after="0"/>
              <w:rPr>
                <w:sz w:val="20"/>
                <w:szCs w:val="20"/>
                <w:color w:val="auto"/>
              </w:rPr>
            </w:pPr>
            <w:r>
              <w:rPr>
                <w:rFonts w:ascii="Arial" w:cs="Arial" w:eastAsia="Arial" w:hAnsi="Arial"/>
                <w:sz w:val="18"/>
                <w:szCs w:val="18"/>
                <w:color w:val="auto"/>
              </w:rPr>
              <w:t>Filed herewith.</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2480" w:type="dxa"/>
            <w:vAlign w:val="bottom"/>
            <w:gridSpan w:val="3"/>
          </w:tcPr>
          <w:p>
            <w:pPr>
              <w:jc w:val="right"/>
              <w:ind w:right="1260"/>
              <w:spacing w:after="0"/>
              <w:rPr>
                <w:sz w:val="20"/>
                <w:szCs w:val="20"/>
                <w:color w:val="auto"/>
              </w:rPr>
            </w:pPr>
            <w:r>
              <w:rPr>
                <w:rFonts w:ascii="Arial" w:cs="Arial" w:eastAsia="Arial" w:hAnsi="Arial"/>
                <w:sz w:val="18"/>
                <w:szCs w:val="18"/>
                <w:color w:val="auto"/>
              </w:rPr>
              <w:t>Filed herewith.</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2480" w:type="dxa"/>
            <w:vAlign w:val="bottom"/>
            <w:gridSpan w:val="3"/>
          </w:tcPr>
          <w:p>
            <w:pPr>
              <w:jc w:val="right"/>
              <w:ind w:right="1260"/>
              <w:spacing w:after="0"/>
              <w:rPr>
                <w:sz w:val="20"/>
                <w:szCs w:val="20"/>
                <w:color w:val="auto"/>
              </w:rPr>
            </w:pPr>
            <w:r>
              <w:rPr>
                <w:rFonts w:ascii="Arial" w:cs="Arial" w:eastAsia="Arial" w:hAnsi="Arial"/>
                <w:sz w:val="18"/>
                <w:szCs w:val="18"/>
                <w:color w:val="auto"/>
              </w:rPr>
              <w:t>Filed herewith.</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c>
          <w:tcPr>
            <w:tcW w:w="2480" w:type="dxa"/>
            <w:vAlign w:val="bottom"/>
            <w:gridSpan w:val="3"/>
          </w:tcPr>
          <w:p>
            <w:pPr>
              <w:jc w:val="right"/>
              <w:ind w:right="1260"/>
              <w:spacing w:after="0"/>
              <w:rPr>
                <w:sz w:val="20"/>
                <w:szCs w:val="20"/>
                <w:color w:val="auto"/>
              </w:rPr>
            </w:pPr>
            <w:r>
              <w:rPr>
                <w:rFonts w:ascii="Arial" w:cs="Arial" w:eastAsia="Arial" w:hAnsi="Arial"/>
                <w:sz w:val="18"/>
                <w:szCs w:val="18"/>
                <w:color w:val="auto"/>
              </w:rPr>
              <w:t>Filed herewith.</w:t>
            </w: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140" w:type="dxa"/>
            <w:vAlign w:val="bottom"/>
            <w:gridSpan w:val="2"/>
          </w:tcPr>
          <w:p>
            <w:pPr>
              <w:ind w:left="382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9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80"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ELDORADO RESORTS, INC.</w:t>
      </w:r>
    </w:p>
    <w:p>
      <w:pPr>
        <w:spacing w:after="0" w:line="258" w:lineRule="exact"/>
        <w:rPr>
          <w:sz w:val="20"/>
          <w:szCs w:val="20"/>
          <w:color w:val="auto"/>
        </w:rPr>
      </w:pPr>
    </w:p>
    <w:p>
      <w:pPr>
        <w:ind w:left="1140"/>
        <w:spacing w:after="0"/>
        <w:tabs>
          <w:tab w:leader="none" w:pos="7240" w:val="left"/>
        </w:tabs>
        <w:rPr>
          <w:sz w:val="20"/>
          <w:szCs w:val="20"/>
          <w:color w:val="auto"/>
        </w:rPr>
      </w:pPr>
      <w:r>
        <w:rPr>
          <w:rFonts w:ascii="Arial" w:cs="Arial" w:eastAsia="Arial" w:hAnsi="Arial"/>
          <w:sz w:val="18"/>
          <w:szCs w:val="18"/>
          <w:color w:val="auto"/>
        </w:rPr>
        <w:t>Date: August 10, 2015</w:t>
      </w:r>
      <w:r>
        <w:rPr>
          <w:sz w:val="20"/>
          <w:szCs w:val="20"/>
          <w:color w:val="auto"/>
        </w:rPr>
        <w:tab/>
      </w:r>
      <w:r>
        <w:rPr>
          <w:rFonts w:ascii="Arial" w:cs="Arial" w:eastAsia="Arial" w:hAnsi="Arial"/>
          <w:sz w:val="16"/>
          <w:szCs w:val="16"/>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Gary L. Carano</w:t>
      </w:r>
    </w:p>
    <w:p>
      <w:pPr>
        <w:spacing w:after="0" w:line="15"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246" w:lineRule="exact"/>
        <w:rPr>
          <w:sz w:val="20"/>
          <w:szCs w:val="20"/>
          <w:color w:val="auto"/>
        </w:rPr>
      </w:pPr>
    </w:p>
    <w:p>
      <w:pPr>
        <w:ind w:left="1140"/>
        <w:spacing w:after="0"/>
        <w:tabs>
          <w:tab w:leader="none" w:pos="7220" w:val="left"/>
        </w:tabs>
        <w:rPr>
          <w:sz w:val="20"/>
          <w:szCs w:val="20"/>
          <w:color w:val="auto"/>
        </w:rPr>
      </w:pPr>
      <w:r>
        <w:rPr>
          <w:rFonts w:ascii="Arial" w:cs="Arial" w:eastAsia="Arial" w:hAnsi="Arial"/>
          <w:sz w:val="18"/>
          <w:szCs w:val="18"/>
          <w:color w:val="auto"/>
        </w:rPr>
        <w:t>Date: August 10, 2015</w:t>
      </w:r>
      <w:r>
        <w:rPr>
          <w:sz w:val="20"/>
          <w:szCs w:val="20"/>
          <w:color w:val="auto"/>
        </w:rPr>
        <w:tab/>
      </w:r>
      <w:r>
        <w:rPr>
          <w:rFonts w:ascii="Arial" w:cs="Arial" w:eastAsia="Arial" w:hAnsi="Arial"/>
          <w:sz w:val="16"/>
          <w:szCs w:val="16"/>
          <w:color w:val="auto"/>
        </w:rPr>
        <w:t>/s/ ROBERT 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Robert M. Jones</w:t>
      </w:r>
    </w:p>
    <w:p>
      <w:pPr>
        <w:spacing w:after="0" w:line="15"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240" w:top="131" w:right="979" w:bottom="1440" w:gutter="0" w:footer="0" w:header="0"/>
        </w:sectPr>
      </w:pPr>
    </w:p>
    <w:bookmarkStart w:id="63" w:name="page64"/>
    <w:bookmarkEnd w:id="6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4" w:name="page65"/>
    <w:bookmarkEnd w:id="64"/>
    <w:p>
      <w:pPr>
        <w:spacing w:after="0"/>
        <w:rPr>
          <w:rFonts w:ascii="Arial" w:cs="Arial" w:eastAsia="Arial" w:hAnsi="Arial"/>
          <w:sz w:val="22"/>
          <w:szCs w:val="22"/>
          <w:color w:val="0000EE"/>
        </w:rPr>
      </w:pPr>
      <w:hyperlink w:anchor="page6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Gary L. Carano, certify that:</w:t>
      </w:r>
    </w:p>
    <w:p>
      <w:pPr>
        <w:spacing w:after="0" w:line="239"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Eldorado Resorts, Inc.;</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00" w:hanging="532"/>
        <w:spacing w:after="0" w:line="259"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60" w:hanging="532"/>
        <w:spacing w:after="0" w:line="370" w:lineRule="auto"/>
        <w:tabs>
          <w:tab w:leader="none" w:pos="1080" w:val="left"/>
        </w:tabs>
        <w:numPr>
          <w:ilvl w:val="1"/>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hanging="532"/>
        <w:spacing w:after="0" w:line="332" w:lineRule="auto"/>
        <w:tabs>
          <w:tab w:leader="none" w:pos="10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540" w:hanging="532"/>
        <w:spacing w:after="0" w:line="332"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2015</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62230</wp:posOffset>
            </wp:positionV>
            <wp:extent cx="27959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Gary L. Carano</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5">
        <w:r>
          <w:rPr>
            <w:rFonts w:ascii="Arial" w:cs="Arial" w:eastAsia="Arial" w:hAnsi="Arial"/>
            <w:sz w:val="16"/>
            <w:szCs w:val="16"/>
            <w:u w:val="single" w:color="auto"/>
            <w:color w:val="0000EE"/>
          </w:rPr>
          <w:t>CERTIFICATION PURSUANT TO RULE 13a-14(a) AND 15d-14(a) OF THE SECURITIES EXCHANGE ACT OF 1934</w:t>
        </w:r>
      </w:hyperlink>
    </w:p>
    <w:p>
      <w:pPr>
        <w:sectPr>
          <w:pgSz w:w="11900" w:h="16838" w:orient="portrait"/>
          <w:cols w:equalWidth="0" w:num="1">
            <w:col w:w="10219"/>
          </w:cols>
          <w:pgMar w:left="240" w:top="820" w:right="1440" w:bottom="1440" w:gutter="0" w:footer="0" w:header="0"/>
        </w:sectPr>
      </w:pPr>
    </w:p>
    <w:bookmarkStart w:id="66" w:name="page67"/>
    <w:bookmarkEnd w:id="66"/>
    <w:p>
      <w:pPr>
        <w:spacing w:after="0"/>
        <w:rPr>
          <w:rFonts w:ascii="Arial" w:cs="Arial" w:eastAsia="Arial" w:hAnsi="Arial"/>
          <w:sz w:val="22"/>
          <w:szCs w:val="22"/>
          <w:color w:val="0000EE"/>
        </w:rPr>
      </w:pPr>
      <w:hyperlink w:anchor="page6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Robert M. Jones, certify that:</w:t>
      </w:r>
    </w:p>
    <w:p>
      <w:pPr>
        <w:spacing w:after="0" w:line="239"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Eldorado Resorts, Inc.;</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00" w:hanging="532"/>
        <w:spacing w:after="0" w:line="259"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60" w:hanging="532"/>
        <w:spacing w:after="0" w:line="370" w:lineRule="auto"/>
        <w:tabs>
          <w:tab w:leader="none" w:pos="1080"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hanging="532"/>
        <w:spacing w:after="0" w:line="332" w:lineRule="auto"/>
        <w:tabs>
          <w:tab w:leader="none" w:pos="10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540" w:hanging="532"/>
        <w:spacing w:after="0" w:line="332"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2015</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ROBERT 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62230</wp:posOffset>
            </wp:positionV>
            <wp:extent cx="27959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M. Jones</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7">
        <w:r>
          <w:rPr>
            <w:rFonts w:ascii="Arial" w:cs="Arial" w:eastAsia="Arial" w:hAnsi="Arial"/>
            <w:sz w:val="16"/>
            <w:szCs w:val="16"/>
            <w:u w:val="single" w:color="auto"/>
            <w:color w:val="0000EE"/>
          </w:rPr>
          <w:t>CERTIFICATION PURSUANT TO RULE 13a-14(a) AND 15d-14(a) OF THE SECURITIES EXCHANGE ACT OF 1934</w:t>
        </w:r>
      </w:hyperlink>
    </w:p>
    <w:p>
      <w:pPr>
        <w:sectPr>
          <w:pgSz w:w="11900" w:h="16838" w:orient="portrait"/>
          <w:cols w:equalWidth="0" w:num="1">
            <w:col w:w="10219"/>
          </w:cols>
          <w:pgMar w:left="240" w:top="820" w:right="1440" w:bottom="1440" w:gutter="0" w:footer="0" w:header="0"/>
        </w:sectPr>
      </w:pPr>
    </w:p>
    <w:bookmarkStart w:id="68" w:name="page69"/>
    <w:bookmarkEnd w:id="68"/>
    <w:p>
      <w:pPr>
        <w:spacing w:after="0"/>
        <w:rPr>
          <w:rFonts w:ascii="Arial" w:cs="Arial" w:eastAsia="Arial" w:hAnsi="Arial"/>
          <w:sz w:val="22"/>
          <w:szCs w:val="22"/>
          <w:color w:val="0000EE"/>
        </w:rPr>
      </w:pPr>
      <w:hyperlink w:anchor="page7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Gary L. Carano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Gary L. Carano, Chief Executive Officer and Chairman of the Board of Eldorado Resorts, Inc. (the "Company"), do hereby certify in accordance with 18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U.S.C. 1350, as adopted pursuant to Section 906 of the Sarbanes-Oxley Act of 2002, that, to my knowledge:</w:t>
      </w:r>
    </w:p>
    <w:p>
      <w:pPr>
        <w:spacing w:after="0" w:line="232" w:lineRule="exact"/>
        <w:rPr>
          <w:sz w:val="20"/>
          <w:szCs w:val="20"/>
          <w:color w:val="auto"/>
        </w:rPr>
      </w:pPr>
    </w:p>
    <w:p>
      <w:pPr>
        <w:ind w:left="1080" w:right="740" w:hanging="532"/>
        <w:spacing w:after="0" w:line="33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June 30, 2015 (the "Periodic Report") fully complies with the requirements of Section 13(a) or 15(d) of the Securities Exchange Act of 1934 (15 U.S.C. 78m or 78o(d)); and</w:t>
      </w:r>
    </w:p>
    <w:p>
      <w:pPr>
        <w:spacing w:after="0" w:line="166"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2015</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62865</wp:posOffset>
            </wp:positionV>
            <wp:extent cx="27959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Gary L. Carano</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69">
        <w:r>
          <w:rPr>
            <w:rFonts w:ascii="Arial" w:cs="Arial" w:eastAsia="Arial" w:hAnsi="Arial"/>
            <w:sz w:val="16"/>
            <w:szCs w:val="16"/>
            <w:u w:val="single" w:color="auto"/>
            <w:color w:val="0000EE"/>
          </w:rPr>
          <w:t>CERTIFICATION of Gary L. Carano Chief Executive Officer and Chairman of the Board</w:t>
        </w:r>
      </w:hyperlink>
    </w:p>
    <w:p>
      <w:pPr>
        <w:sectPr>
          <w:pgSz w:w="11900" w:h="16838" w:orient="portrait"/>
          <w:cols w:equalWidth="0" w:num="1">
            <w:col w:w="10219"/>
          </w:cols>
          <w:pgMar w:left="240" w:top="820" w:right="1440" w:bottom="1440" w:gutter="0" w:footer="0" w:header="0"/>
        </w:sectPr>
      </w:pPr>
    </w:p>
    <w:bookmarkStart w:id="70" w:name="page71"/>
    <w:bookmarkEnd w:id="70"/>
    <w:p>
      <w:pPr>
        <w:spacing w:after="0"/>
        <w:rPr>
          <w:rFonts w:ascii="Arial" w:cs="Arial" w:eastAsia="Arial" w:hAnsi="Arial"/>
          <w:sz w:val="22"/>
          <w:szCs w:val="22"/>
          <w:color w:val="0000EE"/>
        </w:rPr>
      </w:pPr>
      <w:hyperlink w:anchor="page7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Robert M. Jones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Robert M. Jones, Executive Vice President and Chief Financial Officer of Eldorado Resorts, Inc. (the "Company"), do hereby certify in accordance with 18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U.S.C. 1350, as adopted pursuant to Section 906 of the Sarbanes-Oxley Act of 2002, that, to my knowledge:</w:t>
      </w:r>
    </w:p>
    <w:p>
      <w:pPr>
        <w:spacing w:after="0" w:line="232" w:lineRule="exact"/>
        <w:rPr>
          <w:sz w:val="20"/>
          <w:szCs w:val="20"/>
          <w:color w:val="auto"/>
        </w:rPr>
      </w:pPr>
    </w:p>
    <w:p>
      <w:pPr>
        <w:ind w:left="1080" w:right="780" w:hanging="532"/>
        <w:spacing w:after="0" w:line="33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June 30, 2015 (the "Periodic Report") fully complies with the requirements of Section 13(a) or 15(d) of the Securities Exchange Act of 1934 (15 U.S.C. 78m or 78o(d)); and</w:t>
      </w:r>
    </w:p>
    <w:p>
      <w:pPr>
        <w:spacing w:after="0" w:line="166"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2015</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ROBERT 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62230</wp:posOffset>
            </wp:positionV>
            <wp:extent cx="27959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M. Jones</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1" w:name="page72"/>
    <w:bookmarkEnd w:id="7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71">
        <w:r>
          <w:rPr>
            <w:rFonts w:ascii="Arial" w:cs="Arial" w:eastAsia="Arial" w:hAnsi="Arial"/>
            <w:sz w:val="16"/>
            <w:szCs w:val="16"/>
            <w:u w:val="single" w:color="auto"/>
            <w:color w:val="0000EE"/>
          </w:rPr>
          <w:t>CERTIFICATION of Robert M. Jones Executive Vice President and Chief Financial Officer</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2"/>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2020-01-24T06:14:57Z</dcterms:created>
  <dcterms:modified xsi:type="dcterms:W3CDTF">2020-01-24T06:14:57Z</dcterms:modified>
</cp:coreProperties>
</file>