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4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14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2024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120" w:after="283"/>
        <w:jc w:val="center"/>
        <w:rPr/>
      </w:pPr>
      <w:r>
        <w:rPr>
          <w:rFonts w:ascii="Times New Roman;sans-serif" w:hAnsi="Times New Roman;sans-serif"/>
          <w:b/>
          <w:color w:val="000000"/>
          <w:sz w:val="20"/>
        </w:rPr>
        <w:t>Commission File No. 001</w:t>
      </w:r>
      <w:r>
        <w:rPr>
          <w:rFonts w:ascii="Arial;sans-serif" w:hAnsi="Arial;sans-serif"/>
          <w:b w:val="false"/>
          <w:color w:val="000000"/>
          <w:sz w:val="18"/>
        </w:rPr>
        <w:t>-</w:t>
      </w:r>
      <w:r>
        <w:rPr>
          <w:rFonts w:ascii="Times New Roman;sans-serif" w:hAnsi="Times New Roman;sans-serif"/>
          <w:b/>
          <w:color w:val="000000"/>
          <w:sz w:val="20"/>
        </w:rPr>
        <w:t xml:space="preserve">36629 </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CAESARS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54" w:type="dxa"/>
        <w:jc w:val="left"/>
        <w:tblInd w:w="0" w:type="dxa"/>
        <w:tblLayout w:type="fixed"/>
        <w:tblCellMar>
          <w:top w:w="28" w:type="dxa"/>
          <w:left w:w="28" w:type="dxa"/>
          <w:bottom w:w="28" w:type="dxa"/>
          <w:right w:w="28" w:type="dxa"/>
        </w:tblCellMar>
      </w:tblPr>
      <w:tblGrid>
        <w:gridCol w:w="857"/>
        <w:gridCol w:w="751"/>
        <w:gridCol w:w="762"/>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46-3657681</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 xml:space="preserve">100 West Liberty Street, 12th Floor, Reno, Nevada 89501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and zip code of principal executive offices)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(775) 328-0100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former address and former fiscal year, if changed since last report)</w:t>
      </w:r>
    </w:p>
    <w:p>
      <w:pPr>
        <w:pStyle w:val="TextBody"/>
        <w:bidi w:val="0"/>
        <w:spacing w:lineRule="auto" w:line="288" w:before="40" w:after="283"/>
        <w:ind w:left="0" w:right="0" w:firstLine="90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7722" w:type="dxa"/>
        <w:jc w:val="left"/>
        <w:tblInd w:w="0" w:type="dxa"/>
        <w:tblLayout w:type="fixed"/>
        <w:tblCellMar>
          <w:top w:w="28" w:type="dxa"/>
          <w:left w:w="28" w:type="dxa"/>
          <w:bottom w:w="28" w:type="dxa"/>
          <w:right w:w="28" w:type="dxa"/>
        </w:tblCellMar>
      </w:tblPr>
      <w:tblGrid>
        <w:gridCol w:w="1030"/>
        <w:gridCol w:w="903"/>
        <w:gridCol w:w="916"/>
        <w:gridCol w:w="519"/>
        <w:gridCol w:w="519"/>
        <w:gridCol w:w="521"/>
        <w:gridCol w:w="970"/>
        <w:gridCol w:w="970"/>
        <w:gridCol w:w="1374"/>
      </w:tblGrid>
      <w:tr>
        <w:trPr/>
        <w:tc>
          <w:tcPr>
            <w:tcW w:w="10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Common Stock, $0.00001 par value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CZR</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NASDAQ Stock Market</w:t>
            </w:r>
          </w:p>
        </w:tc>
      </w:tr>
    </w:tbl>
    <w:p>
      <w:pPr>
        <w:pStyle w:val="TextBody"/>
        <w:bidi w:val="0"/>
        <w:spacing w:lineRule="auto" w:line="288" w:before="0" w:after="0"/>
        <w:ind w:left="0" w:right="0" w:firstLine="90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40" w:after="283"/>
        <w:ind w:left="0" w:right="0" w:firstLine="90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40" w:after="283"/>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66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900"/>
        <w:jc w:val="both"/>
        <w:rPr/>
      </w:pPr>
      <w:r>
        <w:rPr>
          <w:rFonts w:ascii="Times New Roman;sans-serif" w:hAnsi="Times New Roman;sans-serif"/>
          <w:b w:val="false"/>
          <w:color w:val="000000"/>
          <w:sz w:val="18"/>
        </w:rPr>
        <w:t>If</w:t>
      </w:r>
      <w:r>
        <w:rPr>
          <w:color w:val="000000"/>
        </w:rPr>
        <w:t xml:space="preserve"> </w:t>
      </w:r>
      <w:r>
        <w:rPr>
          <w:rFonts w:ascii="Times New Roman;sans-serif" w:hAnsi="Times New Roman;sans-serif"/>
          <w:b w:val="false"/>
          <w:color w:val="000000"/>
          <w:sz w:val="20"/>
        </w:rPr>
        <w:t>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40" w:after="283"/>
        <w:ind w:left="0" w:right="0" w:firstLine="900"/>
        <w:jc w:val="both"/>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40" w:after="283"/>
        <w:ind w:left="0" w:right="0" w:firstLine="900"/>
        <w:jc w:val="both"/>
        <w:rPr/>
      </w:pPr>
      <w:r>
        <w:rPr>
          <w:rFonts w:ascii="Times New Roman;sans-serif" w:hAnsi="Times New Roman;sans-serif"/>
          <w:b w:val="false"/>
          <w:color w:val="000000"/>
          <w:sz w:val="18"/>
        </w:rPr>
        <w:t>The</w:t>
      </w:r>
      <w:r>
        <w:rPr>
          <w:color w:val="000000"/>
        </w:rPr>
        <w:t xml:space="preserve"> </w:t>
      </w:r>
      <w:r>
        <w:rPr>
          <w:rFonts w:ascii="Times New Roman;sans-serif" w:hAnsi="Times New Roman;sans-serif"/>
          <w:b w:val="false"/>
          <w:color w:val="000000"/>
          <w:sz w:val="20"/>
        </w:rPr>
        <w:t>number of shares of the Registrant’s Common Stock, $0.00001 par value per share, outstanding as of July 25, 2024 was 216,337,975.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609" w:type="dxa"/>
        <w:jc w:val="left"/>
        <w:tblInd w:w="0" w:type="dxa"/>
        <w:tblLayout w:type="fixed"/>
        <w:tblCellMar>
          <w:top w:w="28" w:type="dxa"/>
          <w:left w:w="28" w:type="dxa"/>
          <w:bottom w:w="28" w:type="dxa"/>
          <w:right w:w="28" w:type="dxa"/>
        </w:tblCellMar>
      </w:tblPr>
      <w:tblGrid>
        <w:gridCol w:w="630"/>
        <w:gridCol w:w="552"/>
        <w:gridCol w:w="552"/>
        <w:gridCol w:w="2438"/>
        <w:gridCol w:w="2438"/>
        <w:gridCol w:w="2488"/>
        <w:gridCol w:w="149"/>
        <w:gridCol w:w="149"/>
        <w:gridCol w:w="213"/>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0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909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13">
              <w:r>
                <w:rPr>
                  <w:rStyle w:val="InternetLink"/>
                  <w:rFonts w:ascii="Times New Roman;sans-serif" w:hAnsi="Times New Roman;sans-serif"/>
                  <w:b/>
                  <w:color w:val="0000FF"/>
                  <w:sz w:val="20"/>
                  <w:u w:val="single"/>
                </w:rPr>
                <w:t>PART I. FINANCIAL INFORMATION</w:t>
              </w:r>
            </w:hyperlink>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84376642b6474f11bc155e6fdb08572b_13">
              <w:r>
                <w:rPr>
                  <w:rStyle w:val="InternetLink"/>
                  <w:rFonts w:ascii="Times New Roman;sans-serif" w:hAnsi="Times New Roman;sans-serif"/>
                  <w:b w:val="false"/>
                  <w:strike w:val="false"/>
                  <w:dstrike w:val="false"/>
                  <w:color w:val="0000FF"/>
                  <w:sz w:val="20"/>
                  <w:u w:val="none"/>
                  <w:effect w:val="none"/>
                </w:rPr>
                <w:t>2</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13">
              <w:r>
                <w:rPr>
                  <w:rStyle w:val="InternetLink"/>
                  <w:rFonts w:ascii="Times New Roman;sans-serif" w:hAnsi="Times New Roman;sans-serif"/>
                  <w:b w:val="false"/>
                  <w:strike w:val="false"/>
                  <w:dstrike w:val="false"/>
                  <w:color w:val="0000FF"/>
                  <w:sz w:val="20"/>
                  <w:u w:val="none"/>
                  <w:effect w:val="non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13">
              <w:r>
                <w:rPr>
                  <w:rStyle w:val="InternetLink"/>
                  <w:rFonts w:ascii="Times New Roman;sans-serif" w:hAnsi="Times New Roman;sans-serif"/>
                  <w:b w:val="false"/>
                  <w:color w:val="0000FF"/>
                  <w:sz w:val="20"/>
                  <w:u w:val="single"/>
                </w:rPr>
                <w:t>Unaudited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4376642b6474f11bc155e6fdb08572b_13">
              <w:r>
                <w:rPr>
                  <w:rStyle w:val="InternetLink"/>
                  <w:rFonts w:ascii="Times New Roman;sans-serif" w:hAnsi="Times New Roman;sans-serif"/>
                  <w:b w:val="false"/>
                  <w:strike w:val="false"/>
                  <w:dstrike w:val="false"/>
                  <w:color w:val="0000FF"/>
                  <w:sz w:val="20"/>
                  <w:u w:val="none"/>
                  <w:effect w:val="none"/>
                </w:rPr>
                <w:t>2</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16">
              <w:r>
                <w:rPr>
                  <w:rStyle w:val="InternetLink"/>
                  <w:rFonts w:ascii="Times New Roman;sans-serif" w:hAnsi="Times New Roman;sans-serif"/>
                  <w:b w:val="false"/>
                  <w:color w:val="0000FF"/>
                  <w:sz w:val="20"/>
                  <w:u w:val="single"/>
                </w:rPr>
                <w:t>Consolidated Condensed Balance Sheets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4376642b6474f11bc155e6fdb08572b_16">
              <w:r>
                <w:rPr>
                  <w:rStyle w:val="InternetLink"/>
                  <w:rFonts w:ascii="Times New Roman;sans-serif" w:hAnsi="Times New Roman;sans-serif"/>
                  <w:b w:val="false"/>
                  <w:strike w:val="false"/>
                  <w:dstrike w:val="false"/>
                  <w:color w:val="0000FF"/>
                  <w:sz w:val="20"/>
                  <w:u w:val="none"/>
                  <w:effect w:val="none"/>
                </w:rPr>
                <w:t>2</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19">
              <w:r>
                <w:rPr>
                  <w:rStyle w:val="InternetLink"/>
                  <w:rFonts w:ascii="Times New Roman;sans-serif" w:hAnsi="Times New Roman;sans-serif"/>
                  <w:b w:val="false"/>
                  <w:color w:val="0000FF"/>
                  <w:sz w:val="20"/>
                  <w:u w:val="single"/>
                </w:rPr>
                <w:t>Consolidated Condensed Statements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4376642b6474f11bc155e6fdb08572b_19">
              <w:r>
                <w:rPr>
                  <w:rStyle w:val="InternetLink"/>
                  <w:rFonts w:ascii="Times New Roman;sans-serif" w:hAnsi="Times New Roman;sans-serif"/>
                  <w:b w:val="false"/>
                  <w:strike w:val="false"/>
                  <w:dstrike w:val="false"/>
                  <w:color w:val="0000FF"/>
                  <w:sz w:val="20"/>
                  <w:u w:val="none"/>
                  <w:effect w:val="none"/>
                </w:rPr>
                <w:t>3</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22">
              <w:r>
                <w:rPr>
                  <w:rStyle w:val="InternetLink"/>
                  <w:rFonts w:ascii="Times New Roman;sans-serif" w:hAnsi="Times New Roman;sans-serif"/>
                  <w:b w:val="false"/>
                  <w:color w:val="0000FF"/>
                  <w:sz w:val="20"/>
                  <w:u w:val="single"/>
                </w:rPr>
                <w:t>Consolidated Condensed Statements of Comprehensive Income (Loss)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4376642b6474f11bc155e6fdb08572b_22">
              <w:r>
                <w:rPr>
                  <w:rStyle w:val="InternetLink"/>
                  <w:rFonts w:ascii="Times New Roman;sans-serif" w:hAnsi="Times New Roman;sans-serif"/>
                  <w:b w:val="false"/>
                  <w:strike w:val="false"/>
                  <w:dstrike w:val="false"/>
                  <w:color w:val="0000FF"/>
                  <w:sz w:val="20"/>
                  <w:u w:val="none"/>
                  <w:effect w:val="none"/>
                </w:rPr>
                <w:t>4</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25">
              <w:r>
                <w:rPr>
                  <w:rStyle w:val="InternetLink"/>
                  <w:rFonts w:ascii="Times New Roman;sans-serif" w:hAnsi="Times New Roman;sans-serif"/>
                  <w:b w:val="false"/>
                  <w:color w:val="0000FF"/>
                  <w:sz w:val="20"/>
                  <w:u w:val="single"/>
                </w:rPr>
                <w:t>Consolidated Condensed Statements of Stockholders’ Equity</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4376642b6474f11bc155e6fdb08572b_25">
              <w:r>
                <w:rPr>
                  <w:rStyle w:val="InternetLink"/>
                  <w:rFonts w:ascii="Times New Roman;sans-serif" w:hAnsi="Times New Roman;sans-serif"/>
                  <w:b w:val="false"/>
                  <w:strike w:val="false"/>
                  <w:dstrike w:val="false"/>
                  <w:color w:val="0000FF"/>
                  <w:sz w:val="20"/>
                  <w:u w:val="none"/>
                  <w:effect w:val="none"/>
                </w:rPr>
                <w:t>5</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28">
              <w:r>
                <w:rPr>
                  <w:rStyle w:val="InternetLink"/>
                  <w:rFonts w:ascii="Times New Roman;sans-serif" w:hAnsi="Times New Roman;sans-serif"/>
                  <w:b w:val="false"/>
                  <w:color w:val="0000FF"/>
                  <w:sz w:val="20"/>
                  <w:u w:val="single"/>
                </w:rPr>
                <w:t>Consolidated Condensed Statements of Cash Flows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4376642b6474f11bc155e6fdb08572b_28">
              <w:r>
                <w:rPr>
                  <w:rStyle w:val="InternetLink"/>
                  <w:rFonts w:ascii="Times New Roman;sans-serif" w:hAnsi="Times New Roman;sans-serif"/>
                  <w:b w:val="false"/>
                  <w:strike w:val="false"/>
                  <w:dstrike w:val="false"/>
                  <w:color w:val="0000FF"/>
                  <w:sz w:val="20"/>
                  <w:u w:val="none"/>
                  <w:effect w:val="none"/>
                </w:rPr>
                <w:t>6</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34">
              <w:r>
                <w:rPr>
                  <w:rStyle w:val="InternetLink"/>
                  <w:rFonts w:ascii="Times New Roman;sans-serif" w:hAnsi="Times New Roman;sans-serif"/>
                  <w:b w:val="false"/>
                  <w:color w:val="0000FF"/>
                  <w:sz w:val="20"/>
                  <w:u w:val="single"/>
                </w:rPr>
                <w:t>Notes to Consolidated Condensed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376642b6474f11bc155e6fdb08572b_34">
              <w:r>
                <w:rPr>
                  <w:rStyle w:val="InternetLink"/>
                  <w:rFonts w:ascii="Times New Roman;sans-serif" w:hAnsi="Times New Roman;sans-serif"/>
                  <w:b w:val="false"/>
                  <w:strike w:val="false"/>
                  <w:dstrike w:val="false"/>
                  <w:color w:val="0000FF"/>
                  <w:sz w:val="20"/>
                  <w:u w:val="none"/>
                  <w:effect w:val="none"/>
                </w:rPr>
                <w:t>8</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121">
              <w:r>
                <w:rPr>
                  <w:rStyle w:val="InternetLink"/>
                  <w:rFonts w:ascii="Times New Roman;sans-serif" w:hAnsi="Times New Roman;sans-serif"/>
                  <w:b w:val="false"/>
                  <w:strike w:val="false"/>
                  <w:dstrike w:val="false"/>
                  <w:color w:val="0000FF"/>
                  <w:sz w:val="20"/>
                  <w:u w:val="none"/>
                  <w:effect w:val="non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376642b6474f11bc155e6fdb08572b_12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4376642b6474f11bc155e6fdb08572b_121">
              <w:r>
                <w:rPr>
                  <w:rStyle w:val="InternetLink"/>
                  <w:rFonts w:ascii="Times New Roman;sans-serif" w:hAnsi="Times New Roman;sans-serif"/>
                  <w:b w:val="false"/>
                  <w:strike w:val="false"/>
                  <w:dstrike w:val="false"/>
                  <w:color w:val="0000FF"/>
                  <w:sz w:val="20"/>
                  <w:u w:val="none"/>
                  <w:effect w:val="none"/>
                </w:rPr>
                <w:t>26</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160">
              <w:r>
                <w:rPr>
                  <w:rStyle w:val="InternetLink"/>
                  <w:rFonts w:ascii="Times New Roman;sans-serif" w:hAnsi="Times New Roman;sans-serif"/>
                  <w:b w:val="false"/>
                  <w:strike w:val="false"/>
                  <w:dstrike w:val="false"/>
                  <w:color w:val="0000FF"/>
                  <w:sz w:val="20"/>
                  <w:u w:val="none"/>
                  <w:effect w:val="none"/>
                </w:rPr>
                <w:t>Item 3.</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376642b6474f11bc155e6fdb08572b_160">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4376642b6474f11bc155e6fdb08572b_160">
              <w:r>
                <w:rPr>
                  <w:rStyle w:val="InternetLink"/>
                  <w:rFonts w:ascii="Times New Roman;sans-serif" w:hAnsi="Times New Roman;sans-serif"/>
                  <w:b w:val="false"/>
                  <w:strike w:val="false"/>
                  <w:dstrike w:val="false"/>
                  <w:color w:val="0000FF"/>
                  <w:sz w:val="20"/>
                  <w:u w:val="none"/>
                  <w:effect w:val="none"/>
                </w:rPr>
                <w:t>41</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163">
              <w:r>
                <w:rPr>
                  <w:rStyle w:val="InternetLink"/>
                  <w:rFonts w:ascii="Times New Roman;sans-serif" w:hAnsi="Times New Roman;sans-serif"/>
                  <w:b w:val="false"/>
                  <w:strike w:val="false"/>
                  <w:dstrike w:val="false"/>
                  <w:color w:val="0000FF"/>
                  <w:sz w:val="20"/>
                  <w:u w:val="none"/>
                  <w:effect w:val="non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163">
              <w:r>
                <w:rPr>
                  <w:rStyle w:val="InternetLink"/>
                  <w:rFonts w:ascii="Times New Roman;sans-serif" w:hAnsi="Times New Roman;sans-serif"/>
                  <w:b w:val="false"/>
                  <w:color w:val="0000FF"/>
                  <w:sz w:val="20"/>
                  <w:u w:val="single"/>
                </w:rPr>
                <w:t>Controls and Procedures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4376642b6474f11bc155e6fdb08572b_163">
              <w:r>
                <w:rPr>
                  <w:rStyle w:val="InternetLink"/>
                  <w:rFonts w:ascii="Times New Roman;sans-serif" w:hAnsi="Times New Roman;sans-serif"/>
                  <w:b w:val="false"/>
                  <w:strike w:val="false"/>
                  <w:dstrike w:val="false"/>
                  <w:color w:val="0000FF"/>
                  <w:sz w:val="20"/>
                  <w:u w:val="none"/>
                  <w:effect w:val="none"/>
                </w:rPr>
                <w:t>41</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166">
              <w:r>
                <w:rPr>
                  <w:rStyle w:val="InternetLink"/>
                  <w:rFonts w:ascii="Times New Roman;sans-serif" w:hAnsi="Times New Roman;sans-serif"/>
                  <w:b/>
                  <w:color w:val="0000FF"/>
                  <w:sz w:val="20"/>
                  <w:u w:val="single"/>
                </w:rPr>
                <w:t>PART II. 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4376642b6474f11bc155e6fdb08572b_166">
              <w:r>
                <w:rPr>
                  <w:rStyle w:val="InternetLink"/>
                  <w:rFonts w:ascii="Times New Roman;sans-serif" w:hAnsi="Times New Roman;sans-serif"/>
                  <w:b w:val="false"/>
                  <w:strike w:val="false"/>
                  <w:dstrike w:val="false"/>
                  <w:color w:val="0000FF"/>
                  <w:sz w:val="20"/>
                  <w:u w:val="none"/>
                  <w:effect w:val="none"/>
                </w:rPr>
                <w:t>42</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169">
              <w:r>
                <w:rPr>
                  <w:rStyle w:val="InternetLink"/>
                  <w:rFonts w:ascii="Times New Roman;sans-serif" w:hAnsi="Times New Roman;sans-serif"/>
                  <w:b w:val="false"/>
                  <w:strike w:val="false"/>
                  <w:dstrike w:val="false"/>
                  <w:color w:val="0000FF"/>
                  <w:sz w:val="20"/>
                  <w:u w:val="none"/>
                  <w:effect w:val="non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169">
              <w:r>
                <w:rPr>
                  <w:rStyle w:val="InternetLink"/>
                  <w:rFonts w:ascii="Times New Roman;sans-serif" w:hAnsi="Times New Roman;sans-serif"/>
                  <w:b w:val="false"/>
                  <w:color w:val="0000FF"/>
                  <w:sz w:val="20"/>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4376642b6474f11bc155e6fdb08572b_169">
              <w:r>
                <w:rPr>
                  <w:rStyle w:val="InternetLink"/>
                  <w:rFonts w:ascii="Times New Roman;sans-serif" w:hAnsi="Times New Roman;sans-serif"/>
                  <w:b w:val="false"/>
                  <w:strike w:val="false"/>
                  <w:dstrike w:val="false"/>
                  <w:color w:val="0000FF"/>
                  <w:sz w:val="20"/>
                  <w:u w:val="none"/>
                  <w:effect w:val="none"/>
                </w:rPr>
                <w:t>42</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175">
              <w:r>
                <w:rPr>
                  <w:rStyle w:val="InternetLink"/>
                  <w:rFonts w:ascii="Times New Roman;sans-serif" w:hAnsi="Times New Roman;sans-serif"/>
                  <w:b w:val="false"/>
                  <w:strike w:val="false"/>
                  <w:dstrike w:val="false"/>
                  <w:color w:val="0000FF"/>
                  <w:sz w:val="20"/>
                  <w:u w:val="none"/>
                  <w:effect w:val="none"/>
                </w:rPr>
                <w:t>Item 1A.</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175">
              <w:r>
                <w:rPr>
                  <w:rStyle w:val="InternetLink"/>
                  <w:rFonts w:ascii="Times New Roman;sans-serif" w:hAnsi="Times New Roman;sans-serif"/>
                  <w:b w:val="false"/>
                  <w:color w:val="0000FF"/>
                  <w:sz w:val="20"/>
                  <w:u w:val="single"/>
                </w:rPr>
                <w:t>Risk Factors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4376642b6474f11bc155e6fdb08572b_175">
              <w:r>
                <w:rPr>
                  <w:rStyle w:val="InternetLink"/>
                  <w:rFonts w:ascii="Times New Roman;sans-serif" w:hAnsi="Times New Roman;sans-serif"/>
                  <w:b w:val="false"/>
                  <w:strike w:val="false"/>
                  <w:dstrike w:val="false"/>
                  <w:color w:val="0000FF"/>
                  <w:sz w:val="20"/>
                  <w:u w:val="none"/>
                  <w:effect w:val="none"/>
                </w:rPr>
                <w:t>43</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178">
              <w:r>
                <w:rPr>
                  <w:rStyle w:val="InternetLink"/>
                  <w:rFonts w:ascii="Times New Roman;sans-serif" w:hAnsi="Times New Roman;sans-serif"/>
                  <w:b w:val="false"/>
                  <w:strike w:val="false"/>
                  <w:dstrike w:val="false"/>
                  <w:color w:val="0000FF"/>
                  <w:sz w:val="20"/>
                  <w:u w:val="none"/>
                  <w:effect w:val="non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178">
              <w:r>
                <w:rPr>
                  <w:rStyle w:val="InternetLink"/>
                  <w:rFonts w:ascii="Times New Roman;sans-serif" w:hAnsi="Times New Roman;sans-serif"/>
                  <w:b w:val="false"/>
                  <w:color w:val="0000FF"/>
                  <w:sz w:val="20"/>
                  <w:u w:val="single"/>
                </w:rPr>
                <w:t>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4376642b6474f11bc155e6fdb08572b_178">
              <w:r>
                <w:rPr>
                  <w:rStyle w:val="InternetLink"/>
                  <w:rFonts w:ascii="Times New Roman;sans-serif" w:hAnsi="Times New Roman;sans-serif"/>
                  <w:b w:val="false"/>
                  <w:strike w:val="false"/>
                  <w:dstrike w:val="false"/>
                  <w:color w:val="0000FF"/>
                  <w:sz w:val="20"/>
                  <w:u w:val="none"/>
                  <w:effect w:val="none"/>
                </w:rPr>
                <w:t>44</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181">
              <w:r>
                <w:rPr>
                  <w:rStyle w:val="InternetLink"/>
                  <w:rFonts w:ascii="Times New Roman;sans-serif" w:hAnsi="Times New Roman;sans-serif"/>
                  <w:b w:val="false"/>
                  <w:strike w:val="false"/>
                  <w:dstrike w:val="false"/>
                  <w:color w:val="0000FF"/>
                  <w:sz w:val="20"/>
                  <w:u w:val="none"/>
                  <w:effect w:val="non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181">
              <w:r>
                <w:rPr>
                  <w:rStyle w:val="InternetLink"/>
                  <w:rFonts w:ascii="Times New Roman;sans-serif" w:hAnsi="Times New Roman;sans-serif"/>
                  <w:b w:val="false"/>
                  <w:color w:val="0000FF"/>
                  <w:sz w:val="20"/>
                  <w:u w:val="single"/>
                </w:rPr>
                <w:t>Defaults Upon Senior Securities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4376642b6474f11bc155e6fdb08572b_181">
              <w:r>
                <w:rPr>
                  <w:rStyle w:val="InternetLink"/>
                  <w:rFonts w:ascii="Times New Roman;sans-serif" w:hAnsi="Times New Roman;sans-serif"/>
                  <w:b w:val="false"/>
                  <w:strike w:val="false"/>
                  <w:dstrike w:val="false"/>
                  <w:color w:val="0000FF"/>
                  <w:sz w:val="20"/>
                  <w:u w:val="none"/>
                  <w:effect w:val="none"/>
                </w:rPr>
                <w:t>44</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184">
              <w:r>
                <w:rPr>
                  <w:rStyle w:val="InternetLink"/>
                  <w:rFonts w:ascii="Times New Roman;sans-serif" w:hAnsi="Times New Roman;sans-serif"/>
                  <w:b w:val="false"/>
                  <w:strike w:val="false"/>
                  <w:dstrike w:val="false"/>
                  <w:color w:val="0000FF"/>
                  <w:sz w:val="20"/>
                  <w:u w:val="none"/>
                  <w:effect w:val="non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184">
              <w:r>
                <w:rPr>
                  <w:rStyle w:val="InternetLink"/>
                  <w:rFonts w:ascii="Times New Roman;sans-serif" w:hAnsi="Times New Roman;sans-serif"/>
                  <w:b w:val="false"/>
                  <w:color w:val="0000FF"/>
                  <w:sz w:val="20"/>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4376642b6474f11bc155e6fdb08572b_184">
              <w:r>
                <w:rPr>
                  <w:rStyle w:val="InternetLink"/>
                  <w:rFonts w:ascii="Times New Roman;sans-serif" w:hAnsi="Times New Roman;sans-serif"/>
                  <w:b w:val="false"/>
                  <w:strike w:val="false"/>
                  <w:dstrike w:val="false"/>
                  <w:color w:val="0000FF"/>
                  <w:sz w:val="20"/>
                  <w:u w:val="none"/>
                  <w:effect w:val="none"/>
                </w:rPr>
                <w:t>44</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187">
              <w:r>
                <w:rPr>
                  <w:rStyle w:val="InternetLink"/>
                  <w:rFonts w:ascii="Times New Roman;sans-serif" w:hAnsi="Times New Roman;sans-serif"/>
                  <w:b w:val="false"/>
                  <w:strike w:val="false"/>
                  <w:dstrike w:val="false"/>
                  <w:color w:val="0000FF"/>
                  <w:sz w:val="20"/>
                  <w:u w:val="none"/>
                  <w:effect w:val="none"/>
                </w:rPr>
                <w:t>Item 5.</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187">
              <w:r>
                <w:rPr>
                  <w:rStyle w:val="InternetLink"/>
                  <w:rFonts w:ascii="Times New Roman;sans-serif" w:hAnsi="Times New Roman;sans-serif"/>
                  <w:b w:val="false"/>
                  <w:color w:val="0000FF"/>
                  <w:sz w:val="20"/>
                  <w:u w:val="single"/>
                </w:rPr>
                <w:t>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4376642b6474f11bc155e6fdb08572b_187">
              <w:r>
                <w:rPr>
                  <w:rStyle w:val="InternetLink"/>
                  <w:rFonts w:ascii="Times New Roman;sans-serif" w:hAnsi="Times New Roman;sans-serif"/>
                  <w:b w:val="false"/>
                  <w:strike w:val="false"/>
                  <w:dstrike w:val="false"/>
                  <w:color w:val="0000FF"/>
                  <w:sz w:val="20"/>
                  <w:u w:val="none"/>
                  <w:effect w:val="none"/>
                </w:rPr>
                <w:t>44</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376642b6474f11bc155e6fdb08572b_193">
              <w:r>
                <w:rPr>
                  <w:rStyle w:val="InternetLink"/>
                  <w:rFonts w:ascii="Times New Roman;sans-serif" w:hAnsi="Times New Roman;sans-serif"/>
                  <w:b w:val="false"/>
                  <w:strike w:val="false"/>
                  <w:dstrike w:val="false"/>
                  <w:color w:val="0000FF"/>
                  <w:sz w:val="20"/>
                  <w:u w:val="none"/>
                  <w:effect w:val="none"/>
                </w:rPr>
                <w:t>Item 6.</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376642b6474f11bc155e6fdb08572b_193">
              <w:r>
                <w:rPr>
                  <w:rStyle w:val="InternetLink"/>
                  <w:rFonts w:ascii="Times New Roman;sans-serif" w:hAnsi="Times New Roman;sans-serif"/>
                  <w:b w:val="false"/>
                  <w:color w:val="0000FF"/>
                  <w:sz w:val="20"/>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376642b6474f11bc155e6fdb08572b_193">
              <w:r>
                <w:rPr>
                  <w:rStyle w:val="InternetLink"/>
                  <w:rFonts w:ascii="Times New Roman;sans-serif" w:hAnsi="Times New Roman;sans-serif"/>
                  <w:b w:val="false"/>
                  <w:strike w:val="false"/>
                  <w:dstrike w:val="false"/>
                  <w:color w:val="0000FF"/>
                  <w:sz w:val="20"/>
                  <w:u w:val="none"/>
                  <w:effect w:val="none"/>
                </w:rPr>
                <w:t>45</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8"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4376642b6474f11bc155e6fdb08572b_199">
              <w:r>
                <w:rPr>
                  <w:rStyle w:val="InternetLink"/>
                  <w:rFonts w:ascii="Times New Roman;sans-serif" w:hAnsi="Times New Roman;sans-serif"/>
                  <w:b/>
                  <w:color w:val="0000FF"/>
                  <w:sz w:val="20"/>
                  <w:u w:val="singl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4376642b6474f11bc155e6fdb08572b_199">
              <w:r>
                <w:rPr>
                  <w:rStyle w:val="InternetLink"/>
                  <w:rFonts w:ascii="Times New Roman;sans-serif" w:hAnsi="Times New Roman;sans-serif"/>
                  <w:b w:val="false"/>
                  <w:strike w:val="false"/>
                  <w:dstrike w:val="false"/>
                  <w:color w:val="0000FF"/>
                  <w:sz w:val="20"/>
                  <w:u w:val="none"/>
                  <w:effect w:val="none"/>
                </w:rPr>
                <w:t>46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80" w:after="283"/>
        <w:jc w:val="center"/>
        <w:rPr>
          <w:rFonts w:ascii="Times New Roman;sans-serif" w:hAnsi="Times New Roman;sans-serif"/>
          <w:b/>
          <w:color w:val="BF2115"/>
          <w:sz w:val="24"/>
        </w:rPr>
      </w:pPr>
      <w:r>
        <w:rPr>
          <w:rFonts w:ascii="Times New Roman;sans-serif" w:hAnsi="Times New Roman;sans-serif"/>
          <w:b/>
          <w:color w:val="BF2115"/>
          <w:sz w:val="24"/>
        </w:rPr>
        <w:t>PART I - FINANCIAL INFORMATION</w:t>
      </w: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CONDENSED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166" w:type="dxa"/>
        <w:jc w:val="left"/>
        <w:tblInd w:w="0" w:type="dxa"/>
        <w:tblLayout w:type="fixed"/>
        <w:tblCellMar>
          <w:top w:w="28" w:type="dxa"/>
          <w:left w:w="28" w:type="dxa"/>
          <w:bottom w:w="28" w:type="dxa"/>
          <w:right w:w="28" w:type="dxa"/>
        </w:tblCellMar>
      </w:tblPr>
      <w:tblGrid>
        <w:gridCol w:w="1485"/>
        <w:gridCol w:w="1303"/>
        <w:gridCol w:w="1307"/>
        <w:gridCol w:w="238"/>
        <w:gridCol w:w="785"/>
        <w:gridCol w:w="132"/>
        <w:gridCol w:w="109"/>
        <w:gridCol w:w="109"/>
        <w:gridCol w:w="109"/>
        <w:gridCol w:w="313"/>
        <w:gridCol w:w="1031"/>
        <w:gridCol w:w="245"/>
      </w:tblGrid>
      <w:tr>
        <w:trPr/>
        <w:tc>
          <w:tcPr>
            <w:tcW w:w="1485"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Prepayments and other current assets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and advances to unconsolidated affiliates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Property and equipment, net </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other than goodwill</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 net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33,366 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other liabilities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financing obligations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liability</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28,589 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28,646 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Commitments and contingencies (</w:t>
            </w:r>
            <w:hyperlink w:anchor="i84376642b6474f11bc155e6fdb08572b_79">
              <w:r>
                <w:rPr>
                  <w:rStyle w:val="InternetLink"/>
                  <w:rFonts w:ascii="Times New Roman;sans-serif" w:hAnsi="Times New Roman;sans-serif"/>
                  <w:b w:val="false"/>
                  <w:color w:val="0000FF"/>
                  <w:sz w:val="18"/>
                  <w:u w:val="single"/>
                </w:rPr>
                <w:t>Note 5</w:t>
              </w:r>
            </w:hyperlink>
            <w:r>
              <w:rPr>
                <w:rFonts w:ascii="Times New Roman;sans-serif" w:hAnsi="Times New Roman;sans-serif"/>
                <w:b w:val="false"/>
                <w:color w:val="000000"/>
                <w:sz w:val="18"/>
              </w:rPr>
              <w:t>)</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stockholders’ equity</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4,720 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33,084 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33,366 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04165"/>
                <wp:effectExtent l="0" t="0" r="0" b="0"/>
                <wp:wrapNone/>
                <wp:docPr id="3" name="Frame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CONDENSED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559" w:type="dxa"/>
        <w:jc w:val="left"/>
        <w:tblInd w:w="0" w:type="dxa"/>
        <w:tblLayout w:type="fixed"/>
        <w:tblCellMar>
          <w:top w:w="28" w:type="dxa"/>
          <w:left w:w="28" w:type="dxa"/>
          <w:bottom w:w="28" w:type="dxa"/>
          <w:right w:w="28" w:type="dxa"/>
        </w:tblCellMar>
      </w:tblPr>
      <w:tblGrid>
        <w:gridCol w:w="1635"/>
        <w:gridCol w:w="1434"/>
        <w:gridCol w:w="1446"/>
        <w:gridCol w:w="233"/>
        <w:gridCol w:w="663"/>
        <w:gridCol w:w="130"/>
        <w:gridCol w:w="130"/>
        <w:gridCol w:w="130"/>
        <w:gridCol w:w="130"/>
        <w:gridCol w:w="233"/>
        <w:gridCol w:w="663"/>
        <w:gridCol w:w="130"/>
        <w:gridCol w:w="109"/>
        <w:gridCol w:w="109"/>
        <w:gridCol w:w="109"/>
        <w:gridCol w:w="213"/>
        <w:gridCol w:w="605"/>
        <w:gridCol w:w="118"/>
        <w:gridCol w:w="118"/>
        <w:gridCol w:w="118"/>
        <w:gridCol w:w="118"/>
        <w:gridCol w:w="213"/>
        <w:gridCol w:w="605"/>
        <w:gridCol w:w="167"/>
      </w:tblGrid>
      <w:tr>
        <w:trPr/>
        <w:tc>
          <w:tcPr>
            <w:tcW w:w="163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 except per share data)</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charges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and other costs, net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(loss)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continuing operations before income taxes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continuing operations, net of income taxes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Caesars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Net income (loss) per share - basic and diluted:</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income (loss) per share</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income (loss) per share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basic shares outstanding</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diluted shares outstanding</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04165"/>
                <wp:effectExtent l="0" t="0" r="0" b="0"/>
                <wp:wrapNone/>
                <wp:docPr id="4" name="Frame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CONDENSED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541" w:type="dxa"/>
        <w:jc w:val="left"/>
        <w:tblInd w:w="0" w:type="dxa"/>
        <w:tblLayout w:type="fixed"/>
        <w:tblCellMar>
          <w:top w:w="28" w:type="dxa"/>
          <w:left w:w="28" w:type="dxa"/>
          <w:bottom w:w="28" w:type="dxa"/>
          <w:right w:w="28" w:type="dxa"/>
        </w:tblCellMar>
      </w:tblPr>
      <w:tblGrid>
        <w:gridCol w:w="1632"/>
        <w:gridCol w:w="1433"/>
        <w:gridCol w:w="1435"/>
        <w:gridCol w:w="258"/>
        <w:gridCol w:w="654"/>
        <w:gridCol w:w="143"/>
        <w:gridCol w:w="143"/>
        <w:gridCol w:w="143"/>
        <w:gridCol w:w="143"/>
        <w:gridCol w:w="258"/>
        <w:gridCol w:w="555"/>
        <w:gridCol w:w="143"/>
        <w:gridCol w:w="109"/>
        <w:gridCol w:w="109"/>
        <w:gridCol w:w="109"/>
        <w:gridCol w:w="235"/>
        <w:gridCol w:w="595"/>
        <w:gridCol w:w="130"/>
        <w:gridCol w:w="130"/>
        <w:gridCol w:w="130"/>
        <w:gridCol w:w="130"/>
        <w:gridCol w:w="235"/>
        <w:gridCol w:w="505"/>
        <w:gridCol w:w="184"/>
      </w:tblGrid>
      <w:tr>
        <w:trPr/>
        <w:tc>
          <w:tcPr>
            <w:tcW w:w="1632"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net of tax</w:t>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attributable to noncontrolling interests</w:t>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attributable to Caesars</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04165"/>
                <wp:effectExtent l="0" t="0" r="0" b="0"/>
                <wp:wrapNone/>
                <wp:docPr id="5" name="Frame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CONDENSED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3475" w:type="dxa"/>
        <w:jc w:val="left"/>
        <w:tblInd w:w="0" w:type="dxa"/>
        <w:tblLayout w:type="fixed"/>
        <w:tblCellMar>
          <w:top w:w="28" w:type="dxa"/>
          <w:left w:w="28" w:type="dxa"/>
          <w:bottom w:w="28" w:type="dxa"/>
          <w:right w:w="28" w:type="dxa"/>
        </w:tblCellMar>
      </w:tblPr>
      <w:tblGrid>
        <w:gridCol w:w="755"/>
        <w:gridCol w:w="215"/>
        <w:gridCol w:w="216"/>
        <w:gridCol w:w="210"/>
        <w:gridCol w:w="210"/>
        <w:gridCol w:w="211"/>
        <w:gridCol w:w="109"/>
        <w:gridCol w:w="109"/>
        <w:gridCol w:w="109"/>
        <w:gridCol w:w="207"/>
        <w:gridCol w:w="428"/>
        <w:gridCol w:w="116"/>
        <w:gridCol w:w="109"/>
        <w:gridCol w:w="109"/>
        <w:gridCol w:w="109"/>
        <w:gridCol w:w="210"/>
        <w:gridCol w:w="211"/>
        <w:gridCol w:w="211"/>
        <w:gridCol w:w="109"/>
        <w:gridCol w:w="109"/>
        <w:gridCol w:w="109"/>
        <w:gridCol w:w="207"/>
        <w:gridCol w:w="428"/>
        <w:gridCol w:w="116"/>
        <w:gridCol w:w="109"/>
        <w:gridCol w:w="109"/>
        <w:gridCol w:w="109"/>
        <w:gridCol w:w="196"/>
        <w:gridCol w:w="556"/>
        <w:gridCol w:w="109"/>
        <w:gridCol w:w="109"/>
        <w:gridCol w:w="109"/>
        <w:gridCol w:w="109"/>
        <w:gridCol w:w="251"/>
        <w:gridCol w:w="733"/>
        <w:gridCol w:w="142"/>
        <w:gridCol w:w="109"/>
        <w:gridCol w:w="109"/>
        <w:gridCol w:w="109"/>
        <w:gridCol w:w="402"/>
        <w:gridCol w:w="679"/>
        <w:gridCol w:w="225"/>
        <w:gridCol w:w="109"/>
        <w:gridCol w:w="109"/>
        <w:gridCol w:w="109"/>
        <w:gridCol w:w="244"/>
        <w:gridCol w:w="431"/>
        <w:gridCol w:w="136"/>
        <w:gridCol w:w="109"/>
        <w:gridCol w:w="109"/>
        <w:gridCol w:w="109"/>
        <w:gridCol w:w="340"/>
        <w:gridCol w:w="731"/>
        <w:gridCol w:w="190"/>
        <w:gridCol w:w="109"/>
        <w:gridCol w:w="109"/>
        <w:gridCol w:w="109"/>
        <w:gridCol w:w="263"/>
        <w:gridCol w:w="746"/>
        <w:gridCol w:w="207"/>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2023</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(2,523)</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 of stock awards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March 31, 2024</w:t>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4,588 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 of stock awards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 of shares issued</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Transactions with noncontrolling interests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June 30, 2024</w:t>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(2,803)</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4,495 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2022</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3,751 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Shares withheld related to net share settlement of stock awards </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March 31, 2023</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(3,445)</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 of stock awards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Transactions with noncontrolling interests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June 30, 2023</w:t>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4,667 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04165"/>
                <wp:effectExtent l="0" t="0" r="0" b="0"/>
                <wp:wrapNone/>
                <wp:docPr id="6" name="Frame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CONDENSED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71"/>
        <w:gridCol w:w="2488"/>
        <w:gridCol w:w="2514"/>
        <w:gridCol w:w="207"/>
        <w:gridCol w:w="498"/>
        <w:gridCol w:w="115"/>
        <w:gridCol w:w="115"/>
        <w:gridCol w:w="115"/>
        <w:gridCol w:w="115"/>
        <w:gridCol w:w="207"/>
        <w:gridCol w:w="590"/>
        <w:gridCol w:w="170"/>
      </w:tblGrid>
      <w:tr>
        <w:trPr/>
        <w:tc>
          <w:tcPr>
            <w:tcW w:w="3071"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8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operating activities:</w:t>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8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 and discounts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doubtful accounts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8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amortization</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on investments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 expense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and disposal of property and equipment</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charges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8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adjustments to net income (loss)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operating assets and liabilities:</w:t>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receivable and payable, net</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 liabilities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807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8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gaming rights and trademarks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and equipment</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sale of investments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807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8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 and revolving credit facilities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debt and revolving credit facilities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8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obligation payments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and extinguishment costs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8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 owners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 owners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equity awards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8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807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807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807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807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807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8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807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8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cash, cash equivalents and restricted cash</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RECONCILIATION OF CASH, CASH EQUIVALENTS AND RESTRICTED CASH TO AMOUNTS REPORTED WITHIN THE CONSOLIDATED CONDENSED BALANCE SHEETS:</w:t>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and escrow cash included in other long-term assets, net</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3"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8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2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959 </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1,327 </w:t>
            </w:r>
          </w:p>
        </w:tc>
        <w:tc>
          <w:tcPr>
            <w:tcW w:w="1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04165"/>
                <wp:effectExtent l="0" t="0" r="0" b="0"/>
                <wp:wrapNone/>
                <wp:docPr id="7" name="Frame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180" w:after="283"/>
        <w:jc w:val="left"/>
        <w:rPr/>
      </w:pPr>
      <w:r>
        <w:rPr/>
      </w:r>
    </w:p>
    <w:tbl>
      <w:tblPr>
        <w:tblW w:w="7738" w:type="dxa"/>
        <w:jc w:val="center"/>
        <w:tblInd w:w="0" w:type="dxa"/>
        <w:tblLayout w:type="fixed"/>
        <w:tblCellMar>
          <w:top w:w="28" w:type="dxa"/>
          <w:left w:w="28" w:type="dxa"/>
          <w:bottom w:w="28" w:type="dxa"/>
          <w:right w:w="28" w:type="dxa"/>
        </w:tblCellMar>
      </w:tblPr>
      <w:tblGrid>
        <w:gridCol w:w="1976"/>
        <w:gridCol w:w="1733"/>
        <w:gridCol w:w="1751"/>
        <w:gridCol w:w="245"/>
        <w:gridCol w:w="526"/>
        <w:gridCol w:w="136"/>
        <w:gridCol w:w="136"/>
        <w:gridCol w:w="136"/>
        <w:gridCol w:w="136"/>
        <w:gridCol w:w="245"/>
        <w:gridCol w:w="526"/>
        <w:gridCol w:w="192"/>
      </w:tblGrid>
      <w:tr>
        <w:trPr/>
        <w:tc>
          <w:tcPr>
            <w:tcW w:w="1976"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CASH FLOW INFORMATION:</w:t>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interest paid for debt</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interest paid for rent related to financing obligations</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 net</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Payables for capital expenditures</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gaming rights and customer relationships</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4165"/>
                <wp:effectExtent l="0" t="0" r="0" b="0"/>
                <wp:wrapNone/>
                <wp:docPr id="8" name="Frame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accompanying consolidated condensed financial statements include the accounts of Caesars Entertainment, Inc., a Delaware corporation, and its consolidated subsidiaries which may be referred to as the “Company,” “CEI,” “Caesars,” “we,” “our,” or “us” within these financial statements.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Form 10-Q should be read in conjunction with our Annual Report on Form 10-K for the year ended December 31, 2023 (the “2023 Annual Report”). Capitalized terms used but not defined in this Form 10-Q have the same meanings as in the 2023 Annual Report.</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We also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w:t>
      </w:r>
    </w:p>
    <w:p>
      <w:pPr>
        <w:pStyle w:val="TextBody"/>
        <w:bidi w:val="0"/>
        <w:spacing w:lineRule="auto" w:line="288" w:before="0" w:after="0"/>
        <w:jc w:val="both"/>
        <w:rPr>
          <w:rFonts w:ascii="Times New Roman;sans-serif" w:hAnsi="Times New Roman;sans-serif"/>
          <w:b/>
          <w:color w:val="BF2115"/>
          <w:sz w:val="24"/>
        </w:rPr>
      </w:pPr>
      <w:r>
        <w:rPr>
          <w:rFonts w:ascii="Times New Roman;sans-serif" w:hAnsi="Times New Roman;sans-serif"/>
          <w:b/>
          <w:color w:val="BF2115"/>
          <w:sz w:val="24"/>
        </w:rPr>
        <w:t>Note 1. Organization and Description of Business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geographically diversified gaming and hospitality company that was founded in 1973 by the Carano family with the opening of the Eldorado Hotel Casino in Reno, Nevada. Beginning in 2005, the Company grew through a series of acquisitions, including the acquisition of MTR Gaming Group, Inc. in 2014, Isle of Capri Casinos, Inc. in 2017, Tropicana Entertainment, Inc. in 2018, Caesars Entertainment Corporation in 2020 and William Hill PLC in 2021. The Company’s ticker symbol on the NASDAQ Stock Market is “CZR.”</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leases, brands or manages an aggregate of 53 domestic properties in 18 states with approximately 51,000 slot machines, video lottery terminals and e-tables, approximately 2,800 table games and approximately 44,900 hotel rooms as of June 30, 2024. In addition, the Company has other properties in North America that are authorized to use the brands and marks of Caesars Entertainment, Inc., as well as other non-gaming properties. The Company’s primary source of revenue is generated by its casino properties’ gaming operations, which includes retail and online sports betting and online gaming, and the Company utilizes its hotels, restaurants, bars, entertainment, racing, retail shops and other services to attract customers to its properties.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operations for retail and online sports betting, iGaming, horse racing and online poker are included under the Caesars Digital segment. The Company operates the Caesars Sportsbook app, the Caesars Racebook app and the recently launched Caesars Palace Online Casino app. The Company operates retail and online sports wagering in 32 jurisdictions in North America, 26 of which offer online sports betting, and operates iGaming in five jurisdictions in North America as of June 30, 2024. On June 18, 2024, the Company completed the acquisition of the operations of WynnBET’s Michigan iGaming business and long-term extension of iGaming market access rights with the Sault Ste. Marie Tribe of Chippewa Indians. The Company expects to continue to grow its operations in the Caesars Digital segment as new jurisdictions legalize retail and online sports betting and iGaming.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2. Basis of Presentation and Significant Accounting Policies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Financial Statements of the Company have been prepared in accordance with accounting principles generally accepted in the United States (“GAAP”) for interim financial information with the instructions for Form 10-Q and Article 10 of Regulation S-X. Accordingly, they do not include all of the information and notes required by GAAP for complete financial statements. In the opinion of management, the accompanying unaudited Financial Statements contain all adjustments, all of which are normal and recurring, considered necessary for a fair presentation. The results of operations for these interim periods are not necessarily indicative of the operating results for other quarters, for the full year or any future period.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presentation of financial information herein for the periods after our completed divestiture of Rio All-Suite Hotel &amp; Casino at the end of the third quarter of 2023 is not fully comparable to the periods prior to such divestiture.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Consolidation of Subsidiaries and Variable Interest Entities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include the accounts of Caesars Entertainment, Inc. and its subsidiaries after elimination of all intercompany accounts and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4165"/>
                <wp:effectExtent l="0" t="0" r="0" b="0"/>
                <wp:wrapNone/>
                <wp:docPr id="9" name="Frame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consolidate all subsidiaries in which we have a controlling financial interest and variable interest entities (“VIEs”) for which we or one of our consolidated subsidiaries is the primary beneficiary. Control generally equates to ownership percentage, whereby (i) affiliates that are more than 50% owned are consolidated; (ii) investments in affiliates of 50% or less but greater than 20% are generally accounted for using the equity method where we have determined that we have significant influence over the entities; and (iii) investments in affiliates of 20% or less are generally accounted for as investments in equity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ourselves the primary beneficiary of a VIE when we have both the power to direct the activities that most significantly affect the results of the VIE and the right to receive benefits or the obligation to absorb losses of the entity that could be potentially significant to the VIE. We review investments for VIE consideration if a reconsideration event occurs to determine if the investment qualifies, or continues to qualify, as a VIE. If we determine an investment qualifies, or no longer qualifies, as a VIE, there may be a material effect to our Financial Statements.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certain of its financial assets and liabilities at fair value, on a recurring basis, which is the price that would be received to sell an asset or paid to transfer a liability in an orderly transaction between market participants. Levels of the hierarchy prioritize the inputs used to measure fair value and include: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Level 1: Observable inputs such as quoted prices in active markets.</w:t>
      </w:r>
    </w:p>
    <w:p>
      <w:pPr>
        <w:pStyle w:val="TextBody"/>
        <w:bidi w:val="0"/>
        <w:spacing w:lineRule="auto" w:line="288" w:before="180" w:after="283"/>
        <w:ind w:left="0" w:right="0" w:hanging="360"/>
        <w:jc w:val="both"/>
        <w:rPr/>
      </w:pPr>
      <w:r>
        <w:rPr>
          <w:color w:val="212529"/>
        </w:rPr>
        <w:t>•</w:t>
      </w:r>
      <w:r>
        <w:rPr>
          <w:rFonts w:ascii="Times New Roman;sans-serif" w:hAnsi="Times New Roman;sans-serif"/>
          <w:b w:val="false"/>
          <w:color w:val="000000"/>
          <w:sz w:val="20"/>
        </w:rPr>
        <w:t>Level 2: Inputs other than quoted prices in active markets that are either directly or indirectly observable.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Level 3: Unobservable inputs that reflect the Company’s own assumptions, as there is little, if any, related market activity.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equivalents include investments in money market funds that can be redeemed immediately at the current net asset value per share. A money market fund is a mutual fund whose investments are primarily in short-term debt securities designed to maximize current income with liquidity and capital preservation, usually maintaining per share net asset value at a constant amount, such as one dollar. The carrying amounts approximate the fair value because of the short maturity of those instruments (Level 1). Cash and cash equivalents also include cash maintained for gaming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includes cash equivalents held in certificates of deposit accounts or money market type funds, that are not subject to remeasurement on a recurring basis, which are restricted under certain operating agreements or restricted for future capital expenditures in the normal course of business.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Marketable Securities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Marketable securities consist primarily of trading securities held by the Company’s deferred compensation plans. The estimated fair values of the Company’s marketable securities are determined on an individual asset basis based upon quoted prices of identical assets available in active markets (Level 1) and represent the amounts the Company would expect to receive if the Company sold these marketable securities. As of both June 30, 2024 and December 31, 2023, the Company held $2 million in Level 1 securities.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enter into derivative instruments to hedge the risk of fluctuations in interest rates, foreign exchange rates or pricing for other commodities. These agreements are designated as cash flow hedges. As of June 30, 2024 and December 31, 2023, the Company did not hold any cash flow hedges or any derivative financial instruments for trading purposes.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4165"/>
                <wp:effectExtent l="0" t="0" r="0" b="0"/>
                <wp:wrapNone/>
                <wp:docPr id="10" name="Frame1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Advertising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costs are expensed in the period the advertising first occurs. Advertising costs for the three months ended June 30, 2024 and 2023 were $48 million and $52 million, respectively, and for the six months ended June 30, 2024 and 2023 totaled $112 million and $120 million, respectively, and are included within operating expenses. Advertising costs related to the Caesars Digital segment are primarily recorded in Casino expense.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 Net</w:t>
      </w:r>
    </w:p>
    <w:tbl>
      <w:tblPr>
        <w:tblW w:w="6990" w:type="dxa"/>
        <w:jc w:val="left"/>
        <w:tblInd w:w="0" w:type="dxa"/>
        <w:tblLayout w:type="fixed"/>
        <w:tblCellMar>
          <w:top w:w="28" w:type="dxa"/>
          <w:left w:w="28" w:type="dxa"/>
          <w:bottom w:w="28" w:type="dxa"/>
          <w:right w:w="28" w:type="dxa"/>
        </w:tblCellMar>
      </w:tblPr>
      <w:tblGrid>
        <w:gridCol w:w="707"/>
        <w:gridCol w:w="620"/>
        <w:gridCol w:w="622"/>
        <w:gridCol w:w="269"/>
        <w:gridCol w:w="578"/>
        <w:gridCol w:w="149"/>
        <w:gridCol w:w="149"/>
        <w:gridCol w:w="149"/>
        <w:gridCol w:w="149"/>
        <w:gridCol w:w="269"/>
        <w:gridCol w:w="578"/>
        <w:gridCol w:w="149"/>
        <w:gridCol w:w="109"/>
        <w:gridCol w:w="109"/>
        <w:gridCol w:w="109"/>
        <w:gridCol w:w="213"/>
        <w:gridCol w:w="605"/>
        <w:gridCol w:w="118"/>
        <w:gridCol w:w="118"/>
        <w:gridCol w:w="118"/>
        <w:gridCol w:w="118"/>
        <w:gridCol w:w="213"/>
        <w:gridCol w:w="605"/>
        <w:gridCol w:w="167"/>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interest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 net</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Pronouncements to Be Implemented in Future Periods</w:t>
      </w:r>
    </w:p>
    <w:p>
      <w:pPr>
        <w:pStyle w:val="TextBody"/>
        <w:bidi w:val="0"/>
        <w:spacing w:lineRule="auto" w:line="288" w:before="180" w:after="283"/>
        <w:jc w:val="both"/>
        <w:rPr/>
      </w:pPr>
      <w:r>
        <w:rPr>
          <w:rFonts w:ascii="Times New Roman;sans-serif" w:hAnsi="Times New Roman;sans-serif"/>
          <w:b w:val="false"/>
          <w:color w:val="000000"/>
          <w:sz w:val="20"/>
        </w:rPr>
        <w:t>In December 2023, the Financial Accounting Standards Board (“FASB”) issued Accounting Standards Update (“ASU”) 2023-09, “</w:t>
      </w:r>
      <w:r>
        <w:rPr>
          <w:rFonts w:ascii="Times New Roman;sans-serif" w:hAnsi="Times New Roman;sans-serif"/>
          <w:b w:val="false"/>
          <w:i/>
          <w:color w:val="000000"/>
          <w:sz w:val="20"/>
        </w:rPr>
        <w:t>Income Taxes: Improvements to Income Tax Disclosures,</w:t>
      </w:r>
      <w:r>
        <w:rPr>
          <w:color w:val="000000"/>
        </w:rPr>
        <w:t xml:space="preserve">” </w:t>
      </w:r>
      <w:r>
        <w:rPr>
          <w:rFonts w:ascii="Times New Roman;sans-serif" w:hAnsi="Times New Roman;sans-serif"/>
          <w:b w:val="false"/>
          <w:color w:val="000000"/>
          <w:sz w:val="20"/>
        </w:rPr>
        <w:t>which requires disaggregated information about an entity’s effective tax rate reconciliation as well as information on income taxes paid. These updates apply to all entities subject to income taxes and will be effective for annual periods beginning after December 15, 2024. Early adoption is permitted. Updates will be applied on a prospective basis with the option to apply the standard retrospectively. We do not expect the amendments in this update to have a material impact on our Financial Statements.</w:t>
      </w:r>
    </w:p>
    <w:p>
      <w:pPr>
        <w:pStyle w:val="TextBody"/>
        <w:bidi w:val="0"/>
        <w:spacing w:lineRule="auto" w:line="288" w:before="180" w:after="283"/>
        <w:jc w:val="both"/>
        <w:rPr/>
      </w:pPr>
      <w:r>
        <w:rPr>
          <w:rFonts w:ascii="Times New Roman;sans-serif" w:hAnsi="Times New Roman;sans-serif"/>
          <w:b w:val="false"/>
          <w:color w:val="000000"/>
          <w:sz w:val="20"/>
        </w:rPr>
        <w:t>In November 2023, the FASB issued ASU 2023-07, “</w:t>
      </w:r>
      <w:r>
        <w:rPr>
          <w:rFonts w:ascii="Times New Roman;sans-serif" w:hAnsi="Times New Roman;sans-serif"/>
          <w:b w:val="false"/>
          <w:i/>
          <w:color w:val="000000"/>
          <w:sz w:val="20"/>
        </w:rPr>
        <w:t>Segment Reporting: Improvements to Reportable Segment Disclosures,</w:t>
      </w:r>
      <w:r>
        <w:rPr>
          <w:color w:val="000000"/>
        </w:rPr>
        <w:t xml:space="preserve">” </w:t>
      </w:r>
      <w:r>
        <w:rPr>
          <w:rFonts w:ascii="Times New Roman;sans-serif" w:hAnsi="Times New Roman;sans-serif"/>
          <w:b w:val="false"/>
          <w:color w:val="000000"/>
          <w:sz w:val="20"/>
        </w:rPr>
        <w:t>which requires public entities to disclose information about their reportable segments’ significant expenses on an interim and annual basis. This guidance is effective for years beginning after December 15, 2023, and interim periods within years beginning after December 15, 2024. Early adoption is permitted. Amendments in this update should be applied retrospectively to all prior periods presented in the financial statements. We do not expect the amendments in this update to have a material impact on our Financial Statements.</w:t>
      </w:r>
    </w:p>
    <w:p>
      <w:pPr>
        <w:pStyle w:val="TextBody"/>
        <w:bidi w:val="0"/>
        <w:spacing w:lineRule="auto" w:line="288" w:before="180" w:after="283"/>
        <w:jc w:val="both"/>
        <w:rPr/>
      </w:pPr>
      <w:r>
        <w:rPr>
          <w:rFonts w:ascii="Times New Roman;sans-serif" w:hAnsi="Times New Roman;sans-serif"/>
          <w:b w:val="false"/>
          <w:color w:val="000000"/>
          <w:sz w:val="20"/>
        </w:rPr>
        <w:t>In October 2023, the FASB issued ASU 2023-06, “</w:t>
      </w:r>
      <w:r>
        <w:rPr>
          <w:rFonts w:ascii="Times New Roman;sans-serif" w:hAnsi="Times New Roman;sans-serif"/>
          <w:b w:val="false"/>
          <w:i/>
          <w:color w:val="000000"/>
          <w:sz w:val="20"/>
        </w:rPr>
        <w:t>Disclosure Improvements: Codification Amendments in Response to the SEC’s Disclosure Update and Simplification Initiative,”</w:t>
      </w:r>
      <w:r>
        <w:rPr>
          <w:color w:val="000000"/>
        </w:rPr>
        <w:t xml:space="preserve"> </w:t>
      </w:r>
      <w:r>
        <w:rPr>
          <w:rFonts w:ascii="Times New Roman;sans-serif" w:hAnsi="Times New Roman;sans-serif"/>
          <w:b w:val="false"/>
          <w:color w:val="000000"/>
          <w:sz w:val="20"/>
        </w:rPr>
        <w:t>to clarify or improve disclosure and presentation requirements on a variety of topics and align the requirements in the FASB accounting standard codification with the Securities and Exchange Commission regulations. This guidance is effective for the Company no later than June 30, 2027. We do not expect the amendments in this update to have a material impact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3. Property and Equipment</w:t>
      </w:r>
    </w:p>
    <w:tbl>
      <w:tblPr>
        <w:tblW w:w="7421" w:type="dxa"/>
        <w:jc w:val="left"/>
        <w:tblInd w:w="0" w:type="dxa"/>
        <w:tblLayout w:type="fixed"/>
        <w:tblCellMar>
          <w:top w:w="28" w:type="dxa"/>
          <w:left w:w="28" w:type="dxa"/>
          <w:bottom w:w="28" w:type="dxa"/>
          <w:right w:w="28" w:type="dxa"/>
        </w:tblCellMar>
      </w:tblPr>
      <w:tblGrid>
        <w:gridCol w:w="1576"/>
        <w:gridCol w:w="1383"/>
        <w:gridCol w:w="1391"/>
        <w:gridCol w:w="238"/>
        <w:gridCol w:w="785"/>
        <w:gridCol w:w="132"/>
        <w:gridCol w:w="109"/>
        <w:gridCol w:w="109"/>
        <w:gridCol w:w="109"/>
        <w:gridCol w:w="313"/>
        <w:gridCol w:w="1031"/>
        <w:gridCol w:w="245"/>
      </w:tblGrid>
      <w:tr>
        <w:trPr/>
        <w:tc>
          <w:tcPr>
            <w:tcW w:w="157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riverboats, and leasehold and land improvements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fixtures, and equipment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18,802 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(4,046)</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 net</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14,756 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our property and equipment is subject to various operating leases for which we are the lessor. Leased property includes our hotel rooms, convention space and retail space through various short-term and long-term operating leases.</w:t>
      </w:r>
    </w:p>
    <w:tbl>
      <w:tblPr>
        <w:tblW w:w="6964" w:type="dxa"/>
        <w:jc w:val="left"/>
        <w:tblInd w:w="0" w:type="dxa"/>
        <w:tblLayout w:type="fixed"/>
        <w:tblCellMar>
          <w:top w:w="28" w:type="dxa"/>
          <w:left w:w="28" w:type="dxa"/>
          <w:bottom w:w="28" w:type="dxa"/>
          <w:right w:w="28" w:type="dxa"/>
        </w:tblCellMar>
      </w:tblPr>
      <w:tblGrid>
        <w:gridCol w:w="695"/>
        <w:gridCol w:w="611"/>
        <w:gridCol w:w="614"/>
        <w:gridCol w:w="269"/>
        <w:gridCol w:w="578"/>
        <w:gridCol w:w="149"/>
        <w:gridCol w:w="149"/>
        <w:gridCol w:w="149"/>
        <w:gridCol w:w="149"/>
        <w:gridCol w:w="269"/>
        <w:gridCol w:w="578"/>
        <w:gridCol w:w="149"/>
        <w:gridCol w:w="109"/>
        <w:gridCol w:w="109"/>
        <w:gridCol w:w="109"/>
        <w:gridCol w:w="245"/>
        <w:gridCol w:w="526"/>
        <w:gridCol w:w="136"/>
        <w:gridCol w:w="136"/>
        <w:gridCol w:w="136"/>
        <w:gridCol w:w="136"/>
        <w:gridCol w:w="245"/>
        <w:gridCol w:w="526"/>
        <w:gridCol w:w="192"/>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Depreciation Expense</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expense</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4165"/>
                <wp:effectExtent l="0" t="0" r="0" b="0"/>
                <wp:wrapNone/>
                <wp:docPr id="11" name="Frame1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is calculated using the straight-line method over the shorter of the estimated useful life of the asset or the related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4. Goodwill and Intangible Assets, net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for impairment whenever indicators of impairment exist. When indicators are noted, the Company then compares estimated future cash flows, discounted, to the carrying value of the asset. If the discounted cash flows exceed the carrying value, no impairment is recorded. Impairment charges are presented on the statements of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negative performance indicators at certain regional properties, the Company recognized impairment charges in our Regional segment. These impairments were due to a decrease in projected future cash flows at certain regional properties primarily due to localized competition within certain markets. The Company identified three reporting units with estimated fair values associated with trademarks, gaming rights and goodwill below their respective carrying values and recorded impairments.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2024, the Company recognized impairment charges in our Regional segment related to trademarks, gaming rights and goodwill totaling $118 million. During the three and six months ended months ended June 30, 2023, the Company did not realize an impairment.</w:t>
      </w:r>
    </w:p>
    <w:tbl>
      <w:tblPr>
        <w:tblW w:w="10205" w:type="dxa"/>
        <w:jc w:val="left"/>
        <w:tblInd w:w="0" w:type="dxa"/>
        <w:tblLayout w:type="fixed"/>
        <w:tblCellMar>
          <w:top w:w="28" w:type="dxa"/>
          <w:left w:w="28" w:type="dxa"/>
          <w:bottom w:w="28" w:type="dxa"/>
          <w:right w:w="28" w:type="dxa"/>
        </w:tblCellMar>
      </w:tblPr>
      <w:tblGrid>
        <w:gridCol w:w="1830"/>
        <w:gridCol w:w="1595"/>
        <w:gridCol w:w="1600"/>
        <w:gridCol w:w="579"/>
        <w:gridCol w:w="1246"/>
        <w:gridCol w:w="326"/>
        <w:gridCol w:w="109"/>
        <w:gridCol w:w="109"/>
        <w:gridCol w:w="109"/>
        <w:gridCol w:w="242"/>
        <w:gridCol w:w="798"/>
        <w:gridCol w:w="134"/>
        <w:gridCol w:w="134"/>
        <w:gridCol w:w="134"/>
        <w:gridCol w:w="134"/>
        <w:gridCol w:w="242"/>
        <w:gridCol w:w="687"/>
        <w:gridCol w:w="197"/>
      </w:tblGrid>
      <w:tr>
        <w:trPr/>
        <w:tc>
          <w:tcPr>
            <w:tcW w:w="183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Changes in Carrying Value of Goodwill and Other Intangible Assets</w:t>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Non-Amortizing Intangible Assets</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Amortizing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Goodwill</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December 31, 2023</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expense</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gaming rights and customer relationships</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June 30, 2024</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10,949 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
        <w:gridCol w:w="269"/>
        <w:gridCol w:w="270"/>
        <w:gridCol w:w="215"/>
        <w:gridCol w:w="215"/>
        <w:gridCol w:w="216"/>
        <w:gridCol w:w="111"/>
        <w:gridCol w:w="111"/>
        <w:gridCol w:w="111"/>
        <w:gridCol w:w="223"/>
        <w:gridCol w:w="634"/>
        <w:gridCol w:w="124"/>
        <w:gridCol w:w="111"/>
        <w:gridCol w:w="111"/>
        <w:gridCol w:w="111"/>
        <w:gridCol w:w="327"/>
        <w:gridCol w:w="729"/>
        <w:gridCol w:w="183"/>
        <w:gridCol w:w="111"/>
        <w:gridCol w:w="111"/>
        <w:gridCol w:w="111"/>
        <w:gridCol w:w="219"/>
        <w:gridCol w:w="622"/>
        <w:gridCol w:w="121"/>
        <w:gridCol w:w="111"/>
        <w:gridCol w:w="111"/>
        <w:gridCol w:w="111"/>
        <w:gridCol w:w="223"/>
        <w:gridCol w:w="634"/>
        <w:gridCol w:w="124"/>
        <w:gridCol w:w="111"/>
        <w:gridCol w:w="111"/>
        <w:gridCol w:w="111"/>
        <w:gridCol w:w="327"/>
        <w:gridCol w:w="729"/>
        <w:gridCol w:w="183"/>
        <w:gridCol w:w="109"/>
        <w:gridCol w:w="109"/>
        <w:gridCol w:w="109"/>
        <w:gridCol w:w="218"/>
        <w:gridCol w:w="618"/>
        <w:gridCol w:w="190"/>
      </w:tblGrid>
      <w:tr>
        <w:trPr/>
        <w:tc>
          <w:tcPr>
            <w:tcW w:w="60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8852"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Gross Carrying Value and Accumulated Amortization of Intangible Assets Other Than 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Useful Life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Amortizing intangible assets</w:t>
            </w:r>
          </w:p>
        </w:tc>
        <w:tc>
          <w:tcPr>
            <w:tcW w:w="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3 - 7 years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 rights and other</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10 - 34 years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 years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Reacquired rights</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 years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 years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Non-amortizing intangible assets other than Goodwill</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w:t>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 rights</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Rewards</w:t>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amortizing and non-amortizing intangible assets other than Goodwill, net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4,523 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with respect to intangible assets for the three months ended June 30, 2024 and 2023 totaled $33 million and $36 million, respectively, and for the six months ended June 30, 2024 and 2023 totaled $69 million and $72 million, respectively, which is included in Depreciation and amortization in the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04165"/>
                <wp:effectExtent l="0" t="0" r="0" b="0"/>
                <wp:wrapNone/>
                <wp:docPr id="12" name="Frame1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268" w:type="dxa"/>
        <w:jc w:val="left"/>
        <w:tblInd w:w="0" w:type="dxa"/>
        <w:tblLayout w:type="fixed"/>
        <w:tblCellMar>
          <w:top w:w="28" w:type="dxa"/>
          <w:left w:w="28" w:type="dxa"/>
          <w:bottom w:w="28" w:type="dxa"/>
          <w:right w:w="28" w:type="dxa"/>
        </w:tblCellMar>
      </w:tblPr>
      <w:tblGrid>
        <w:gridCol w:w="1044"/>
        <w:gridCol w:w="915"/>
        <w:gridCol w:w="920"/>
        <w:gridCol w:w="415"/>
        <w:gridCol w:w="702"/>
        <w:gridCol w:w="232"/>
        <w:gridCol w:w="109"/>
        <w:gridCol w:w="109"/>
        <w:gridCol w:w="109"/>
        <w:gridCol w:w="196"/>
        <w:gridCol w:w="421"/>
        <w:gridCol w:w="109"/>
        <w:gridCol w:w="109"/>
        <w:gridCol w:w="109"/>
        <w:gridCol w:w="109"/>
        <w:gridCol w:w="196"/>
        <w:gridCol w:w="421"/>
        <w:gridCol w:w="109"/>
        <w:gridCol w:w="109"/>
        <w:gridCol w:w="109"/>
        <w:gridCol w:w="109"/>
        <w:gridCol w:w="196"/>
        <w:gridCol w:w="331"/>
        <w:gridCol w:w="109"/>
        <w:gridCol w:w="109"/>
        <w:gridCol w:w="109"/>
        <w:gridCol w:w="109"/>
        <w:gridCol w:w="196"/>
        <w:gridCol w:w="331"/>
        <w:gridCol w:w="109"/>
        <w:gridCol w:w="109"/>
        <w:gridCol w:w="109"/>
        <w:gridCol w:w="109"/>
        <w:gridCol w:w="196"/>
        <w:gridCol w:w="331"/>
        <w:gridCol w:w="154"/>
      </w:tblGrid>
      <w:tr>
        <w:trPr/>
        <w:tc>
          <w:tcPr>
            <w:tcW w:w="104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Estimated Five-Year Amortization</w:t>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Remaining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3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2029</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annual amortization expense</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 xml:space="preserve">Note 5. Litigation, Commitments and Contingencies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General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various legal proceedings, which have arisen in the normal course of our business. Such proceedings can be costly, time consuming and unpredictable and, therefore, no assurance can be given that the final outcome of such proceedings will not materially impact our consolidated financial condition or results of operations. Estimated losses are accrued for these proceedings when the loss is probable and can be estimated. While we maintain insurance coverage that we believe is adequate to mitigate the risks of such proceedings, no assurance can be given that the amount or scope of existing insurance coverage will be sufficient to cover losses arising from such matters. The current liability for the estimated losses associated with these proceedings is not material to our consolidated financial condition and those estimated losses are not expected to have a material impact on our results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Contractual Commitments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Capital Commitments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Caesars New Orleans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2020, the Company and the State of Louisiana, by and through the Louisiana Gaming Control Board, entered into an Amended and Restated Casino Operating Contract. Additionally, the Company, New Orleans Building Corporation and the City entered into a Second Amended and Restated Lease Agreement. Based on these amendments related to Caesars New Orleans, formerly Harrah’s New Orleans, the Company was required to make a capital investment of at least $325 million on or around Caesars New Orleans. The capital investment involves the rebranding of the property to Caesars New Orleans which includes a renovation and full interior and exterior redesign, updated casino floor, new culinary experiences and a new 340-room hotel tower. As of June 30, 2024, the Company has met the capital investment requirements, and the project is expected to be completed in late 2024.</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Sports Sponsorship/Partnership Obligations</w:t>
      </w:r>
    </w:p>
    <w:p>
      <w:pPr>
        <w:pStyle w:val="TextBody"/>
        <w:bidi w:val="0"/>
        <w:spacing w:lineRule="auto" w:line="288" w:before="180" w:after="283"/>
        <w:jc w:val="both"/>
        <w:rPr/>
      </w:pPr>
      <w:r>
        <w:rPr>
          <w:rFonts w:ascii="Times New Roman;sans-serif" w:hAnsi="Times New Roman;sans-serif"/>
          <w:b w:val="false"/>
          <w:color w:val="222222"/>
          <w:sz w:val="20"/>
        </w:rPr>
        <w:t xml:space="preserve">The Company has agreements with certain professional sports leagues and teams, sporting event facilities and media companies for tickets, suites, advertising, marketing, promotional and sponsorship opportunities including communication with partner customer databases. Some of the agreements provide Caesars with exclusivity to access the aforementioned rights within the casino and/or sports betting category. As of </w:t>
      </w:r>
      <w:r>
        <w:rPr>
          <w:rFonts w:ascii="Times New Roman;sans-serif" w:hAnsi="Times New Roman;sans-serif"/>
          <w:b w:val="false"/>
          <w:color w:val="000000"/>
          <w:sz w:val="20"/>
        </w:rPr>
        <w:t>June 30, 2024 and December 31, 2023</w:t>
      </w:r>
      <w:r>
        <w:rPr>
          <w:rFonts w:ascii="Times New Roman;sans-serif" w:hAnsi="Times New Roman;sans-serif"/>
          <w:b w:val="false"/>
          <w:color w:val="222222"/>
          <w:sz w:val="20"/>
        </w:rPr>
        <w:t>, obligations related to these agreements were $537 million and $605 million, respectively, with contracts extending through 2040. These obligations include leasing of event suites that are generally considered short-term leases for which the Company does not record a right of use asset or lease liability. The Company recognizes expenses in the period services are received in accordance with the various agreements. In addition, assets or liabilities may be recorded related to the timing of payments as required by the respective agreement.</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Self-Insurance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self-insured for workers compensation and other risk insurance, as well as health insurance and general liability. The Company’s total estimated self-insurance liability as of June 30, 2024 and December 31, 2023, was $221 million and $200 million, respectively, which is included in Accrued other liabilities in our Balance Sheets.</w:t>
      </w:r>
    </w:p>
    <w:p>
      <w:pPr>
        <w:pStyle w:val="TextBody"/>
        <w:bidi w:val="0"/>
        <w:spacing w:lineRule="auto" w:line="288" w:before="180" w:after="283"/>
        <w:jc w:val="both"/>
        <w:rPr>
          <w:rFonts w:ascii="Times New Roman;sans-serif" w:hAnsi="Times New Roman;sans-serif"/>
          <w:b w:val="false"/>
          <w:color w:val="222222"/>
          <w:sz w:val="20"/>
        </w:rPr>
      </w:pPr>
      <w:r>
        <w:rPr>
          <w:rFonts w:ascii="Times New Roman;sans-serif" w:hAnsi="Times New Roman;sans-serif"/>
          <w:b w:val="false"/>
          <w:color w:val="222222"/>
          <w:sz w:val="20"/>
        </w:rPr>
        <w:t>The assumptions utilized by our actuaries are subject to significant uncertainty and if outcomes differ from these assumptions or events develop or progress in a negative manner, the Company could experience a material adverse effect and additional liabilities may be recorded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04165"/>
                <wp:effectExtent l="0" t="0" r="0" b="0"/>
                <wp:wrapNone/>
                <wp:docPr id="13" name="Frame1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Note 6. Long-Term Debt</w:t>
      </w:r>
    </w:p>
    <w:tbl>
      <w:tblPr>
        <w:tblW w:w="9951" w:type="dxa"/>
        <w:jc w:val="left"/>
        <w:tblInd w:w="0" w:type="dxa"/>
        <w:tblLayout w:type="fixed"/>
        <w:tblCellMar>
          <w:top w:w="28" w:type="dxa"/>
          <w:left w:w="28" w:type="dxa"/>
          <w:bottom w:w="28" w:type="dxa"/>
          <w:right w:w="28" w:type="dxa"/>
        </w:tblCellMar>
      </w:tblPr>
      <w:tblGrid>
        <w:gridCol w:w="1078"/>
        <w:gridCol w:w="950"/>
        <w:gridCol w:w="953"/>
        <w:gridCol w:w="451"/>
        <w:gridCol w:w="451"/>
        <w:gridCol w:w="454"/>
        <w:gridCol w:w="120"/>
        <w:gridCol w:w="120"/>
        <w:gridCol w:w="120"/>
        <w:gridCol w:w="241"/>
        <w:gridCol w:w="241"/>
        <w:gridCol w:w="246"/>
        <w:gridCol w:w="109"/>
        <w:gridCol w:w="109"/>
        <w:gridCol w:w="109"/>
        <w:gridCol w:w="196"/>
        <w:gridCol w:w="646"/>
        <w:gridCol w:w="109"/>
        <w:gridCol w:w="109"/>
        <w:gridCol w:w="109"/>
        <w:gridCol w:w="109"/>
        <w:gridCol w:w="207"/>
        <w:gridCol w:w="683"/>
        <w:gridCol w:w="115"/>
        <w:gridCol w:w="109"/>
        <w:gridCol w:w="109"/>
        <w:gridCol w:w="109"/>
        <w:gridCol w:w="313"/>
        <w:gridCol w:w="1031"/>
        <w:gridCol w:w="245"/>
      </w:tblGrid>
      <w:tr>
        <w:trPr/>
        <w:tc>
          <w:tcPr>
            <w:tcW w:w="107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Final Maturity</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Book Value</w:t>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Secured Debt</w:t>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Revolving Credit Facility</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Term Loan A</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CVA Revolving Credit Facility</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CVA Delayed Draw Term Loan</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Term Loan B</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2030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Term Loan B-1</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2031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Senior Secured Notes due 2030</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2030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Senior Secured Notes due 2032</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2032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Senior Secured Notes due 2025</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CRC Senior Secured Notes</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Unsecured Debt</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Senior Notes due 2027</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Senior Notes due 2029</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Improvement District Bonds</w:t>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2037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notes and other payables</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finance charges associated with the CEI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12,224 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discounts and deferred finance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08"/>
        <w:gridCol w:w="685"/>
        <w:gridCol w:w="681"/>
        <w:gridCol w:w="255"/>
        <w:gridCol w:w="548"/>
        <w:gridCol w:w="143"/>
        <w:gridCol w:w="109"/>
        <w:gridCol w:w="109"/>
        <w:gridCol w:w="109"/>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6"/>
      </w:tblGrid>
      <w:tr>
        <w:trPr/>
        <w:tc>
          <w:tcPr>
            <w:tcW w:w="80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02" w:type="dxa"/>
            <w:gridSpan w:val="30"/>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Annual Estimated Debt Service Requirements 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Remaining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Annual maturities of long-term debt</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interest payments</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Total debt service obligation </w:t>
            </w:r>
            <w:r>
              <w:rPr>
                <w:rFonts w:ascii="Times New Roman;sans-serif" w:hAnsi="Times New Roman;sans-serif"/>
                <w:b w:val="false"/>
                <w:i/>
                <w:color w:val="000000"/>
                <w:sz w:val="12"/>
              </w:rPr>
              <w:t>(a)</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17,170 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Debt principal payments are estimated amounts based on contractual maturity and scheduled repayment dates. Interest payments are estimated based on the forward-looking SOFR curve, where applicable. Actual payments may differ from these estimates.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Current Portion of Long-Term Debt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portion of long-term debt as of June 30, 2024 includes the principal payments on the term loans, other unsecured borrowings, and special improvement district bonds that are contractually due within 12 months. The Company may, from time to time, seek to repurchase or prepay its outstanding indebtedness. Any such purchases or repayments may be funded by existing cash balances or the incurrence of debt. The amount and timing of any repurchase will be based on business and market conditions, capital availability, compliance with debt covenants and other considerations.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Debt Discounts or Premiums and Deferred Finance Charges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Debt discounts or premiums and deferred finance charges incurred in connection with the issuance of debt are amortized to interest expense based on the related debt agreements primarily using the effective interest method. Unamortized discounts are written off and included in our gain or loss calculations to the extent we extinguish debt prior to the original maturity or scheduled payment 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04165"/>
                <wp:effectExtent l="0" t="0" r="0" b="0"/>
                <wp:wrapNone/>
                <wp:docPr id="14" name="Frame1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Fair Value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debt has been calculated primarily based on the borrowing rates available as of June 30, 2024 and based on market quotes of our publicly traded debt. We classify the fair value of debt within Level 1 and Level 2 in the fair value hierarchy.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Terms of Outstanding Debt</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Term Loans and CEI Revolving Credit Facility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CEI is party to a credit agreement, dated as of July 20, 2020, with JPMorgan Chase Bank, N.A., as administrative agent, U.S. Bank National Association, as collateral agent, and certain banks and other financial institutions and lenders party thereto (the “CEI Credit Agreement”), which, as amended, provides for the CEI Revolving Credit Facility in an aggregate principal amount of $2.25 billion (the “CEI Revolving Credit Facility”) and will mature on January 31, 2028, subject to a springing maturity in the event certain other long-term debt of Caesars is not extended or repaid. The CEI Revolving Credit Facility includes a letter of credit sub-facility of $388 million and contains reserves of $40 million which are available only for certain permitted uses.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5, 2022, Caesars entered into an amendment to the CEI Credit Agreement pursuant to which the Company incurred a senior secured term loan in an aggregate principal amount of $750 million (the “CEI Term Loan A”) as a new term loan under the credit agreement and made certain other amendments to the CEI Credit Agreement. The CEI Term Loan A will mature on January 31, 2028, subject to a springing maturity in the event certain other long-term debt of Caesars is not extended or repaid. The CEI Term Loan A requires scheduled quarterly payments in amounts equal to 1.25% of the original aggregate principal amount of the CEI Term Loan A, with the balance payable at maturity.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CEI Revolving Credit Facility and the CEI Term Loan A bear interest, paid at least quarterly, at a rate equal to, at the Company’s option, either (a) a forward-looking term rate based on Secured Overnight Financing Rate (“Term SOFR”) for the applicable interest period plus an adjustment of 0.10% per annum (“Adjusted Term SOFR”), subject to a floor of 0% or (b) a base rate (the “Base Rate”) determined by reference to the highest of (i) the rate of interest per annum last quoted by The Wall Street Journal as the “Prime Rate” in the United States, (ii) the federal funds rate plus 0.50% per annum and (iii) the one-month Adjusted Term SOFR plus 1.00% per annum, in each case, plus an applicable margin. Such applicable margin is 2.25% per annum in the case of any Adjusted Term SOFR loan and 1.25% per annum in the case of any Base Rate loan, subject to three 0.25% step-downs based on the Company’s net total leverage ratio. In addition, on a quarterly basis, the Company is required to pay each lender under the CEI Revolving Credit Facility a commitment fee in respect of any unused commitments under the CEI Revolving Credit Facility in the amount of 0.35% per annum of the principal amount of the unused commitments of such lender, subject to three 0.05% step-downs based on the Company’s net total leverage ratio.</w:t>
      </w:r>
    </w:p>
    <w:p>
      <w:pPr>
        <w:pStyle w:val="TextBody"/>
        <w:bidi w:val="0"/>
        <w:spacing w:lineRule="auto" w:line="288" w:before="180" w:after="283"/>
        <w:jc w:val="both"/>
        <w:rPr>
          <w:rFonts w:ascii="Times New Roman;sans-serif" w:hAnsi="Times New Roman;sans-serif"/>
          <w:b w:val="false"/>
          <w:color w:val="212529"/>
          <w:sz w:val="20"/>
        </w:rPr>
      </w:pPr>
      <w:r>
        <w:rPr>
          <w:rFonts w:ascii="Times New Roman;sans-serif" w:hAnsi="Times New Roman;sans-serif"/>
          <w:b w:val="false"/>
          <w:color w:val="212529"/>
          <w:sz w:val="20"/>
        </w:rPr>
        <w:t>On February 6, 2023, Caesars entered into an Incremental Assumption Agreement No. 2 pursuant to which the Company incurred a new senior secured term loan facility in an aggregate principal amount of $2.5 billion (the “CEI Term Loan B”) as a new term loan under the CEI Credit Agreement. The CEI Term Loan B requires scheduled quarterly principal payments in amounts equal to 0.25% of the original aggregate principal amount of the CEI Term Loan B, with the balance payable at maturity. Borrowings under the CEI Term Loan B, as amended, bear interest, paid at least quarterly, at a rate equal to, at the Company’s option, either (a) Term SOFR, subject to a floor of 0.50% or (b) the Base Rate, in each case, plus an applicable margin. Such applicable margin is 2.75% per annum in the case of any Term SOFR loan and 1.75% per annum in the case of any Base Rate loan. The CEI Term Loan B was issued at a price of 99.0% of the principal amount and will mature on February 6, 2030. On June 28, 2024, the Company made a voluntary repayment of $100 million in aggregate principal amount of the CEI Term Loan B with cash on hand.</w:t>
      </w:r>
    </w:p>
    <w:p>
      <w:pPr>
        <w:pStyle w:val="TextBody"/>
        <w:bidi w:val="0"/>
        <w:spacing w:lineRule="auto" w:line="288" w:before="180" w:after="283"/>
        <w:jc w:val="both"/>
        <w:rPr/>
      </w:pPr>
      <w:r>
        <w:rPr>
          <w:rFonts w:ascii="Times New Roman;sans-serif" w:hAnsi="Times New Roman;sans-serif"/>
          <w:b w:val="false"/>
          <w:color w:val="212529"/>
          <w:sz w:val="20"/>
        </w:rPr>
        <w:t>On February 6, 2024, the Company entered into an Incremental Assumption Agreement No. 3 pursuant to which the Company incurred a new senior secured incremental term loan in an aggregate principal amount of $2.9 billion (the “CEI Term Loan B-1”) under the CEI Credit Agreement. The CEI Term Loan B-1 requires quarterly principal payments in amounts equal to 0.25% of the original aggregate principal amount of the CEI Term Loan B-1, with the balance payable at maturity. Borrowings under the CEI Term Loan B-1 bear interest</w:t>
      </w:r>
      <w:r>
        <w:rPr>
          <w:rFonts w:ascii="Times New Roman;sans-serif" w:hAnsi="Times New Roman;sans-serif"/>
          <w:b w:val="false"/>
          <w:color w:val="000000"/>
          <w:sz w:val="20"/>
        </w:rPr>
        <w:t>, paid at least quarterly,</w:t>
      </w:r>
      <w:r>
        <w:rPr>
          <w:color w:val="212529"/>
        </w:rPr>
        <w:t xml:space="preserve"> </w:t>
      </w:r>
      <w:r>
        <w:rPr>
          <w:rFonts w:ascii="Times New Roman;sans-serif" w:hAnsi="Times New Roman;sans-serif"/>
          <w:b w:val="false"/>
          <w:color w:val="212529"/>
          <w:sz w:val="20"/>
        </w:rPr>
        <w:t>at a rate equal to, at the Company’s option, either (a) Term SOFR, subject to a floor of 0.50% or (b) the Base Rate, in each case, plus an applicable margin. Such applicable margin is 2.75% per annum in the case of any Term SOFR loan and 1.75% per annum in the case of any Base Rate loan. The CEI Term Loan B-1 was issued at a price of 99.75% of the principal amount and will mature on February 6, 2031.</w:t>
      </w:r>
    </w:p>
    <w:p>
      <w:pPr>
        <w:pStyle w:val="TextBody"/>
        <w:bidi w:val="0"/>
        <w:spacing w:lineRule="auto" w:line="288" w:before="180" w:after="283"/>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The net proceeds from the CEI Term Loan B-1 and the net proceeds from the issuance of the CEI Senior Secured Notes due 2032 (as described below), together with borrowings under the CEI Revolving Credit Facility, were used to tender, redeem, repurchase, defease, and/or satisfy and discharge any and all of the principal amounts, including accrued and unpaid interest, related expenses and fees of both the 5.75% Senior Secured Notes due 2025 (the “CRC Senior Secured Notes”) and the 6.25%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04165"/>
                <wp:effectExtent l="0" t="0" r="0" b="0"/>
                <wp:wrapNone/>
                <wp:docPr id="15" name="Frame1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val="false"/>
          <w:color w:val="212529"/>
          <w:sz w:val="20"/>
        </w:rPr>
      </w:pPr>
      <w:r>
        <w:rPr>
          <w:rFonts w:ascii="Times New Roman;sans-serif" w:hAnsi="Times New Roman;sans-serif"/>
          <w:b w:val="false"/>
          <w:color w:val="212529"/>
          <w:sz w:val="20"/>
        </w:rPr>
        <w:t>Senior Secured Notes due 2025 (the “CEI Senior Secured Notes due 2025”). As a result of these transactions, the Company recognized $48 million of loss on early extinguishment of debt.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2024, the Company utilized and fully repaid the CEI Revolving Credit Facility. Such activity is presented in the financing section in the Statements of Cash Flows. As of June 30, 2024, the Company had $2.1 billion of available borrowing capacity under the CEI Revolving Credit Facility, after consideration of $68 million in outstanding letters of credit, $46 million committed for regulatory purposes, and the reserves described above. </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Caesars Virginia Senior Revolving and Delayed Draw Term Loan Credit Facility due 2029</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26, 2024, Caesars Virginia, LLC entered into a credit agreement with Wells Fargo Bank, N.A., as administrative agent and collateral agent, and certain banks and other financial institutions and lenders party thereto (the “CVA Credit Agreement”), which provides for a senior secured first lien multi-draw term loan facility in an aggregate principal amount of $400 million (the “CVA Delayed Draw Term Loan”) and a senior secured first lien revolving credit facility in an aggregate principal amount of $25 million (the “CVA Revolving Credit Facility”), both maturing on April 26, 2029.</w:t>
      </w:r>
    </w:p>
    <w:p>
      <w:pPr>
        <w:pStyle w:val="TextBody"/>
        <w:bidi w:val="0"/>
        <w:spacing w:lineRule="auto" w:line="288" w:before="180" w:after="283"/>
        <w:jc w:val="both"/>
        <w:rPr/>
      </w:pPr>
      <w:r>
        <w:rPr>
          <w:rFonts w:ascii="Times New Roman;sans-serif" w:hAnsi="Times New Roman;sans-serif"/>
          <w:b w:val="false"/>
          <w:color w:val="212529"/>
          <w:sz w:val="20"/>
        </w:rPr>
        <w:t xml:space="preserve">The CVA Delayed Draw Term Loan requires quarterly principal payments commencing on the last day of the first full fiscal quarter following the opening date </w:t>
      </w:r>
      <w:r>
        <w:rPr>
          <w:rFonts w:ascii="Times New Roman;sans-serif" w:hAnsi="Times New Roman;sans-serif"/>
          <w:b w:val="false"/>
          <w:color w:val="000000"/>
          <w:sz w:val="20"/>
        </w:rPr>
        <w:t xml:space="preserve">of the permanent facility </w:t>
      </w:r>
      <w:r>
        <w:rPr>
          <w:rFonts w:ascii="Times New Roman;sans-serif" w:hAnsi="Times New Roman;sans-serif"/>
          <w:b w:val="false"/>
          <w:color w:val="212529"/>
          <w:sz w:val="20"/>
        </w:rPr>
        <w:t xml:space="preserve">of Caesars Virginia. </w:t>
      </w:r>
      <w:r>
        <w:rPr>
          <w:rFonts w:ascii="Times New Roman;sans-serif" w:hAnsi="Times New Roman;sans-serif"/>
          <w:b w:val="false"/>
          <w:color w:val="000000"/>
          <w:sz w:val="20"/>
        </w:rPr>
        <w:t>The CVA Revolving Credit Facility and the CVA Delayed Draw Term Loan are subject to a variable rate of interest based on</w:t>
      </w:r>
      <w:r>
        <w:rPr>
          <w:color w:val="212529"/>
        </w:rPr>
        <w:t xml:space="preserve"> </w:t>
      </w:r>
      <w:r>
        <w:rPr>
          <w:rFonts w:ascii="Times New Roman;sans-serif" w:hAnsi="Times New Roman;sans-serif"/>
          <w:b w:val="false"/>
          <w:color w:val="212529"/>
          <w:sz w:val="20"/>
        </w:rPr>
        <w:t xml:space="preserve">Term SOFR plus an applicable margin. </w:t>
      </w:r>
      <w:r>
        <w:rPr>
          <w:rFonts w:ascii="Times New Roman;sans-serif" w:hAnsi="Times New Roman;sans-serif"/>
          <w:b w:val="false"/>
          <w:color w:val="000000"/>
          <w:sz w:val="20"/>
        </w:rPr>
        <w:t xml:space="preserve">The CVA Revolving Credit Facility includes a $10 million letter of credit sub-facility. As of June 30, 2024, there was $120 million utilized under the </w:t>
      </w:r>
      <w:r>
        <w:rPr>
          <w:rFonts w:ascii="Times New Roman;sans-serif" w:hAnsi="Times New Roman;sans-serif"/>
          <w:b w:val="false"/>
          <w:color w:val="212529"/>
          <w:sz w:val="20"/>
        </w:rPr>
        <w:t>CVA Delayed Draw Term Loan</w:t>
      </w:r>
      <w:r>
        <w:rPr>
          <w:color w:val="000000"/>
        </w:rPr>
        <w:t xml:space="preserve"> </w:t>
      </w:r>
      <w:r>
        <w:rPr>
          <w:rFonts w:ascii="Times New Roman;sans-serif" w:hAnsi="Times New Roman;sans-serif"/>
          <w:b w:val="false"/>
          <w:color w:val="000000"/>
          <w:sz w:val="20"/>
        </w:rPr>
        <w:t>and $25 million of available borrowing capacity under the CVA Revolving Credit Facility.</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Senior Secured Notes due 2030</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6, 2023, the Company issued $2.0 billion in aggregate principal amount of 7.00% senior secured notes (the “CEI Senior Secured Notes due 2030”) pursuant to an indenture by and among the Company, the subsidiary guarantors party thereto from time to time, U.S. Bank Trust Company, National Association, as trustee, and U.S. Bank National Association, as collateral agent. The CEI Senior Secured Notes due 2030 rank equally with all existing and future first-priority lien obligations of the Company and the subsidiary guarantors. The CEI Senior Secured Notes due 2030 will mature on February 15, 2030, with interest payable semi-annually on February 15 and August 15 of each year.</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Senior Secured Notes due 2032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6, 2024, the Company issued $1.5 billion in aggregate principal amount of 6.50% senior secured notes due 2032 (the “CEI Senior Secured Notes due 2032”) pursuant to an indenture by and among the Company, the subsidiary guarantors party thereto, U.S. Bank Trust Company, National Association, as trustee, and U.S. Bank National Association, as collateral agent. The CEI Senior Secured Notes due 2032 rank equally with all existing and future first-priority lien obligations of the Company and the subsidiary guarantors. The CEI Senior Secured Notes due 2032 will mature on February 15, 2032, with interest payable semi-annually on February 15 and August 15 of each year, commencing August 15, 2024.</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Senior Secured Notes due 2025</w:t>
      </w:r>
    </w:p>
    <w:p>
      <w:pPr>
        <w:pStyle w:val="TextBody"/>
        <w:bidi w:val="0"/>
        <w:spacing w:lineRule="auto" w:line="288" w:before="180" w:after="283"/>
        <w:jc w:val="both"/>
        <w:rPr/>
      </w:pPr>
      <w:r>
        <w:rPr>
          <w:rFonts w:ascii="Times New Roman;sans-serif" w:hAnsi="Times New Roman;sans-serif"/>
          <w:b w:val="false"/>
          <w:color w:val="000000"/>
          <w:sz w:val="20"/>
        </w:rPr>
        <w:t xml:space="preserve">On July 6, 2020, Colt Merger Sub, Inc. (the “Escrow Issuer”) issued $3.4 billion in aggregate principal amount of the CEI Senior Secured Notes due 2025 pursuant to an indenture dated July 6, 2020, by and among the Escrow Issuer, U.S. Bank National Association, as trustee, and U.S. Bank National Association, as collateral agent. The CEI Senior Secured Notes due 2025 ranked equally with all existing and future first-priority lien obligations of the Company and the subsidiary guarantors. The CEI Senior Secured Notes due 2025 were scheduled to mature on July 1, 2025, with interest payable semi-annually on January 1 and July 1 of each year. On April 5, 2023, the Company purchased $1 million in principal amount of the CEI Senior Secured Notes due 2025. </w:t>
      </w:r>
      <w:r>
        <w:rPr>
          <w:rFonts w:ascii="Times New Roman;sans-serif" w:hAnsi="Times New Roman;sans-serif"/>
          <w:b w:val="false"/>
          <w:color w:val="212529"/>
          <w:sz w:val="20"/>
        </w:rPr>
        <w:t>On February 6, 2024, the Company fully tendered, redeemed, repurchased, defeased, and/or satisfied and discharged any and all of the principal amounts, including accrued and unpaid interest, related expenses and fees.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CRC Senior Secured Notes due 2025</w:t>
      </w:r>
    </w:p>
    <w:p>
      <w:pPr>
        <w:pStyle w:val="TextBody"/>
        <w:bidi w:val="0"/>
        <w:spacing w:lineRule="auto" w:line="288" w:before="180" w:after="283"/>
        <w:jc w:val="both"/>
        <w:rPr/>
      </w:pPr>
      <w:r>
        <w:rPr>
          <w:rFonts w:ascii="Times New Roman;sans-serif" w:hAnsi="Times New Roman;sans-serif"/>
          <w:b w:val="false"/>
          <w:color w:val="000000"/>
          <w:sz w:val="20"/>
        </w:rPr>
        <w:t xml:space="preserve">On July 6, 2020, the Escrow Issuer issued $1.0 billion in aggregate principal amount of the CRC Senior Secured Notes due 2025 pursuant to an indenture, dated July 6, 2020, by and among the Escrow Issuer, U.S. Bank National Association, as trustee and Credit Suisse AG, Cayman Islands Branch, as collateral agent. The CRC Senior Secured Notes ranked equally with all existing and future first priority lien obligations of CRC, CRC Finco, Inc. and the subsidiary guarantors. The CRC Senior Secured Notes were scheduled to mature on July 1, 2025, with interest payable semi-annually on January 1 and July 1 of each year. </w:t>
      </w:r>
      <w:r>
        <w:rPr>
          <w:rFonts w:ascii="Times New Roman;sans-serif" w:hAnsi="Times New Roman;sans-serif"/>
          <w:b w:val="false"/>
          <w:color w:val="212529"/>
          <w:sz w:val="20"/>
        </w:rPr>
        <w:t>On February 6, 2024, the Company fully tendered, redeemed, repurchased, defeased, and/or satisfied and discharged any and all of the principal amounts, including accrued and unpaid interest, related expenses and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04165"/>
                <wp:effectExtent l="0" t="0" r="0" b="0"/>
                <wp:wrapNone/>
                <wp:docPr id="16" name="Frame1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Senior Notes due 2027</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6, 2020, the Escrow Issuer issued $1.8 billion in aggregate principal amount of 8.125% Senior Notes due 2027 pursuant to an indenture, dated July 6, 2020 (the “CEI Senior Notes due 2027”), by and between the Escrow Issuer and U.S. Bank National Association, as trustee. The CEI Senior Notes due 2027 rank equally with all existing and future senior unsecured indebtedness of the Company and the subsidiary guarantors. The CEI Senior Notes due 2027 will mature on July 1, 2027, with interest payable semi-annually on January 1 and July 1 of each year.</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Senior Notes due 2029</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24, 2021, the Company issued $1.2 billion in aggregate principal amount of 4.625% Senior Notes due 2029 (the “CEI Senior Notes due 2029”) pursuant to an indenture dated as of September 24, 2021, between the Company and U.S. Bank National Association, as trustee. The CEI Senior Notes due 2029 rank equally with all existing and future senior unsecured indebtedness of the Company and the subsidiary guarantors. The CEI Senior Notes due 2029 will mature on October 15, 2029, with interest payable semi-annually on April 15 and October 15 of each year. </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Debt Covenant Compliance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CEI Revolving Credit Facility, the CEI Term Loan A, the CEI Term Loan B, the CEI Term Loan B-1 and the indentures governing the CEI Senior Secured Notes due 2030, the CEI Senior Secured Notes due 2032, the CEI Senior Notes due 2027, and the CEI Senior Notes due 2029 contain covenants which are standard and customary for these types of agreements. These include negative covenants, which, subject to certain exceptions and baskets, limit the Company’s and its subsidiaries’ ability to (among other items) incur additional indebtedness, make investments, make restricted payments, including dividends, grant liens, sell assets and make acquisitions.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CEI Revolving Credit Facility and the CEI Term Loan A include a maximum net total leverage ratio financial covenant of 7.25:1 until December 31, 2024 and 6.50:1 from and after December 31, 2024. In addition, the CEI Revolving Credit Facility and the CEI Term Loan A include a minimum fixed charge coverage ratio financial covenant of 1.75:1 until December 31, 2024 and 2.0:1 from and after December 31, 2024. From and after the repayment of the CEI Term Loan A, the financial covenants applicable to the CEI Revolving Credit Facility will be tested solely to the extent that certain testing conditions are satisfied. Failure to comply with such covenants could result in an acceleration of the maturity of indebtedness outstanding under the relevant debt document.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 was in compliance with all of the applicable financial covenants described above.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CVA Revolving Credit Facility and the CVA Delayed Draw Term Loan contain covenants which are standard and customary for this type of agreement, including a maximum net total leverage ratio financial covenant of 4:1 and a minimum fixed charge coverage ratio financial covenant of 1.05:1. Caesars Virginia LLC’s compliance requirements commence after the first full quarter following the opening of the permanent facility of Caesars Virginia. </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Guarantees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CEI Revolving Credit Facility, the CEI Term Loan A, the CEI Term Loan B, the CEI Term Loan B-1, the CEI Senior Secured Notes due 2030 and the CEI Senior Secured Notes due 2032 are guaranteed on a senior secured basis by each existing and future material wholly-owned domestic subsidiary of the Company and are secured by substantially all of the existing and future property and assets of the Company and its subsidiary guarantors (subject to certain exceptions). The CEI Senior Notes due 2027 and the CEI Senior Notes due 2029 are guaranteed on a senior unsecured basis by such subsidiaries.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CVA Revolving Credit Facility and the CVA Delayed Draw Term Loan are secured by substantially all material assets of Caesars Virginia, LLC and any newly formed wholly-owned subsidiary of Caesars Virginia, LLC. CEI does not provide a guarantee of these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7. Revenue Recognition</w:t>
      </w:r>
    </w:p>
    <w:p>
      <w:pPr>
        <w:pStyle w:val="TextBody"/>
        <w:bidi w:val="0"/>
        <w:spacing w:lineRule="auto" w:line="288" w:before="180" w:after="283"/>
        <w:jc w:val="both"/>
        <w:rPr/>
      </w:pPr>
      <w:r>
        <w:rPr>
          <w:rFonts w:ascii="Times New Roman;sans-serif" w:hAnsi="Times New Roman;sans-serif"/>
          <w:b w:val="false"/>
          <w:color w:val="000000"/>
          <w:sz w:val="20"/>
        </w:rPr>
        <w:t xml:space="preserve">The Company’s Statements of Operations present net revenue disaggregated by type or nature of the good or service. A summary of net revenues disaggregated by type of revenue and reportable segment is presented below. Refer to </w:t>
      </w:r>
      <w:hyperlink w:anchor="i84376642b6474f11bc155e6fdb08572b_112">
        <w:r>
          <w:rPr>
            <w:rStyle w:val="InternetLink"/>
            <w:rFonts w:ascii="Times New Roman;sans-serif" w:hAnsi="Times New Roman;sans-serif"/>
            <w:b w:val="false"/>
            <w:color w:val="0000FF"/>
            <w:sz w:val="20"/>
            <w:u w:val="single"/>
          </w:rPr>
          <w:t>Note 12</w:t>
        </w:r>
      </w:hyperlink>
      <w:r>
        <w:rPr>
          <w:color w:val="000000"/>
        </w:rPr>
        <w:t xml:space="preserve"> </w:t>
      </w:r>
      <w:r>
        <w:rPr>
          <w:rFonts w:ascii="Times New Roman;sans-serif" w:hAnsi="Times New Roman;sans-serif"/>
          <w:b w:val="false"/>
          <w:color w:val="000000"/>
          <w:sz w:val="20"/>
        </w:rPr>
        <w:t>for additional information on the Company’s reportable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04165"/>
                <wp:effectExtent l="0" t="0" r="0" b="0"/>
                <wp:wrapNone/>
                <wp:docPr id="17" name="Frame1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501"/>
        <w:gridCol w:w="430"/>
        <w:gridCol w:w="431"/>
        <w:gridCol w:w="203"/>
        <w:gridCol w:w="577"/>
        <w:gridCol w:w="113"/>
        <w:gridCol w:w="109"/>
        <w:gridCol w:w="109"/>
        <w:gridCol w:w="109"/>
        <w:gridCol w:w="196"/>
        <w:gridCol w:w="556"/>
        <w:gridCol w:w="109"/>
        <w:gridCol w:w="109"/>
        <w:gridCol w:w="109"/>
        <w:gridCol w:w="109"/>
        <w:gridCol w:w="322"/>
        <w:gridCol w:w="692"/>
        <w:gridCol w:w="178"/>
        <w:gridCol w:w="109"/>
        <w:gridCol w:w="109"/>
        <w:gridCol w:w="109"/>
        <w:gridCol w:w="476"/>
        <w:gridCol w:w="988"/>
        <w:gridCol w:w="268"/>
        <w:gridCol w:w="109"/>
        <w:gridCol w:w="109"/>
        <w:gridCol w:w="109"/>
        <w:gridCol w:w="563"/>
        <w:gridCol w:w="737"/>
        <w:gridCol w:w="315"/>
        <w:gridCol w:w="109"/>
        <w:gridCol w:w="109"/>
        <w:gridCol w:w="109"/>
        <w:gridCol w:w="196"/>
        <w:gridCol w:w="556"/>
        <w:gridCol w:w="163"/>
      </w:tblGrid>
      <w:tr>
        <w:trPr/>
        <w:tc>
          <w:tcPr>
            <w:tcW w:w="50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2024</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01"/>
        <w:gridCol w:w="430"/>
        <w:gridCol w:w="431"/>
        <w:gridCol w:w="203"/>
        <w:gridCol w:w="577"/>
        <w:gridCol w:w="113"/>
        <w:gridCol w:w="109"/>
        <w:gridCol w:w="109"/>
        <w:gridCol w:w="109"/>
        <w:gridCol w:w="196"/>
        <w:gridCol w:w="556"/>
        <w:gridCol w:w="109"/>
        <w:gridCol w:w="109"/>
        <w:gridCol w:w="109"/>
        <w:gridCol w:w="109"/>
        <w:gridCol w:w="322"/>
        <w:gridCol w:w="692"/>
        <w:gridCol w:w="178"/>
        <w:gridCol w:w="109"/>
        <w:gridCol w:w="109"/>
        <w:gridCol w:w="109"/>
        <w:gridCol w:w="476"/>
        <w:gridCol w:w="988"/>
        <w:gridCol w:w="268"/>
        <w:gridCol w:w="109"/>
        <w:gridCol w:w="109"/>
        <w:gridCol w:w="109"/>
        <w:gridCol w:w="563"/>
        <w:gridCol w:w="737"/>
        <w:gridCol w:w="315"/>
        <w:gridCol w:w="109"/>
        <w:gridCol w:w="109"/>
        <w:gridCol w:w="109"/>
        <w:gridCol w:w="196"/>
        <w:gridCol w:w="556"/>
        <w:gridCol w:w="163"/>
      </w:tblGrid>
      <w:tr>
        <w:trPr/>
        <w:tc>
          <w:tcPr>
            <w:tcW w:w="50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01"/>
        <w:gridCol w:w="430"/>
        <w:gridCol w:w="431"/>
        <w:gridCol w:w="203"/>
        <w:gridCol w:w="577"/>
        <w:gridCol w:w="113"/>
        <w:gridCol w:w="109"/>
        <w:gridCol w:w="109"/>
        <w:gridCol w:w="109"/>
        <w:gridCol w:w="196"/>
        <w:gridCol w:w="556"/>
        <w:gridCol w:w="109"/>
        <w:gridCol w:w="109"/>
        <w:gridCol w:w="109"/>
        <w:gridCol w:w="109"/>
        <w:gridCol w:w="322"/>
        <w:gridCol w:w="692"/>
        <w:gridCol w:w="178"/>
        <w:gridCol w:w="109"/>
        <w:gridCol w:w="109"/>
        <w:gridCol w:w="109"/>
        <w:gridCol w:w="466"/>
        <w:gridCol w:w="1003"/>
        <w:gridCol w:w="264"/>
        <w:gridCol w:w="109"/>
        <w:gridCol w:w="109"/>
        <w:gridCol w:w="109"/>
        <w:gridCol w:w="563"/>
        <w:gridCol w:w="737"/>
        <w:gridCol w:w="315"/>
        <w:gridCol w:w="109"/>
        <w:gridCol w:w="109"/>
        <w:gridCol w:w="109"/>
        <w:gridCol w:w="196"/>
        <w:gridCol w:w="556"/>
        <w:gridCol w:w="162"/>
      </w:tblGrid>
      <w:tr>
        <w:trPr/>
        <w:tc>
          <w:tcPr>
            <w:tcW w:w="50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2024</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01"/>
        <w:gridCol w:w="430"/>
        <w:gridCol w:w="431"/>
        <w:gridCol w:w="203"/>
        <w:gridCol w:w="577"/>
        <w:gridCol w:w="113"/>
        <w:gridCol w:w="109"/>
        <w:gridCol w:w="109"/>
        <w:gridCol w:w="109"/>
        <w:gridCol w:w="196"/>
        <w:gridCol w:w="556"/>
        <w:gridCol w:w="109"/>
        <w:gridCol w:w="109"/>
        <w:gridCol w:w="109"/>
        <w:gridCol w:w="109"/>
        <w:gridCol w:w="322"/>
        <w:gridCol w:w="692"/>
        <w:gridCol w:w="178"/>
        <w:gridCol w:w="109"/>
        <w:gridCol w:w="109"/>
        <w:gridCol w:w="109"/>
        <w:gridCol w:w="466"/>
        <w:gridCol w:w="1003"/>
        <w:gridCol w:w="264"/>
        <w:gridCol w:w="109"/>
        <w:gridCol w:w="109"/>
        <w:gridCol w:w="109"/>
        <w:gridCol w:w="563"/>
        <w:gridCol w:w="737"/>
        <w:gridCol w:w="315"/>
        <w:gridCol w:w="109"/>
        <w:gridCol w:w="109"/>
        <w:gridCol w:w="109"/>
        <w:gridCol w:w="196"/>
        <w:gridCol w:w="556"/>
        <w:gridCol w:w="162"/>
      </w:tblGrid>
      <w:tr>
        <w:trPr/>
        <w:tc>
          <w:tcPr>
            <w:tcW w:w="50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260" w:type="dxa"/>
        <w:jc w:val="left"/>
        <w:tblInd w:w="0" w:type="dxa"/>
        <w:tblLayout w:type="fixed"/>
        <w:tblCellMar>
          <w:top w:w="28" w:type="dxa"/>
          <w:left w:w="28" w:type="dxa"/>
          <w:bottom w:w="28" w:type="dxa"/>
          <w:right w:w="28" w:type="dxa"/>
        </w:tblCellMar>
      </w:tblPr>
      <w:tblGrid>
        <w:gridCol w:w="793"/>
        <w:gridCol w:w="696"/>
        <w:gridCol w:w="700"/>
        <w:gridCol w:w="312"/>
        <w:gridCol w:w="670"/>
        <w:gridCol w:w="173"/>
        <w:gridCol w:w="109"/>
        <w:gridCol w:w="109"/>
        <w:gridCol w:w="109"/>
        <w:gridCol w:w="402"/>
        <w:gridCol w:w="868"/>
        <w:gridCol w:w="319"/>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Accounts Receivable, Net</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 and hotel</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Contract and Contract-Related Liabilities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contract or contract-related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customers, (2) Caesars Rewards player loyalty program obligations, which represent the deferred allocation of revenue relating to reward credits granted to Caesars Rewards members based on certain types of customer spend, including online and retail gaming, hotel, dining, retail shopping, and player loyalty program incentives earned, and (3) customer deposits and other deferred revenue, which primarily represents funds deposited by customers related to gaming play and advance payments received for goods and services yet to be provided (such as advance ticket sales, deposits on rooms and convention space, unpaid wagers, iGaming deposits, or future sports bets). These liabilities are generally expected to be recognized as revenue within one year of being purchased, earned, or deposited and are recorded within Accrued other liabilities on the Company’s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04165"/>
                <wp:effectExtent l="0" t="0" r="0" b="0"/>
                <wp:wrapNone/>
                <wp:docPr id="18" name="Frame1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Liabilities expected to be recognized as revenue beyond one year of being purchased, earned, or deposited are recorded within Other long-term liabilities on the Company’s Balance Sheets.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contract and contract-related liabilities:</w:t>
      </w:r>
    </w:p>
    <w:tbl>
      <w:tblPr>
        <w:tblW w:w="9987" w:type="dxa"/>
        <w:jc w:val="left"/>
        <w:tblInd w:w="0" w:type="dxa"/>
        <w:tblLayout w:type="fixed"/>
        <w:tblCellMar>
          <w:top w:w="28" w:type="dxa"/>
          <w:left w:w="28" w:type="dxa"/>
          <w:bottom w:w="28" w:type="dxa"/>
          <w:right w:w="28" w:type="dxa"/>
        </w:tblCellMar>
      </w:tblPr>
      <w:tblGrid>
        <w:gridCol w:w="571"/>
        <w:gridCol w:w="501"/>
        <w:gridCol w:w="503"/>
        <w:gridCol w:w="258"/>
        <w:gridCol w:w="436"/>
        <w:gridCol w:w="143"/>
        <w:gridCol w:w="143"/>
        <w:gridCol w:w="143"/>
        <w:gridCol w:w="143"/>
        <w:gridCol w:w="258"/>
        <w:gridCol w:w="535"/>
        <w:gridCol w:w="143"/>
        <w:gridCol w:w="109"/>
        <w:gridCol w:w="109"/>
        <w:gridCol w:w="109"/>
        <w:gridCol w:w="196"/>
        <w:gridCol w:w="406"/>
        <w:gridCol w:w="109"/>
        <w:gridCol w:w="109"/>
        <w:gridCol w:w="109"/>
        <w:gridCol w:w="109"/>
        <w:gridCol w:w="196"/>
        <w:gridCol w:w="331"/>
        <w:gridCol w:w="109"/>
        <w:gridCol w:w="109"/>
        <w:gridCol w:w="109"/>
        <w:gridCol w:w="109"/>
        <w:gridCol w:w="417"/>
        <w:gridCol w:w="896"/>
        <w:gridCol w:w="232"/>
        <w:gridCol w:w="232"/>
        <w:gridCol w:w="232"/>
        <w:gridCol w:w="232"/>
        <w:gridCol w:w="417"/>
        <w:gridCol w:w="896"/>
        <w:gridCol w:w="328"/>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 Chip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Rewards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Customer Deposits and Other Deferred Revenue</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5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January 1</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w:t>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 (decrease)</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Lease Revenue</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Lodging Arrangements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Lodging arrangements are considered short-term and generally consist of lease and nonlease components. The lease component is the predominant component of the arrangement and consists of the fees charged for lodging. The nonlease components primarily consist of resort fees and other miscellaneous items.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During the three months ended June 30, 2024 and 2023, we recognized lease revenue of approximately $514 million and $525 million, respectively, and during the six months ended June 30, 2024 and 2023, we recognized approximately $1.0 billion for both periods, which is included in Hotel revenues in the Statements of Operations.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Conventions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Convention arrangements are considered short-term and generally consist of lease and nonlease components. The lease component is the predominant component of the arrangement and consists of fees charged for the use of meeting space. The nonlease components primarily consist of food and beverage and audio/visual services. Revenue from conventions is included in Food and beverage revenue in the Statements of Operations and during the three months ended June 30, 2024 and 2023, lease revenue related to conventions was approximately $12 million for both periods, and during the six months ended June 30, 2024 and 2023, lease revenue related to conventions was approximately $25 million and $26 million, respectively.</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Real Estate Operating Leases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lease revenue is included in Other revenue in the Statements of Operations. During the three months ended June 30, 2024 and 2023, we recognized approximately $37 million and $43 million, respectively, and during the six months ended June 30, 2024 and 2023, we recognized approximately $72 million and $80 million, respectively, of real estate lease revenue.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lease revenue includes $15 million and $16 million of variable rental income for the three months ended June 30, 2024 and 2023, respectively, and $28 million and $30 million for the six months ended June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04165"/>
                <wp:effectExtent l="0" t="0" r="0" b="0"/>
                <wp:wrapNone/>
                <wp:docPr id="19" name="Frame1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8. Earnings per Share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illustrates the reconciliation of the numerators and denominators of the basic and diluted net income (loss) per share computations for the three and six months ended June 30, 2024 and 2023:</w:t>
      </w:r>
    </w:p>
    <w:tbl>
      <w:tblPr>
        <w:tblW w:w="10205" w:type="dxa"/>
        <w:jc w:val="left"/>
        <w:tblInd w:w="0" w:type="dxa"/>
        <w:tblLayout w:type="fixed"/>
        <w:tblCellMar>
          <w:top w:w="28" w:type="dxa"/>
          <w:left w:w="28" w:type="dxa"/>
          <w:bottom w:w="28" w:type="dxa"/>
          <w:right w:w="28" w:type="dxa"/>
        </w:tblCellMar>
      </w:tblPr>
      <w:tblGrid>
        <w:gridCol w:w="1954"/>
        <w:gridCol w:w="1662"/>
        <w:gridCol w:w="1677"/>
        <w:gridCol w:w="238"/>
        <w:gridCol w:w="649"/>
        <w:gridCol w:w="132"/>
        <w:gridCol w:w="132"/>
        <w:gridCol w:w="132"/>
        <w:gridCol w:w="132"/>
        <w:gridCol w:w="238"/>
        <w:gridCol w:w="567"/>
        <w:gridCol w:w="132"/>
        <w:gridCol w:w="109"/>
        <w:gridCol w:w="109"/>
        <w:gridCol w:w="109"/>
        <w:gridCol w:w="219"/>
        <w:gridCol w:w="598"/>
        <w:gridCol w:w="122"/>
        <w:gridCol w:w="122"/>
        <w:gridCol w:w="122"/>
        <w:gridCol w:w="122"/>
        <w:gridCol w:w="219"/>
        <w:gridCol w:w="523"/>
        <w:gridCol w:w="186"/>
      </w:tblGrid>
      <w:tr>
        <w:trPr/>
        <w:tc>
          <w:tcPr>
            <w:tcW w:w="1954"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 except per share data)</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2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52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Caesars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outstanding:</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 basic</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awards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 diluted</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52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common share attributable to common stockholders – basic:</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52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5293"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common share attributable to common stockholders – diluted:</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period in which the Company generated a net loss from continuing operations, the Weighted average shares outstanding - basic was used in calculating Diluted loss per share because using diluted shares would have been anti-dilutive to loss per share.</w:t>
      </w:r>
    </w:p>
    <w:tbl>
      <w:tblPr>
        <w:tblW w:w="10144" w:type="dxa"/>
        <w:jc w:val="left"/>
        <w:tblInd w:w="0" w:type="dxa"/>
        <w:tblLayout w:type="fixed"/>
        <w:tblCellMar>
          <w:top w:w="28" w:type="dxa"/>
          <w:left w:w="28" w:type="dxa"/>
          <w:bottom w:w="28" w:type="dxa"/>
          <w:right w:w="28" w:type="dxa"/>
        </w:tblCellMar>
      </w:tblPr>
      <w:tblGrid>
        <w:gridCol w:w="930"/>
        <w:gridCol w:w="817"/>
        <w:gridCol w:w="817"/>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500"/>
      </w:tblGrid>
      <w:tr>
        <w:trPr/>
        <w:tc>
          <w:tcPr>
            <w:tcW w:w="93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10144"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Weighted-Average Number of Anti-Dilutive Shares Excluded from the Calculation of Earnings per Share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awards</w:t>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anti-dilutive common stock</w:t>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9. Stock-Based Compensation and Stockholders’ Equity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Stock-Based Awards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long-term incentive plans which allow for granting stock-based compensation awards to directors, employees, officers, and consultants or advisers who render services to the Company or its subsidiaries, based on Company Common Stock, including stock options, restricted stock, restricted stock units (“RSUs”), performance stock units (“PSUs”), market-based performance stock units (“MSUs”), stock appreciation rights, and other stock-based awards or dividend equivalents. Forfeitures are recognized in the period in which they occur.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(“Board”) adopted, and the Company’s stockholders approved, the 2015 Equity Incentive Plan, as amended and restated in 2019 (the “2015 Plan”), which allows for shares to be granted as part of the Company’s long-term incentive plan. On April 24, 2024, the Board approved an amendment to the 2015 Plan and the Company’s stockholders subsequently approved the adoption of the amended and restated 2015 Plan on June 11, 2024. The amendment to the 2015 Plan allows for, among other things, an increase in the number of shares available for future grants to 8 million shares, plus the number of shares available for issuance under the 2015 Plan on the date the Company’s stockholders approved the amendment.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stock-based compensation expense in the accompanying Statements of Operations totaled $24 million and $29 million during the three months ended June 30, 2024 and 2023, respectively, and $49 million and $56 million during the six months ended June 30, 2024 and 2023, respectively. These amounts are included in Corporate expense in the Company’s Statements of Operations.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2015 Equity Incentive Plan (“2015 Plan”)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as part of the annual incentive program, the Company granted 1.8 million RSUs to eligible participants with an aggregate fair value of $81 million and a ratable vesting period of one to three years. Each RSU represents the right to receive payment in respect of one share of the Company’s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04165"/>
                <wp:effectExtent l="0" t="0" r="0" b="0"/>
                <wp:wrapNone/>
                <wp:docPr id="20" name="Frame2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the Company also granted 133 thousand PSUs that are scheduled to cliff vest over a period of one to three years. On the vesting date, recipients will receive between 0% and 200% of the target number of PSUs granted, in the form of Company Common Stock, based on the achievement of specified performance and service conditions. The fair value of the PSUs is based on the market price of our common stock when a mutual understanding of the key terms and conditions of the awards between the Company and recipient is achieved. The awards are remeasured each period until such an understanding is reached. The aggregate value of PSUs granted during the year was $5 million as of June 30, 2024.</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during the six months ended June 30, 2024, the Company granted 429 thousand MSUs that are scheduled to cliff vest over a period of one to three years. On the vesting date, recipients will receive between 0% and 200% of the target number of MSUs granted, in the form of Company Common Stock, based on the achievement of specified market and service conditions. The grant date fair value of the MSUs was determined using a Monte-Carlo simulation model. Key assumptions for the Monte-Carlo simulation model are the risk-free interest rate, expected volatility, expected dividends and correlation coefficient. The effect of market conditions is considered in determining the grant date fair value, which is not subsequently revised based on actual performance. The aggregate value of MSUs granted during the six months ended June 30, 2024 was $25 million.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2024, there were no grants of stock options. In addition, during the six months ended June 30, 2024, 847 thousand, 99 thousand and 19 thousand of RSUs, PSUs and MSUs, respectively, vested under the 2015 Plan.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Outstanding at End of Period</w:t>
      </w:r>
    </w:p>
    <w:tbl>
      <w:tblPr>
        <w:tblW w:w="6627" w:type="dxa"/>
        <w:jc w:val="left"/>
        <w:tblInd w:w="0" w:type="dxa"/>
        <w:tblLayout w:type="fixed"/>
        <w:tblCellMar>
          <w:top w:w="28" w:type="dxa"/>
          <w:left w:w="28" w:type="dxa"/>
          <w:bottom w:w="28" w:type="dxa"/>
          <w:right w:w="28" w:type="dxa"/>
        </w:tblCellMar>
      </w:tblPr>
      <w:tblGrid>
        <w:gridCol w:w="690"/>
        <w:gridCol w:w="606"/>
        <w:gridCol w:w="608"/>
        <w:gridCol w:w="274"/>
        <w:gridCol w:w="274"/>
        <w:gridCol w:w="278"/>
        <w:gridCol w:w="109"/>
        <w:gridCol w:w="109"/>
        <w:gridCol w:w="109"/>
        <w:gridCol w:w="232"/>
        <w:gridCol w:w="659"/>
        <w:gridCol w:w="129"/>
        <w:gridCol w:w="109"/>
        <w:gridCol w:w="109"/>
        <w:gridCol w:w="109"/>
        <w:gridCol w:w="274"/>
        <w:gridCol w:w="274"/>
        <w:gridCol w:w="278"/>
        <w:gridCol w:w="111"/>
        <w:gridCol w:w="111"/>
        <w:gridCol w:w="111"/>
        <w:gridCol w:w="229"/>
        <w:gridCol w:w="654"/>
        <w:gridCol w:w="181"/>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Quantity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Wtd-Avg </w:t>
            </w:r>
            <w:r>
              <w:rPr>
                <w:rFonts w:ascii="Times New Roman;sans-serif" w:hAnsi="Times New Roman;sans-serif"/>
                <w:b/>
                <w:i/>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Quantity</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Wtd-Avg </w:t>
            </w:r>
            <w:r>
              <w:rPr>
                <w:rFonts w:ascii="Times New Roman;sans-serif" w:hAnsi="Times New Roman;sans-serif"/>
                <w:b/>
                <w:i/>
                <w:color w:val="000000"/>
                <w:sz w:val="12"/>
              </w:rPr>
              <w:t>(a)</w:t>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2,761,661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1,922,419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Performance stock units </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328,230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Market-based stock units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1,122,649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872,019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Represents the weighted-average grant date fair value for RSUs, weighted-average grant date fair value for PSUs where the grant date has been achieved, the price of CEI common stock as of the balance sheet date for PSUs where a grant date has not been achieved, and the grant date fair value of the MSUs determined using the Monte-Carlo simulation model.</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Accumulated Other Comprehensive Income (Loss)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Accumulated other comprehensive income (loss) by component, net of tax, for the periods through June 30, 2024 and 2023 are shown below.</w:t>
      </w:r>
    </w:p>
    <w:tbl>
      <w:tblPr>
        <w:tblW w:w="10205" w:type="dxa"/>
        <w:jc w:val="left"/>
        <w:tblInd w:w="0" w:type="dxa"/>
        <w:tblLayout w:type="fixed"/>
        <w:tblCellMar>
          <w:top w:w="28" w:type="dxa"/>
          <w:left w:w="28" w:type="dxa"/>
          <w:bottom w:w="28" w:type="dxa"/>
          <w:right w:w="28" w:type="dxa"/>
        </w:tblCellMar>
      </w:tblPr>
      <w:tblGrid>
        <w:gridCol w:w="1099"/>
        <w:gridCol w:w="913"/>
        <w:gridCol w:w="921"/>
        <w:gridCol w:w="793"/>
        <w:gridCol w:w="1340"/>
        <w:gridCol w:w="445"/>
        <w:gridCol w:w="109"/>
        <w:gridCol w:w="109"/>
        <w:gridCol w:w="109"/>
        <w:gridCol w:w="670"/>
        <w:gridCol w:w="1389"/>
        <w:gridCol w:w="374"/>
        <w:gridCol w:w="109"/>
        <w:gridCol w:w="109"/>
        <w:gridCol w:w="109"/>
        <w:gridCol w:w="196"/>
        <w:gridCol w:w="289"/>
        <w:gridCol w:w="109"/>
        <w:gridCol w:w="109"/>
        <w:gridCol w:w="109"/>
        <w:gridCol w:w="109"/>
        <w:gridCol w:w="196"/>
        <w:gridCol w:w="331"/>
        <w:gridCol w:w="159"/>
      </w:tblGrid>
      <w:tr>
        <w:trPr/>
        <w:tc>
          <w:tcPr>
            <w:tcW w:w="109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2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Net Gains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Foreign Currency Translation Adjustments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w:t>
            </w:r>
          </w:p>
        </w:tc>
      </w:tr>
      <w:tr>
        <w:trPr/>
        <w:tc>
          <w:tcPr>
            <w:tcW w:w="2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December 31, 2022</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before reclassifications</w:t>
            </w:r>
          </w:p>
        </w:tc>
        <w:tc>
          <w:tcPr>
            <w:tcW w:w="2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2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net of tax</w:t>
            </w:r>
          </w:p>
        </w:tc>
        <w:tc>
          <w:tcPr>
            <w:tcW w:w="2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March 31, 2023</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2933"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2933"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2933"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2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(loss), net of tax</w:t>
            </w:r>
          </w:p>
        </w:tc>
        <w:tc>
          <w:tcPr>
            <w:tcW w:w="2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June 30, 2023</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December 31, 2023</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before reclassifications</w:t>
            </w:r>
          </w:p>
        </w:tc>
        <w:tc>
          <w:tcPr>
            <w:tcW w:w="2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2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loss, net of tax</w:t>
            </w:r>
          </w:p>
        </w:tc>
        <w:tc>
          <w:tcPr>
            <w:tcW w:w="2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March 31, 2024</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2933"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2933"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2933"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2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2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vAlign w:val="center"/>
          </w:tcPr>
          <w:p>
            <w:pPr>
              <w:pStyle w:val="TableContents"/>
              <w:bidi w:val="0"/>
              <w:spacing w:before="0" w:after="283"/>
              <w:jc w:val="left"/>
              <w:rPr>
                <w:sz w:val="4"/>
                <w:szCs w:val="4"/>
              </w:rPr>
            </w:pPr>
            <w:r>
              <w:rPr>
                <w:sz w:val="4"/>
                <w:szCs w:val="4"/>
              </w:rPr>
            </w:r>
          </w:p>
        </w:tc>
        <w:tc>
          <w:tcPr>
            <w:tcW w:w="2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29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(loss), net of tax</w:t>
            </w:r>
          </w:p>
        </w:tc>
        <w:tc>
          <w:tcPr>
            <w:tcW w:w="2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June 30, 2024</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04165"/>
                <wp:effectExtent l="0" t="0" r="0" b="0"/>
                <wp:wrapNone/>
                <wp:docPr id="21" name="Frame2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2018, the Company’s Board of Directors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 has acquired 223,823 shares of common stock under the Share Repurchase Program at an aggregate value of $9 million and an average of $40.80 per share. No shares were repurchased during the six months ended June 30, 2024 and 2023.</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Shares Held in Escrow</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settlement of convertible notes during 2021, the Company issued approximately 139 thousand shares of common stock, at a fair value of approximately $14 million. The shares were contributed to, and held in, an escrow trust, which was recorded within Treasury stock. During the six months ended June 30, 2024, the shares were released from escrow and returned to the Company following an update to the estimated disputed claims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10. Income Taxes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utilized a discrete effective tax rate method, as allowed by ASC 740-270 “Income Taxes, Interim Reporting,” to calculate taxes for the three and six months ended June 30, 2024 and 2023. The Company determined that small changes in estimated “ordinary” income would result in significant changes in the estimated annual effective tax rate (“AETR”), and therefore, the AETR method would not provide a reliable estimate.</w:t>
      </w:r>
    </w:p>
    <w:tbl>
      <w:tblPr>
        <w:tblW w:w="9561" w:type="dxa"/>
        <w:jc w:val="left"/>
        <w:tblInd w:w="0" w:type="dxa"/>
        <w:tblLayout w:type="fixed"/>
        <w:tblCellMar>
          <w:top w:w="28" w:type="dxa"/>
          <w:left w:w="28" w:type="dxa"/>
          <w:bottom w:w="28" w:type="dxa"/>
          <w:right w:w="28" w:type="dxa"/>
        </w:tblCellMar>
      </w:tblPr>
      <w:tblGrid>
        <w:gridCol w:w="1637"/>
        <w:gridCol w:w="1434"/>
        <w:gridCol w:w="1444"/>
        <w:gridCol w:w="263"/>
        <w:gridCol w:w="545"/>
        <w:gridCol w:w="343"/>
        <w:gridCol w:w="146"/>
        <w:gridCol w:w="146"/>
        <w:gridCol w:w="146"/>
        <w:gridCol w:w="263"/>
        <w:gridCol w:w="444"/>
        <w:gridCol w:w="146"/>
        <w:gridCol w:w="109"/>
        <w:gridCol w:w="109"/>
        <w:gridCol w:w="109"/>
        <w:gridCol w:w="210"/>
        <w:gridCol w:w="533"/>
        <w:gridCol w:w="275"/>
        <w:gridCol w:w="117"/>
        <w:gridCol w:w="117"/>
        <w:gridCol w:w="117"/>
        <w:gridCol w:w="210"/>
        <w:gridCol w:w="533"/>
        <w:gridCol w:w="165"/>
      </w:tblGrid>
      <w:tr>
        <w:trPr/>
        <w:tc>
          <w:tcPr>
            <w:tcW w:w="163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Income Tax Allocation</w:t>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continuing operations before income taxes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tax rate</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color w:val="000000"/>
          <w:sz w:val="16"/>
        </w:rPr>
        <w:t>*    </w:t>
      </w:r>
      <w:r>
        <w:rPr>
          <w:rFonts w:ascii="Times New Roman;sans-serif" w:hAnsi="Times New Roman;sans-serif"/>
          <w:b w:val="false"/>
          <w:i/>
          <w:color w:val="000000"/>
          <w:sz w:val="16"/>
        </w:rPr>
        <w:t>Not meaningful.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accruals for uncertain tax positions within Other long-term liabilities on the Balance Sheets, separate from any related income tax payable or deferred income taxes. Reserve amounts relate to any potential income tax liabilities resulting from uncertain tax positions as well as potential interest or penalties associated with those liabilities.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assesses the available positive and negative evidence to estimate if sufficient future taxable income will be generated to use existing deferred tax assets. During the second quarter of 2023, the Company evaluated its forecasted adjusted taxable income and objectively verifiable evidence and placed substantial weight on its 2022 and 2023 quarterly earnings, adjusted for non-recurring items, including the interest expense disallowed under current tax law. Accordingly, the Company determined it was more likely than not that a portion of the federal and state deferred tax assets will be realized and, as a result, during the second quarter of 2023, the Company reversed the valuation allowance related to these deferred tax assets and recorded an income tax benefit of $940 million. The Company is still carrying a valuation allowance on certain federal and state deferred tax assets that are not more likely than not to be realized in the future. The Company has assessed the changes to the valuation allowance, including realization of the disallowed interest expense deferred tax asset, using the integrated approach.</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for the three and six months ended June 30, 2024 differed from the expected income tax benefit based on the federal tax rate of 21% primarily due to an increase in federal and state valuation allowances against the deferred tax assets for excess business interest expense.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benefit for the three and six months ended June 30, 2023 differed from the expected income tax benefit based on the federal tax rate of 21% primarily due to the partial release of federal and state valuation allowances.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04165"/>
                <wp:effectExtent l="0" t="0" r="0" b="0"/>
                <wp:wrapNone/>
                <wp:docPr id="22" name="Frame2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including its subsidiaries, files tax returns with federal, state, and foreign jurisdictions. The Company does not have tax sharing agreements with the other members within its consolidated group. The Company is subject to exam by various state and foreign tax authorities. With few exceptions, the Company is no longer subject to US federal or state and local tax assessments by tax authorities for years before 2020, and it is possible that the amount of the liability for unrecognized tax benefits could change during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11. Related Party and Affiliate Transactions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 S. &amp; Y. Associates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the entire parcel on which Eldorado Resort Casino Reno is located, except for approximately 30,000 square feet which is leased from C. S. &amp; Y. Associates (“CSY”) (the “CSY Lease”). CSY is a general partnership in which a trust has an approximate 27% interest. The Company’s Executive Chairman of the Board, Gary L. Carano, and his siblings are direct or indirect beneficiaries of the trust. The CSY Lease expires on June 30, 2057. Annual rent pursuant to the CSY Lease is currently $0.6 million, paid monthly. Annual rent is subject to periodic rent escalations of 1 to 2 percent through the term of the lease. Commensurate with its interest, the trust receives directly from the Company approximately 27% of the rent paid by the Company. As of June 30, 2024 and December 31, 2023, there were no amounts due to or from CSY.</w:t>
      </w:r>
    </w:p>
    <w:p>
      <w:pPr>
        <w:pStyle w:val="TextBody"/>
        <w:bidi w:val="0"/>
        <w:spacing w:lineRule="auto" w:line="288" w:before="180" w:after="283"/>
        <w:jc w:val="both"/>
        <w:rPr/>
      </w:pPr>
      <w:r>
        <w:rPr>
          <w:rFonts w:ascii="Times New Roman;sans-serif" w:hAnsi="Times New Roman;sans-serif"/>
          <w:b/>
          <w:color w:val="000000"/>
          <w:sz w:val="20"/>
        </w:rPr>
        <w:t>C</w:t>
      </w:r>
      <w:r>
        <w:rPr>
          <w:rFonts w:ascii="Times New Roman;sans-serif" w:hAnsi="Times New Roman;sans-serif"/>
          <w:b/>
          <w:i/>
          <w:color w:val="000000"/>
          <w:sz w:val="20"/>
        </w:rPr>
        <w:t>VA Holdco, LLC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the Company entered into a joint venture, CVA Holdco, LLC, with the Eastern Band of Cherokee Indians (“EBCI”) and an additional minority partner, to construct, own and operate a gaming facility in Danville, Virginia (“Caesars Virginia”). Caesars Virginia opened in a temporary facility on May 15, 2023 which will be replaced by a permanent facility that is currently under construction and is estimated to open in December 2024. As the managing member, the Company will operate the business and manage the development, construction, financing, marketing, leasing, maintenance and day-to-day operation of the various phases of the project. While the Company holds a 49.5% variable interest in the joint venture, it is the primary beneficiary; as such, the joint venture’s operations are included in the Financial Statements, with a minority interest recorded reflecting the operations attributed to the other partners. The Company participates ratably, based on ownership percentage, with the partners in the profits and losses of the joint venture. During the three months ended June 30, 2024, the Company made distributions totaling $14 million to EBCI and the other minority partner.</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Pompano Joint Venture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2018, the Company entered into a joint venture with Cordish Companies (“Cordish”) to plan and develop a mixed-use entertainment and hospitality destination expected to be located on unused land adjacent to the casino and racetrack at the Company’s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the Company’s input and will submit it for the Company’s review and approval. While the Company holds a 50% variable interest in the joint venture, it is not the primary beneficiary; as such, the investment in the joint venture is accounted for using the equity method and is recorded in Investment in and advances to unconsolidated affiliates on the Balance Sheet. The Company participates evenly with Cordish in the profits and losses of the joint venture, which are included in Transaction and other costs, net on the Statements of Operations.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inception of the joint venture, the Company has contributed a total of $7 million in cash and approximately 209 acres of land with a total fair value of $69 million. The Company has no further obligation to contribute additional real estate or cash. During the year ended December 31, 2023, the Company recorded $64 million of income related to the investment, primarily due to the joint venture’s gain on the sale of a land parcel. As of both June 30, 2024 and December 31, 2023, the Company’s investment in the joint venture was $147 million and is recorded in Investments in and advances to unconsolidated affiliates on the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04165"/>
                <wp:effectExtent l="0" t="0" r="0" b="0"/>
                <wp:wrapNone/>
                <wp:docPr id="23" name="Frame2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12. Segment Information</w:t>
      </w:r>
    </w:p>
    <w:p>
      <w:pPr>
        <w:pStyle w:val="TextBody"/>
        <w:bidi w:val="0"/>
        <w:spacing w:lineRule="auto" w:line="288" w:before="180" w:after="283"/>
        <w:jc w:val="both"/>
        <w:rPr/>
      </w:pPr>
      <w:r>
        <w:rPr>
          <w:rFonts w:ascii="Times New Roman;sans-serif" w:hAnsi="Times New Roman;sans-serif"/>
          <w:b w:val="false"/>
          <w:color w:val="000000"/>
          <w:sz w:val="20"/>
        </w:rPr>
        <w:t xml:space="preserve">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The Company’s principal operating activities occur in four reportable segments.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 (1) Las Vegas, (2) Regional, (3) Caesars Digital, and (4) Managed and Branded, in addition to Corporate and Other. See table below for a summary of these segments. Also, see </w:t>
      </w:r>
      <w:hyperlink w:anchor="i84376642b6474f11bc155e6fdb08572b_64">
        <w:r>
          <w:rPr>
            <w:rStyle w:val="InternetLink"/>
            <w:rFonts w:ascii="Times New Roman;sans-serif" w:hAnsi="Times New Roman;sans-serif"/>
            <w:b w:val="false"/>
            <w:color w:val="0000FF"/>
            <w:sz w:val="20"/>
            <w:u w:val="single"/>
          </w:rPr>
          <w:t>Note 3</w:t>
        </w:r>
      </w:hyperlink>
      <w:r>
        <w:rPr>
          <w:color w:val="000000"/>
        </w:rPr>
        <w:t xml:space="preserve"> </w:t>
      </w:r>
      <w:r>
        <w:rPr>
          <w:rFonts w:ascii="Times New Roman;sans-serif" w:hAnsi="Times New Roman;sans-serif"/>
          <w:b w:val="false"/>
          <w:color w:val="000000"/>
          <w:sz w:val="20"/>
        </w:rPr>
        <w:t xml:space="preserve">and </w:t>
      </w:r>
      <w:hyperlink w:anchor="i84376642b6474f11bc155e6fdb08572b_67">
        <w:r>
          <w:rPr>
            <w:rStyle w:val="InternetLink"/>
            <w:rFonts w:ascii="Times New Roman;sans-serif" w:hAnsi="Times New Roman;sans-serif"/>
            <w:b w:val="false"/>
            <w:color w:val="0000FF"/>
            <w:sz w:val="20"/>
            <w:u w:val="single"/>
          </w:rPr>
          <w:t>Note 4</w:t>
        </w:r>
      </w:hyperlink>
      <w:r>
        <w:rPr>
          <w:color w:val="BF2115"/>
        </w:rPr>
        <w:t xml:space="preserve"> </w:t>
      </w:r>
      <w:r>
        <w:rPr>
          <w:rFonts w:ascii="Times New Roman;sans-serif" w:hAnsi="Times New Roman;sans-serif"/>
          <w:b w:val="false"/>
          <w:color w:val="000000"/>
          <w:sz w:val="20"/>
        </w:rPr>
        <w:t>for a discussion of any impairment of intangible assets or long-lived assets related to certain segments, when applicable.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properties (listed by segment in which each property is reported) as of June 30, 2024:</w:t>
      </w:r>
    </w:p>
    <w:tbl>
      <w:tblPr>
        <w:tblW w:w="10205" w:type="dxa"/>
        <w:jc w:val="left"/>
        <w:tblInd w:w="0" w:type="dxa"/>
        <w:tblLayout w:type="fixed"/>
        <w:tblCellMar>
          <w:top w:w="28" w:type="dxa"/>
          <w:left w:w="28" w:type="dxa"/>
          <w:bottom w:w="28" w:type="dxa"/>
          <w:right w:w="28" w:type="dxa"/>
        </w:tblCellMar>
      </w:tblPr>
      <w:tblGrid>
        <w:gridCol w:w="858"/>
        <w:gridCol w:w="677"/>
        <w:gridCol w:w="685"/>
        <w:gridCol w:w="109"/>
        <w:gridCol w:w="109"/>
        <w:gridCol w:w="109"/>
        <w:gridCol w:w="881"/>
        <w:gridCol w:w="804"/>
        <w:gridCol w:w="807"/>
        <w:gridCol w:w="109"/>
        <w:gridCol w:w="109"/>
        <w:gridCol w:w="109"/>
        <w:gridCol w:w="787"/>
        <w:gridCol w:w="721"/>
        <w:gridCol w:w="723"/>
        <w:gridCol w:w="109"/>
        <w:gridCol w:w="109"/>
        <w:gridCol w:w="109"/>
        <w:gridCol w:w="665"/>
        <w:gridCol w:w="665"/>
        <w:gridCol w:w="951"/>
      </w:tblGrid>
      <w:tr>
        <w:trPr/>
        <w:tc>
          <w:tcPr>
            <w:tcW w:w="85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Las Vegas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Managed and Branded</w:t>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Caesars Palace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Atlantic City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Harveys Lake Tahoe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Managed</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The Cromwell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Caesars New Orleans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Horseshoe Baltimore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Ak-Chin</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Flamingo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Caesars Virginia </w:t>
            </w:r>
            <w:r>
              <w:rPr>
                <w:rFonts w:ascii="Times New Roman;sans-serif" w:hAnsi="Times New Roman;sans-serif"/>
                <w:b w:val="false"/>
                <w:i/>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Black Hawk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Cherokee</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Las Vegas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Circus Circus Reno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Bossier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Cherokee Valley River</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Horseshoe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Eldorado Gaming Scioto Downs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Council Bluffs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Resort Southern California</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The LINQ Hotel &amp;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Eldorado Resort Casino Reno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Hammond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Caesars Windsor</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Paris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Grand Victoria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Horseshoe Indianapolis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Branded</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Planet Hollywood Resort &amp;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Atlantic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Lake Charles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Republic Scottsdale</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Harrah’s Columbus Nebraska </w:t>
            </w:r>
            <w:r>
              <w:rPr>
                <w:rFonts w:ascii="Times New Roman;sans-serif" w:hAnsi="Times New Roman;sans-serif"/>
                <w:b w:val="false"/>
                <w:i/>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St. Louis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Caesars Southern Indiana </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Digital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Council Bluffs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Horseshoe Tunica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Northern California</w:t>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Gulf Coast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Isle Casino Bettendorf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Hoosier Park Racing &amp;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Isle of Capri Casino Boonville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Joliet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Isle of Capri Casino Lula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Lake Tahoe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Isle Casino Waterloo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Laughlin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Lady Luck Casino - Black Hawk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Metropolis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Silver Legacy Resort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North Kansas 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Trop Casino Greenville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Philadelphia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Tropicana Atlantic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Harrah’s Pompano Beach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Tropicana Laughlin Hotel &amp;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Temporary gaming facility opened on May 15, 2023. The construction of the permanent facility of Caesars Virginia is expected to be completed in December 2024.</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(b)</w:t>
      </w:r>
      <w:r>
        <w:rPr>
          <w:rFonts w:ascii="Times New Roman;sans-serif" w:hAnsi="Times New Roman;sans-serif"/>
          <w:b w:val="false"/>
          <w:i/>
          <w:color w:val="000000"/>
          <w:sz w:val="16"/>
        </w:rPr>
        <w:t xml:space="preserve">Temporary gaming facility was open from June 12, 2023 through March 20, 2024, closing in anticipation of the permanent facility which opened on May 17, 2024, following weeks of construction disruption due to weather.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properties operate off-track betting locations, including Harrah’s Hoosier Park Racing &amp; Casino, which operates Winner’s Circle Indianapolis and Winner’s Circle New Haven, and Horseshoe Indianapolis, which operates Winner’s Circle Clarksville. The LINQ Promenade is an open-air dining, entertainment, and retail promenade located on the east side of the Las Vegas Strip next to The LINQ Hotel &amp; Casino (the “LINQ”) that features the High Roller, a 550-foot observation wheel, and the Fly LINQ Zipline attraction. We also own the CAESARS FORUM convention center, which is a 550,000 square feet conference center with 300,000 square feet of flexible meeting space, two of the largest pillarless ballrooms in the world and direct access to the LINQ.</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Corporate and Other includes certain unallocated corporate overhead costs and other adjustments, including eliminations of transactions among segments, to reconcile to the Company’s consolidated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04165"/>
                <wp:effectExtent l="0" t="0" r="0" b="0"/>
                <wp:wrapNone/>
                <wp:docPr id="24" name="Frame2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for the periods indicated, certain operating data for the Company’s four reportable segments, in addition to Corporate and Other:</w:t>
      </w:r>
    </w:p>
    <w:tbl>
      <w:tblPr>
        <w:tblW w:w="6874" w:type="dxa"/>
        <w:jc w:val="left"/>
        <w:tblInd w:w="0" w:type="dxa"/>
        <w:tblLayout w:type="fixed"/>
        <w:tblCellMar>
          <w:top w:w="28" w:type="dxa"/>
          <w:left w:w="28" w:type="dxa"/>
          <w:bottom w:w="28" w:type="dxa"/>
          <w:right w:w="28" w:type="dxa"/>
        </w:tblCellMar>
      </w:tblPr>
      <w:tblGrid>
        <w:gridCol w:w="664"/>
        <w:gridCol w:w="582"/>
        <w:gridCol w:w="584"/>
        <w:gridCol w:w="233"/>
        <w:gridCol w:w="663"/>
        <w:gridCol w:w="130"/>
        <w:gridCol w:w="130"/>
        <w:gridCol w:w="130"/>
        <w:gridCol w:w="130"/>
        <w:gridCol w:w="233"/>
        <w:gridCol w:w="663"/>
        <w:gridCol w:w="130"/>
        <w:gridCol w:w="109"/>
        <w:gridCol w:w="109"/>
        <w:gridCol w:w="109"/>
        <w:gridCol w:w="213"/>
        <w:gridCol w:w="605"/>
        <w:gridCol w:w="118"/>
        <w:gridCol w:w="118"/>
        <w:gridCol w:w="118"/>
        <w:gridCol w:w="118"/>
        <w:gridCol w:w="213"/>
        <w:gridCol w:w="605"/>
        <w:gridCol w:w="167"/>
      </w:tblGrid>
      <w:tr>
        <w:trPr/>
        <w:tc>
          <w:tcPr>
            <w:tcW w:w="66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Las Vegas: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Regional:</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Caesars Digital:</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Managed and Branded:</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Corporate and Other:</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Reconciliation of Net Income (Loss) Attributable to Caesars to Adjusted EBITDA by Segment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presented as a measure of the Company’s performance. Adjusted EBITDA is defined as revenues less certain operating expenses and is comprised of net income (loss) before (i) interest income and interest expense, net of interest capitalized, (ii) income tax (benefit) provision, (iii) depreciation and amortization, and (iv) certain items that we do not consider indicative of our ongoing operating performance at an operating property level.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evaluating Adjusted EBITDA you should be aware that, in the future, we may incur expenses that are the same or similar to some of the adjustments in this presentation. The presentation of Adjusted EBITDA should not be construed as an inference that future results will be unaffected by unusual or unexpected items.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a financial measure commonly used in our industry and should not be construed as an alternative to net income (loss) as an indicator of operating performance or as an alternative to cash flow provided by operating activities as a measure of liquidity (as determined in accordance with GAAP). Adjusted EBITDA may not be comparable to similarly titled measures reported by other companies within the industry. Adjusted EBITDA is included because management uses Adjusted EBITDA to measure performance and allocate resources, and believes that Adjusted EBITDA provides investors with additional information consistent with that used by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04165"/>
                <wp:effectExtent l="0" t="0" r="0" b="0"/>
                <wp:wrapNone/>
                <wp:docPr id="25" name="Frame2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689" w:type="dxa"/>
        <w:jc w:val="left"/>
        <w:tblInd w:w="0" w:type="dxa"/>
        <w:tblLayout w:type="fixed"/>
        <w:tblCellMar>
          <w:top w:w="28" w:type="dxa"/>
          <w:left w:w="28" w:type="dxa"/>
          <w:bottom w:w="28" w:type="dxa"/>
          <w:right w:w="28" w:type="dxa"/>
        </w:tblCellMar>
      </w:tblPr>
      <w:tblGrid>
        <w:gridCol w:w="1321"/>
        <w:gridCol w:w="1160"/>
        <w:gridCol w:w="1164"/>
        <w:gridCol w:w="233"/>
        <w:gridCol w:w="663"/>
        <w:gridCol w:w="130"/>
        <w:gridCol w:w="130"/>
        <w:gridCol w:w="130"/>
        <w:gridCol w:w="130"/>
        <w:gridCol w:w="233"/>
        <w:gridCol w:w="663"/>
        <w:gridCol w:w="130"/>
        <w:gridCol w:w="109"/>
        <w:gridCol w:w="109"/>
        <w:gridCol w:w="109"/>
        <w:gridCol w:w="213"/>
        <w:gridCol w:w="605"/>
        <w:gridCol w:w="118"/>
        <w:gridCol w:w="118"/>
        <w:gridCol w:w="118"/>
        <w:gridCol w:w="118"/>
        <w:gridCol w:w="213"/>
        <w:gridCol w:w="605"/>
        <w:gridCol w:w="167"/>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Caesars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(Benefit) provision for income taxes</w:t>
            </w:r>
            <w:r>
              <w:rPr>
                <w:color w:val="000000"/>
              </w:rPr>
              <w:t xml:space="preserve"> </w:t>
            </w:r>
            <w:r>
              <w:rPr>
                <w:rFonts w:ascii="Times New Roman;sans-serif" w:hAnsi="Times New Roman;sans-serif"/>
                <w:b w:val="false"/>
                <w:i/>
                <w:color w:val="000000"/>
                <w:sz w:val="12"/>
              </w:rPr>
              <w:t>(a)</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(income) loss </w:t>
            </w:r>
            <w:r>
              <w:rPr>
                <w:rFonts w:ascii="Times New Roman;sans-serif" w:hAnsi="Times New Roman;sans-serif"/>
                <w:b w:val="false"/>
                <w:i/>
                <w:color w:val="000000"/>
                <w:sz w:val="12"/>
              </w:rPr>
              <w:t>(b)</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Impairment charges</w:t>
            </w:r>
            <w:r>
              <w:rPr>
                <w:color w:val="000000"/>
              </w:rPr>
              <w:t xml:space="preserve"> </w:t>
            </w:r>
            <w:r>
              <w:rPr>
                <w:rFonts w:ascii="Times New Roman;sans-serif" w:hAnsi="Times New Roman;sans-serif"/>
                <w:b w:val="false"/>
                <w:i/>
                <w:color w:val="000000"/>
                <w:sz w:val="12"/>
              </w:rPr>
              <w:t>(c)</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Transaction costs and other, net</w:t>
            </w:r>
            <w:r>
              <w:rPr>
                <w:color w:val="000000"/>
              </w:rPr>
              <w:t xml:space="preserve"> </w:t>
            </w:r>
            <w:r>
              <w:rPr>
                <w:rFonts w:ascii="Times New Roman;sans-serif" w:hAnsi="Times New Roman;sans-serif"/>
                <w:b w:val="false"/>
                <w:i/>
                <w:color w:val="000000"/>
                <w:sz w:val="12"/>
              </w:rPr>
              <w:t>(d)</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by Segment:</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 Vegas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Managed and Branded</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212529"/>
          <w:sz w:val="10"/>
        </w:rPr>
        <w:t>(a)</w:t>
      </w:r>
      <w:r>
        <w:rPr>
          <w:rFonts w:ascii="Times New Roman;sans-serif" w:hAnsi="Times New Roman;sans-serif"/>
          <w:b w:val="false"/>
          <w:i/>
          <w:color w:val="000000"/>
          <w:sz w:val="16"/>
        </w:rPr>
        <w:t>Benefit for income taxes during the three and six months ended June 30, 2023 includes the release of $940 million of valuation allowance against deferred tax assets.</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(b)</w:t>
      </w:r>
      <w:r>
        <w:rPr>
          <w:rFonts w:ascii="Times New Roman;sans-serif" w:hAnsi="Times New Roman;sans-serif"/>
          <w:b w:val="false"/>
          <w:i/>
          <w:color w:val="000000"/>
          <w:sz w:val="16"/>
        </w:rPr>
        <w:t xml:space="preserve">Other (income) loss for the six months ended June 30, 2024 primarily represents a change in estimate of our disputed claims liability. </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(c)</w:t>
      </w:r>
      <w:r>
        <w:rPr>
          <w:rFonts w:ascii="Times New Roman;sans-serif" w:hAnsi="Times New Roman;sans-serif"/>
          <w:b w:val="false"/>
          <w:i/>
          <w:color w:val="000000"/>
          <w:sz w:val="16"/>
        </w:rPr>
        <w:t>Impairment charges for the three and six months ended June 30, 2024 primarily includes impairment within our Regional segment as a result of a decrease in projected future cash flows at certain properties primarily due to localized competition.</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(d)</w:t>
      </w:r>
      <w:r>
        <w:rPr>
          <w:rFonts w:ascii="Times New Roman;sans-serif" w:hAnsi="Times New Roman;sans-serif"/>
          <w:b w:val="false"/>
          <w:i/>
          <w:color w:val="000000"/>
          <w:sz w:val="16"/>
        </w:rPr>
        <w:t xml:space="preserve">Transaction costs and other, net primarily includes costs related to non-cash losses on the write down and disposal of assets, professional services for transaction and integration costs, various contract exit or termination costs, pre-opening costs in connection with our temporary facility openings, and non-cash changes in equity method investments. </w:t>
      </w:r>
    </w:p>
    <w:tbl>
      <w:tblPr>
        <w:tblW w:w="5261" w:type="dxa"/>
        <w:jc w:val="left"/>
        <w:tblInd w:w="0" w:type="dxa"/>
        <w:tblLayout w:type="fixed"/>
        <w:tblCellMar>
          <w:top w:w="28" w:type="dxa"/>
          <w:left w:w="28" w:type="dxa"/>
          <w:bottom w:w="28" w:type="dxa"/>
          <w:right w:w="28" w:type="dxa"/>
        </w:tblCellMar>
      </w:tblPr>
      <w:tblGrid>
        <w:gridCol w:w="794"/>
        <w:gridCol w:w="697"/>
        <w:gridCol w:w="699"/>
        <w:gridCol w:w="238"/>
        <w:gridCol w:w="785"/>
        <w:gridCol w:w="132"/>
        <w:gridCol w:w="109"/>
        <w:gridCol w:w="109"/>
        <w:gridCol w:w="109"/>
        <w:gridCol w:w="313"/>
        <w:gridCol w:w="1031"/>
        <w:gridCol w:w="245"/>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Total Assets - By Segment</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 Vegas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24,771 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24,230 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Managed and Branded </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Corporate and Other </w:t>
            </w:r>
            <w:r>
              <w:rPr>
                <w:rFonts w:ascii="Times New Roman;sans-serif" w:hAnsi="Times New Roman;sans-serif"/>
                <w:b w:val="false"/>
                <w:i/>
                <w:color w:val="000000"/>
                <w:sz w:val="12"/>
              </w:rPr>
              <w:t>(a)</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(7,474)</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33,366 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Includes eliminations of transactions among segments, to reconcile to the Company’s consolidated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04165"/>
                <wp:effectExtent l="0" t="0" r="0" b="0"/>
                <wp:wrapNone/>
                <wp:docPr id="26" name="Frame2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Item 2. Management’s Discussion and Analysis of Financial Condition and Results of Operations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the financial condition and operating results of Caesars Entertainment, Inc., a Delaware corporation, and its consolidated subsidiaries, which may be referred to as the “Company,” “CEI,” “Caesars,” “we,” “our,” or “us,” for the three and six months ended June 30, 2024 and 2023 should be read in conjunction with the unaudited consolidated condensed financial statements and the notes thereto and other financial information included elsewhere in this Form 10-Q as well as our Annual Report on Form 10-K for the fiscal year ended December 31, 2023 (the “2023 Annual Report”). Capitalized terms used but not defined in this Form 10-Q have the same meanings as in the 2023 Annual Report.</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We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 References to numbered “Notes” refer to “Notes to Consolidated Condensed Financial Statements” included in Item 1, “Unaudited Financial Statements,” unless otherwise noted.</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statements in this discussion regarding our expectations of our future performance, liquidity and capital resources, and other non-historical statements are forward-looking statements. These forward-looking statements are subject to numerous risks and uncertainties. Our actual results may differ materially from those contained in or implied by any forward-looking statements. See “Cautionary Statements Regarding Forward-Looking Information”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Objective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 (“MD&amp;A”) is intended to be a narrative explanation of the financial statements and other statistical data that should be read in conjunction with the accompanying financial statements to enhance an investor’s understanding of our financial condition, changes in financial condition and results of operations. Our objectives are: (i) to provide a narrative explanation of our financial statements that will enable investors to see the Company through the eyes of management; (ii) to enhance the overall financial disclosure and provide the context within which financial information should be analyzed; and (iii) to provide information about the quality of, and potential variability of, our earnings and cash flows so that investors can ascertain the likelihood of whether past performance is indicative of future performance.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geographically diversified gaming and hospitality company that was founded in 1973 by the Carano family with the opening of the Eldorado Hotel Casino in Reno, Nevada. Beginning in 2005, we grew through a series of acquisitions, including the acquisition of MTR Gaming Group, Inc. in 2014, Isle of Capri Casinos, Inc. in 2017, Tropicana Entertainment, Inc. in 2018, Caesars Entertainment Corporation in 2020 and William Hill PLC in 2021. Our ticker symbol on the NASDAQ Stock Market is “CZR.”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own, lease, brand or manage an aggregate of 53 domestic properties in 18 states with approximately 51,000 slot machines, video lottery terminals and e-tables, approximately 2,800 table games and approximately 44,900 hotel rooms as of June 30, 2024. In addition, we have other properties in North America that are authorized to use the brands and marks of Caesars Entertainment, Inc. Our primary source of revenue is generated by our casino properties’ gaming operations, our retail and online sports betting and online gaming, and we utilize our hotels, restaurants, bars, entertainment, racing, retail shops and other services to attract customers to our properties.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owned 22 of our casinos and leased 24 casinos in the U.S. We lease 18 casinos from VICI Properties L.P., a Delaware limited partnership (“VICI”), pursuant to a regional lease, a Las Vegas lease and a Joliet lease (the “VICI Leases”). In addition, we lease six casinos from GLP Capital, L.P., the operating partnership of Gaming and Leisure Properties, Inc. (“GLPI”) pursuant to a Master Lease (as amended, the “GLPI Master Lease”) and a Lumière lease associated with our Horseshoe St. Louis property (together with the GLPI Master Lease, the “GLPI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04165"/>
                <wp:effectExtent l="0" t="0" r="0" b="0"/>
                <wp:wrapNone/>
                <wp:docPr id="27" name="Frame2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and conduct retail and online sports wagering across 32 jurisdictions in North America, 26 of which offer online sports betting. Additionally, we operate iGaming in five jurisdictions in North America. The map below illustrates Caesars Digital’s presence as of June 30, 2024:</w:t>
      </w:r>
    </w:p>
    <w:p>
      <w:pPr>
        <w:pStyle w:val="TextBody"/>
        <w:bidi w:val="0"/>
        <w:spacing w:before="180" w:after="283"/>
        <w:jc w:val="center"/>
        <w:rPr/>
      </w:pPr>
      <w:r>
        <w:rPr/>
        <w:drawing>
          <wp:inline distT="0" distB="0" distL="0" distR="0">
            <wp:extent cx="6515100" cy="5191125"/>
            <wp:effectExtent l="0" t="0" r="0" b="0"/>
            <wp:docPr id="2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 descr=""/>
                    <pic:cNvPicPr>
                      <a:picLocks noChangeAspect="1" noChangeArrowheads="1"/>
                    </pic:cNvPicPr>
                  </pic:nvPicPr>
                  <pic:blipFill>
                    <a:blip r:embed="rId2"/>
                    <a:stretch>
                      <a:fillRect/>
                    </a:stretch>
                  </pic:blipFill>
                  <pic:spPr bwMode="auto">
                    <a:xfrm>
                      <a:off x="0" y="0"/>
                      <a:ext cx="6515100" cy="5191125"/>
                    </a:xfrm>
                    <a:prstGeom prst="rect">
                      <a:avLst/>
                    </a:prstGeom>
                  </pic:spPr>
                </pic:pic>
              </a:graphicData>
            </a:graphic>
          </wp:inline>
        </w:drawing>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2022, we partnered with NYRABets LLC, the official online wagering platform of the New York Racing Association, Inc., and have launched the Caesars Racebook app within 21 states as of June 30, 2024. The Caesars Racebook app provides access for pari-mutuel wagering at over 300 racetracks around the world as well as livestreaming of races. Wagers placed can earn credits towards our Caesars Rewards loyalty program or points which can be redeemed for free wagering credits.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in the process of expanding our Caesars Digital footprint into other states in the near term with our Caesars Sportsbook, Caesars Racebook and iGaming mobile apps as jurisdictions legalize or provide necessary approvals. No customers under 21 years old are allowed to wager on any of our Caesars Sportsbook, Caesars Racebook and iGaming mobile apps.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Investments and Partnerships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Pompano Joint Venture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2018, we entered into a joint venture with Cordish Companies (“Cordish”) to plan and develop a mixed-use entertainment and hospitality destination expected to be located on unused land adjacent to the casino and racetrack at our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our input and will submit it for our review and approval. While we hold a 50% variable interest in the joint venture, we are not the primary beneficiary; as such, the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04165"/>
                <wp:effectExtent l="0" t="0" r="0" b="0"/>
                <wp:wrapNone/>
                <wp:docPr id="29" name="Frame2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joint venture is accounted for using the equity method. We participate evenly with Cordish in the profits and losses of the joint venture, which are included in Transaction and other costs, net on the Statements of Operations.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contributed a total of $7 million in cash and approximately 209 acres of land with a total fair value of $69 million. We have no further obligation to contribute additional real estate or cash. During the year ended December 31, 2023, we recorded $64 million of income related to the investment, primarily due to the joint venture’s gain on the sale of a land parcel. As of both June 30, 2024 and December 31, 2023, our investment in the joint venture was $147 million and is recorded in Investments in and advances to unconsolidated affiliates on the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Reportable Segments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Segment results in this MD&amp;A are presented consistent with the way our management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Our principal operating activities occur in four reportable segments: (1) Las Vegas, (2) Regional, (3) Caesars Digital, and (4) Managed and Branded, in addition to Corporate and Other.</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Presentation of Financial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presentation of financial information herein for the periods after our completed divestiture of Rio All-Suite Hotel &amp; Casino (“Rio”) at the end of the third quarter of 2023 is not fully comparable to the periods prior to such divestiture.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MD&amp;A is intended to provide information to assist in better understanding and evaluating our financial condition and results of operations. Our historical operating results may not be indicative of our future results of operations because of the factor described in the preceding paragraph and the changing competitive landscape in each of our markets, including changes in market and societal trends, as well as by factors discussed elsewhere herein. We recommend that you read this MD&amp;A in conjunction with our unaudited Financial Statements and the notes to those statements included in this Quarterly Report on Form 10-Q.</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Key Performance Metrics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 of revenue is generated by our gaming operations, our retail and online sports betting, as well as our online gaming. Additionally, we utilize our hotels, restaurants, bars, entertainment venues, retail shops, racing and other services to attract customers to our properties. Our operating results are highly dependent on the volume and quality of customers staying at, or visiting, our properties and using our sports betting and iGaming applications.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Key performance metrics include volume indicators such as drop or handle, which refer to amounts wagered by our customers. The amount of volume we retain, which is not fully controllable by us, is recognized as casino revenues and is referred to as our win or hold. Slot win percentage is typically in the range of approximately 9% to 11% of slot handle for both the Las Vegas and Regional segments. Table games hold percentage is typically in the range of approximately 16% to 23% of table games drop in both the Las Vegas and Regional segments. Sports betting hold is typically in the range of 5% to 10% and iGaming hold typically ranges from 3% to 5%. In addition, hotel occupancy, which is the average percentage of available hotel rooms occupied during a period, is a key indicator for our hotel business in the Las Vegas segment. See “Results of Operations” section below. Complimentary and discounted rooms are treated as occupied rooms in our calculation of hotel occupancy. The key metrics we utilize to measure our profitability and performance are Adjusted EBITDA and Adjusted EBITDA margin.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04165"/>
                <wp:effectExtent l="0" t="0" r="0" b="0"/>
                <wp:wrapNone/>
                <wp:docPr id="30" name="Frame2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Significant Factors Impacting Financial Results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highlights the significant factors impacting our financial results for the three and six months ended June 30, 2024 and 2023:</w:t>
      </w:r>
    </w:p>
    <w:p>
      <w:pPr>
        <w:pStyle w:val="TextBody"/>
        <w:bidi w:val="0"/>
        <w:spacing w:lineRule="auto" w:line="288" w:before="180" w:after="283"/>
        <w:ind w:left="0" w:right="0" w:hanging="360"/>
        <w:jc w:val="both"/>
        <w:rPr/>
      </w:pPr>
      <w:r>
        <w:rPr>
          <w:color w:val="212529"/>
        </w:rPr>
        <w:t>•</w:t>
      </w:r>
      <w:r>
        <w:rPr>
          <w:rFonts w:ascii="Times New Roman;sans-serif" w:hAnsi="Times New Roman;sans-serif"/>
          <w:b w:val="false"/>
          <w:i/>
          <w:color w:val="000000"/>
          <w:sz w:val="20"/>
        </w:rPr>
        <w:t>New Developments –</w:t>
      </w:r>
      <w:r>
        <w:rPr>
          <w:color w:val="000000"/>
        </w:rPr>
        <w:t xml:space="preserve"> </w:t>
      </w:r>
      <w:r>
        <w:rPr>
          <w:rFonts w:ascii="Times New Roman;sans-serif" w:hAnsi="Times New Roman;sans-serif"/>
          <w:b w:val="false"/>
          <w:color w:val="212529"/>
          <w:sz w:val="20"/>
        </w:rPr>
        <w:t>During the construction of the permanent facilities for Caesars Virginia and Harrah’s Columbus Nebraska, we opened temporary gaming facilities during the second quarter of 2023. Caesars Virginia’s temporary facility opened on May 15, 2023, and the permanent facility is scheduled to open in December 2024. Harrah’s Columbus Nebraska’s temporary facility was open from June 12, 2023, through March 20, 2024, closing in anticipation of the permanent facility which opened on May 17, 2024, following weeks of construction disruption due to weather.</w:t>
      </w:r>
    </w:p>
    <w:p>
      <w:pPr>
        <w:pStyle w:val="TextBody"/>
        <w:bidi w:val="0"/>
        <w:spacing w:lineRule="auto" w:line="288" w:before="180" w:after="283"/>
        <w:ind w:left="0" w:right="0" w:hanging="360"/>
        <w:jc w:val="both"/>
        <w:rPr/>
      </w:pPr>
      <w:r>
        <w:rPr>
          <w:color w:val="212529"/>
        </w:rPr>
        <w:t>•</w:t>
      </w:r>
      <w:r>
        <w:rPr>
          <w:rFonts w:ascii="Times New Roman;sans-serif" w:hAnsi="Times New Roman;sans-serif"/>
          <w:b w:val="false"/>
          <w:i/>
          <w:color w:val="212529"/>
          <w:sz w:val="20"/>
        </w:rPr>
        <w:t>Caesars Sportsbook, Caesars Racebook and iGaming mobile apps</w:t>
      </w:r>
      <w:r>
        <w:rPr>
          <w:color w:val="000000"/>
        </w:rPr>
        <w:t xml:space="preserve"> – </w:t>
      </w:r>
      <w:r>
        <w:rPr>
          <w:rFonts w:ascii="Times New Roman;sans-serif" w:hAnsi="Times New Roman;sans-serif"/>
          <w:b w:val="false"/>
          <w:color w:val="000000"/>
          <w:sz w:val="20"/>
        </w:rPr>
        <w:t>We continue to launch Caesars Sportsbook and Caesars Racebook in new jurisdictions, and our online and mobile iGaming application, Caesars Palace Online Casino, launched in the summer of 2023. As new states and jurisdictions have legalized sports betting, we have made varying degrees of upfront investments which have been executed through marketing campaigns and promotional incentives to acquire new customers and establish our presence in the new state or jurisdiction. We adjust our level of investment during the launch period in new jurisdictions based, in part, on prior experience and do not expect such investment to continue at elevated levels subsequent to the initial launch periods. Furthermore, on June 18, 2024, we completed the acquisition of the operations of WynnBET’s Michigan iGaming business and long-term extension of iGaming market access rights with the Sault Ste. Marie Tribe of Chippewa Indians.</w:t>
      </w:r>
    </w:p>
    <w:p>
      <w:pPr>
        <w:pStyle w:val="TextBody"/>
        <w:bidi w:val="0"/>
        <w:spacing w:lineRule="auto" w:line="288" w:before="180" w:after="283"/>
        <w:ind w:left="0" w:right="0" w:hanging="360"/>
        <w:jc w:val="both"/>
        <w:rPr/>
      </w:pPr>
      <w:r>
        <w:rPr>
          <w:color w:val="212529"/>
        </w:rPr>
        <w:t>•</w:t>
      </w:r>
      <w:r>
        <w:rPr>
          <w:rFonts w:ascii="Times New Roman;sans-serif" w:hAnsi="Times New Roman;sans-serif"/>
          <w:b w:val="false"/>
          <w:i/>
          <w:color w:val="000000"/>
          <w:sz w:val="20"/>
        </w:rPr>
        <w:t>Debt Transactions –</w:t>
      </w:r>
      <w:r>
        <w:rPr>
          <w:color w:val="000000"/>
        </w:rPr>
        <w:t xml:space="preserve"> </w:t>
      </w:r>
      <w:r>
        <w:rPr>
          <w:rFonts w:ascii="Times New Roman;sans-serif" w:hAnsi="Times New Roman;sans-serif"/>
          <w:b w:val="false"/>
          <w:color w:val="212529"/>
          <w:sz w:val="20"/>
        </w:rPr>
        <w:t xml:space="preserve">During the </w:t>
      </w:r>
      <w:r>
        <w:rPr>
          <w:rFonts w:ascii="Times New Roman;sans-serif" w:hAnsi="Times New Roman;sans-serif"/>
          <w:b w:val="false"/>
          <w:color w:val="000000"/>
          <w:sz w:val="20"/>
        </w:rPr>
        <w:t>six months ended June 30, 2024 and 2023,</w:t>
      </w:r>
      <w:r>
        <w:rPr>
          <w:color w:val="212529"/>
        </w:rPr>
        <w:t xml:space="preserve"> </w:t>
      </w:r>
      <w:r>
        <w:rPr>
          <w:rFonts w:ascii="Times New Roman;sans-serif" w:hAnsi="Times New Roman;sans-serif"/>
          <w:b w:val="false"/>
          <w:color w:val="212529"/>
          <w:sz w:val="20"/>
        </w:rPr>
        <w:t xml:space="preserve">we refinanced $4.4 billion of debt in both periods. In April 2024, Caesars Virginia, LLC entered into a new $425 million Caesars Virginia Delayed Draw Term Loan and Revolving Credit Facility and utilized </w:t>
      </w:r>
      <w:r>
        <w:rPr>
          <w:rFonts w:ascii="Times New Roman;sans-serif" w:hAnsi="Times New Roman;sans-serif"/>
          <w:b w:val="false"/>
          <w:color w:val="000000"/>
          <w:sz w:val="20"/>
        </w:rPr>
        <w:t xml:space="preserve">$120 million as of June 30, 2024. In addition, we amended the CEI Credit Agreement and </w:t>
      </w:r>
      <w:r>
        <w:rPr>
          <w:rFonts w:ascii="Times New Roman;sans-serif" w:hAnsi="Times New Roman;sans-serif"/>
          <w:b w:val="false"/>
          <w:color w:val="212529"/>
          <w:sz w:val="20"/>
        </w:rPr>
        <w:t xml:space="preserve">reduced the interest rate margin on the CEI Term Loan B in May 2024. We </w:t>
      </w:r>
      <w:r>
        <w:rPr>
          <w:rFonts w:ascii="Times New Roman;sans-serif" w:hAnsi="Times New Roman;sans-serif"/>
          <w:b w:val="false"/>
          <w:color w:val="000000"/>
          <w:sz w:val="20"/>
        </w:rPr>
        <w:t xml:space="preserve">made a voluntary principal repayment of $100 million on </w:t>
      </w:r>
      <w:r>
        <w:rPr>
          <w:rFonts w:ascii="Times New Roman;sans-serif" w:hAnsi="Times New Roman;sans-serif"/>
          <w:b w:val="false"/>
          <w:color w:val="212529"/>
          <w:sz w:val="20"/>
        </w:rPr>
        <w:t xml:space="preserve">our CEI Term Loan B in June 2024. See Liquidity and </w:t>
      </w:r>
      <w:r>
        <w:rPr>
          <w:rFonts w:ascii="Times New Roman;sans-serif" w:hAnsi="Times New Roman;sans-serif"/>
          <w:b w:val="false"/>
          <w:color w:val="000000"/>
          <w:sz w:val="20"/>
        </w:rPr>
        <w:t>Capital Resources below for more detail related to 2024 transactions.</w:t>
      </w:r>
      <w:r>
        <w:rPr>
          <w:color w:val="212529"/>
        </w:rPr>
        <w:t xml:space="preserve"> </w:t>
      </w:r>
      <w:r>
        <w:rPr>
          <w:rFonts w:ascii="Times New Roman;sans-serif" w:hAnsi="Times New Roman;sans-serif"/>
          <w:b w:val="false"/>
          <w:color w:val="212529"/>
          <w:sz w:val="20"/>
        </w:rPr>
        <w:t>As a result of these transactions, we recorded l</w:t>
      </w:r>
      <w:r>
        <w:rPr>
          <w:rFonts w:ascii="Times New Roman;sans-serif" w:hAnsi="Times New Roman;sans-serif"/>
          <w:b w:val="false"/>
          <w:color w:val="000000"/>
          <w:sz w:val="20"/>
        </w:rPr>
        <w:t>oss on early extinguishment of debt on the Statements of Operations of</w:t>
      </w:r>
      <w:r>
        <w:rPr>
          <w:color w:val="212529"/>
        </w:rPr>
        <w:t xml:space="preserve"> </w:t>
      </w:r>
      <w:r>
        <w:rPr>
          <w:rFonts w:ascii="Times New Roman;sans-serif" w:hAnsi="Times New Roman;sans-serif"/>
          <w:b w:val="false"/>
          <w:color w:val="000000"/>
          <w:sz w:val="20"/>
        </w:rPr>
        <w:t>$3 million for the three months ended June 30, 2024 and $51 million and $197 million for the six months ended June 30, 2024 and 2023, respectively.</w:t>
      </w:r>
    </w:p>
    <w:p>
      <w:pPr>
        <w:pStyle w:val="TextBody"/>
        <w:bidi w:val="0"/>
        <w:spacing w:lineRule="auto" w:line="288" w:before="180" w:after="283"/>
        <w:ind w:left="0" w:right="0" w:hanging="360"/>
        <w:jc w:val="both"/>
        <w:rPr/>
      </w:pPr>
      <w:r>
        <w:rPr>
          <w:color w:val="212529"/>
        </w:rPr>
        <w:t>•</w:t>
      </w:r>
      <w:r>
        <w:rPr>
          <w:rFonts w:ascii="Times New Roman;sans-serif" w:hAnsi="Times New Roman;sans-serif"/>
          <w:b w:val="false"/>
          <w:i/>
          <w:color w:val="000000"/>
          <w:sz w:val="20"/>
        </w:rPr>
        <w:t xml:space="preserve">Economic Factors Impacting Discretionary Spending – </w:t>
      </w:r>
      <w:r>
        <w:rPr>
          <w:rFonts w:ascii="Times New Roman;sans-serif" w:hAnsi="Times New Roman;sans-serif"/>
          <w:b w:val="false"/>
          <w:color w:val="212529"/>
          <w:sz w:val="20"/>
        </w:rPr>
        <w:t>Gaming and other leisure activities we offer represent discretionary expenditures which may be sensitive to economic downturns which impacts the behavior among the components of our customer mix differently. W</w:t>
      </w:r>
      <w:r>
        <w:rPr>
          <w:rFonts w:ascii="Times New Roman;sans-serif" w:hAnsi="Times New Roman;sans-serif"/>
          <w:b w:val="false"/>
          <w:color w:val="000000"/>
          <w:sz w:val="20"/>
        </w:rPr>
        <w:t>e also monitor recent trends, including higher inflation, interest rates, and global hostilities, and the related effects on travel, our customers, and our operations.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Impairment Charges –</w:t>
      </w:r>
      <w:r>
        <w:rPr>
          <w:color w:val="000000"/>
        </w:rPr>
        <w:t xml:space="preserve"> </w:t>
      </w:r>
      <w:r>
        <w:rPr>
          <w:rFonts w:ascii="Times New Roman;sans-serif" w:hAnsi="Times New Roman;sans-serif"/>
          <w:b w:val="false"/>
          <w:color w:val="000000"/>
          <w:sz w:val="20"/>
        </w:rPr>
        <w:t>Primarily due to localized competition within certain markets in the Regional segment, resulting in decreased projected future cash flows at certain properties, the Company recognized impairments of certain intangible assets. The Company identified trademarks, gaming rights and goodwill at three reporting units with estimated fair values below their respective carrying values. During the three and six months ended June 30, 2024, the Company recognized impairment charges totaling $118 million. During the three and six months ended June 30, 2023, the Company did not realize an impairment.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04165"/>
                <wp:effectExtent l="0" t="0" r="0" b="0"/>
                <wp:wrapNone/>
                <wp:docPr id="31" name="Frame3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highlights the results of our operations:</w:t>
      </w:r>
    </w:p>
    <w:tbl>
      <w:tblPr>
        <w:tblW w:w="7166" w:type="dxa"/>
        <w:jc w:val="left"/>
        <w:tblInd w:w="0" w:type="dxa"/>
        <w:tblLayout w:type="fixed"/>
        <w:tblCellMar>
          <w:top w:w="28" w:type="dxa"/>
          <w:left w:w="28" w:type="dxa"/>
          <w:bottom w:w="28" w:type="dxa"/>
          <w:right w:w="28" w:type="dxa"/>
        </w:tblCellMar>
      </w:tblPr>
      <w:tblGrid>
        <w:gridCol w:w="727"/>
        <w:gridCol w:w="640"/>
        <w:gridCol w:w="643"/>
        <w:gridCol w:w="204"/>
        <w:gridCol w:w="580"/>
        <w:gridCol w:w="267"/>
        <w:gridCol w:w="113"/>
        <w:gridCol w:w="113"/>
        <w:gridCol w:w="113"/>
        <w:gridCol w:w="204"/>
        <w:gridCol w:w="580"/>
        <w:gridCol w:w="267"/>
        <w:gridCol w:w="109"/>
        <w:gridCol w:w="109"/>
        <w:gridCol w:w="109"/>
        <w:gridCol w:w="196"/>
        <w:gridCol w:w="556"/>
        <w:gridCol w:w="256"/>
        <w:gridCol w:w="109"/>
        <w:gridCol w:w="109"/>
        <w:gridCol w:w="109"/>
        <w:gridCol w:w="196"/>
        <w:gridCol w:w="556"/>
        <w:gridCol w:w="301"/>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revenues:</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 Vegas</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Managed and Branded</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Corporate and Other </w:t>
            </w:r>
            <w:r>
              <w:rPr>
                <w:rFonts w:ascii="Times New Roman;sans-serif" w:hAnsi="Times New Roman;sans-serif"/>
                <w:b w:val="false"/>
                <w:i/>
                <w:color w:val="000000"/>
                <w:sz w:val="12"/>
              </w:rPr>
              <w:t>(a)</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Adjusted EBITDA </w:t>
            </w:r>
            <w:r>
              <w:rPr>
                <w:rFonts w:ascii="Times New Roman;sans-serif" w:hAnsi="Times New Roman;sans-serif"/>
                <w:b/>
                <w:i/>
                <w:color w:val="000000"/>
                <w:sz w:val="12"/>
              </w:rPr>
              <w:t>(b)</w:t>
            </w:r>
            <w:r>
              <w:rPr>
                <w:rFonts w:ascii="Times New Roman;sans-serif" w:hAnsi="Times New Roman;sans-serif"/>
                <w:b/>
                <w:color w:val="000000"/>
                <w:sz w:val="18"/>
              </w:rPr>
              <w:t>:</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 Vegas</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Managed and Branded</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Corporate and Other </w:t>
            </w:r>
            <w:r>
              <w:rPr>
                <w:rFonts w:ascii="Times New Roman;sans-serif" w:hAnsi="Times New Roman;sans-serif"/>
                <w:b w:val="false"/>
                <w:i/>
                <w:color w:val="000000"/>
                <w:sz w:val="12"/>
              </w:rPr>
              <w:t>(a)</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margin</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Corporate and Other includes revenues related to certain licensing arrangements and various revenue sharing agreements and includes eliminations of transactions among segments to reconcile to the Company’s consolidated results. Corporate and Other Adjusted EBITDA includes corporate overhead costs, which consist of certain expenses, such as: payroll, professional fees and other general and administrative expenses.</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(b)</w:t>
      </w:r>
      <w:r>
        <w:rPr>
          <w:rFonts w:ascii="Times New Roman;sans-serif" w:hAnsi="Times New Roman;sans-serif"/>
          <w:b w:val="false"/>
          <w:i/>
          <w:color w:val="000000"/>
          <w:sz w:val="16"/>
        </w:rPr>
        <w:t>See the “Supplemental Unaudited Presentation of Consolidated Adjusted Earnings Before Interest, Taxes, Depreciation and Amortization (“Adjusted EBITDA”) for the three and six months ended June 30, 2024 and 2023” discussion later in this MD&amp;A for a definition of Adjusted EBITDA and a reconciliation of net income (loss) to Adjusted EBITDA.</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Consolidated comparison of the three and six months ended June 30, 2024 and 2023</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Net Revenues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revenues were as follows:</w:t>
      </w:r>
    </w:p>
    <w:tbl>
      <w:tblPr>
        <w:tblW w:w="10205" w:type="dxa"/>
        <w:jc w:val="left"/>
        <w:tblInd w:w="0" w:type="dxa"/>
        <w:tblLayout w:type="fixed"/>
        <w:tblCellMar>
          <w:top w:w="28" w:type="dxa"/>
          <w:left w:w="28" w:type="dxa"/>
          <w:bottom w:w="28" w:type="dxa"/>
          <w:right w:w="28" w:type="dxa"/>
        </w:tblCellMar>
      </w:tblPr>
      <w:tblGrid>
        <w:gridCol w:w="361"/>
        <w:gridCol w:w="276"/>
        <w:gridCol w:w="277"/>
        <w:gridCol w:w="203"/>
        <w:gridCol w:w="578"/>
        <w:gridCol w:w="113"/>
        <w:gridCol w:w="113"/>
        <w:gridCol w:w="113"/>
        <w:gridCol w:w="113"/>
        <w:gridCol w:w="203"/>
        <w:gridCol w:w="578"/>
        <w:gridCol w:w="113"/>
        <w:gridCol w:w="109"/>
        <w:gridCol w:w="109"/>
        <w:gridCol w:w="109"/>
        <w:gridCol w:w="239"/>
        <w:gridCol w:w="423"/>
        <w:gridCol w:w="134"/>
        <w:gridCol w:w="109"/>
        <w:gridCol w:w="109"/>
        <w:gridCol w:w="109"/>
        <w:gridCol w:w="256"/>
        <w:gridCol w:w="191"/>
        <w:gridCol w:w="452"/>
        <w:gridCol w:w="109"/>
        <w:gridCol w:w="109"/>
        <w:gridCol w:w="109"/>
        <w:gridCol w:w="199"/>
        <w:gridCol w:w="566"/>
        <w:gridCol w:w="110"/>
        <w:gridCol w:w="110"/>
        <w:gridCol w:w="110"/>
        <w:gridCol w:w="110"/>
        <w:gridCol w:w="199"/>
        <w:gridCol w:w="566"/>
        <w:gridCol w:w="110"/>
        <w:gridCol w:w="109"/>
        <w:gridCol w:w="109"/>
        <w:gridCol w:w="109"/>
        <w:gridCol w:w="196"/>
        <w:gridCol w:w="492"/>
        <w:gridCol w:w="109"/>
        <w:gridCol w:w="109"/>
        <w:gridCol w:w="109"/>
        <w:gridCol w:w="109"/>
        <w:gridCol w:w="244"/>
        <w:gridCol w:w="184"/>
        <w:gridCol w:w="529"/>
      </w:tblGrid>
      <w:tr>
        <w:trPr/>
        <w:tc>
          <w:tcPr>
            <w:tcW w:w="3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as compared to the same prior year period, consolidated net revenues decreased primarily due to continued headwinds in our Regional segment as a result of increased competition in certain markets and construction disruption from renovation projects at certain of our properties. The Las Vegas segment continues to generate high hotel occupancy, improved room rates and improved table games hold in the second quarter of 2024. Caesars Digital continues to generate strong revenue growth driven by improved sports betting hold and increases in both iGaming handle and iGaming hold.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04165"/>
                <wp:effectExtent l="0" t="0" r="0" b="0"/>
                <wp:wrapNone/>
                <wp:docPr id="32" name="Frame3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net revenues decreased for the six months ended June 30, 2024, as compared to the same prior year period, due to a decline in casino revenues in our Las Vegas segment primarily driven by the decrease in gaming volume associated with the divestiture of Rio at the end of the third quarter of 2023. The Regional segment was negatively impacted by inclement weather in several of our property locations during the first quarter of 2024, the continued impact of competition associated with new casino resorts opening in some of our regional markets, and construction disruption from renovation projects at certain of our properties during the first half of 2024. These results were partially offset by net revenues generated from the opening of our temporary gaming facilities at Caesars Virginia and Harrah’s Columbus Nebraska during the second quarter of 2023, followed by the permanent facility of Harrah’s Columbus Nebraska in May 2024. Furthermore, Caesars Digital delivered strong revenue growth driven by higher hold in sports betting and a significant increase in iGaming volumes coupled with improved hold.</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were as follows:</w:t>
      </w:r>
    </w:p>
    <w:tbl>
      <w:tblPr>
        <w:tblW w:w="10217" w:type="dxa"/>
        <w:jc w:val="left"/>
        <w:tblInd w:w="0" w:type="dxa"/>
        <w:tblLayout w:type="fixed"/>
        <w:tblCellMar>
          <w:top w:w="28" w:type="dxa"/>
          <w:left w:w="28" w:type="dxa"/>
          <w:bottom w:w="28" w:type="dxa"/>
          <w:right w:w="28" w:type="dxa"/>
        </w:tblCellMar>
      </w:tblPr>
      <w:tblGrid>
        <w:gridCol w:w="553"/>
        <w:gridCol w:w="337"/>
        <w:gridCol w:w="221"/>
        <w:gridCol w:w="196"/>
        <w:gridCol w:w="556"/>
        <w:gridCol w:w="109"/>
        <w:gridCol w:w="109"/>
        <w:gridCol w:w="109"/>
        <w:gridCol w:w="109"/>
        <w:gridCol w:w="196"/>
        <w:gridCol w:w="556"/>
        <w:gridCol w:w="109"/>
        <w:gridCol w:w="109"/>
        <w:gridCol w:w="109"/>
        <w:gridCol w:w="109"/>
        <w:gridCol w:w="219"/>
        <w:gridCol w:w="454"/>
        <w:gridCol w:w="123"/>
        <w:gridCol w:w="109"/>
        <w:gridCol w:w="109"/>
        <w:gridCol w:w="109"/>
        <w:gridCol w:w="303"/>
        <w:gridCol w:w="178"/>
        <w:gridCol w:w="382"/>
        <w:gridCol w:w="109"/>
        <w:gridCol w:w="109"/>
        <w:gridCol w:w="109"/>
        <w:gridCol w:w="196"/>
        <w:gridCol w:w="556"/>
        <w:gridCol w:w="109"/>
        <w:gridCol w:w="109"/>
        <w:gridCol w:w="109"/>
        <w:gridCol w:w="109"/>
        <w:gridCol w:w="196"/>
        <w:gridCol w:w="556"/>
        <w:gridCol w:w="109"/>
        <w:gridCol w:w="109"/>
        <w:gridCol w:w="109"/>
        <w:gridCol w:w="109"/>
        <w:gridCol w:w="245"/>
        <w:gridCol w:w="414"/>
        <w:gridCol w:w="137"/>
        <w:gridCol w:w="109"/>
        <w:gridCol w:w="109"/>
        <w:gridCol w:w="109"/>
        <w:gridCol w:w="285"/>
        <w:gridCol w:w="196"/>
        <w:gridCol w:w="437"/>
      </w:tblGrid>
      <w:tr>
        <w:trPr/>
        <w:tc>
          <w:tcPr>
            <w:tcW w:w="55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and other costs,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color w:val="000000"/>
          <w:sz w:val="16"/>
        </w:rPr>
        <w:t>*    </w:t>
      </w:r>
      <w:r>
        <w:rPr>
          <w:rFonts w:ascii="Times New Roman;sans-serif" w:hAnsi="Times New Roman;sans-serif"/>
          <w:b w:val="false"/>
          <w:i/>
          <w:color w:val="000000"/>
          <w:sz w:val="16"/>
        </w:rPr>
        <w:t>Not meaningful.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Casino expenses consist principally of salaries and wages associated with our gaming operations, gaming taxes and marketing and advertising costs attributable to our Caesars Digital segment. Food and beverage expenses consist principally of salaries and wages and costs of goods sold associated with our food and beverage operations. Hotel expenses consist principally of salaries, wages and supplies associated with our hotel operations. Other expenses consist principally of salaries and wages, costs of goods sold associated with our retail operations, entertainment costs, including professional talent fees, and other operations.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Casino expenses increased for the six months ended June 30, 2024, as compared to the same prior year period, in connection with higher gaming taxes and software costs associated with increased revenues in our Caesars Digital segment, offset in part by lower gaming revenues in our Regional segment. We continue to strategically manage our marketing and advertising spend to reduce our casino expenses related to our Caesars Digital segment. Food and beverage expenses have increased mainly due to higher union and non-union wages in addition to increased employee head count in our Las Vegas segment associated with new food and beverage offerings. We continue to focus on labor efficiencies to manage increased labor costs.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include items such as information technology, facility maintenance, utilities, property and liability insurance, expenses for administrative departments such as accounting, compliance, purchasing, human resources, legal, internal audit, property taxes and marketing expenses indirectly related to our gaming and non-gaming operations. General and administrative expenses decreased for the three and six months ended June 30, 2024, as compared to the same prior year periods, due to lower general advertising expenses and reduced rent expense related to the Rio which was divested at the end of the third quarter of 2023.</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Corporate expenses include unallocated expenses such as payroll, inclusive of the annual bonus, stock-based compensation, professional fees, and other various expenses not directly related to the Company’s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Impairment charges were recorded within our Regional segment in June 2024 as a result of a decrease in projected future cash flows at certain properties primarily due to localized competition.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 increased for the three and six months ended June 30, 2024 as compared to the same prior year period primarily related to recently completed construction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04165"/>
                <wp:effectExtent l="0" t="0" r="0" b="0"/>
                <wp:wrapNone/>
                <wp:docPr id="33" name="Frame3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and other costs, net for the three and six months ended June 30, 2024 primarily includes non-cash losses on the write down and disposal of assets and non-cash changes in equity method investments. Transaction and other costs, net for the three and six months ended June 30, 2023 primarily includes pre-opening costs in connection with new property openings, professional services for integration activities and non-cash changes in equity method investments.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income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(expenses) were as follows:</w:t>
      </w:r>
    </w:p>
    <w:tbl>
      <w:tblPr>
        <w:tblW w:w="10205" w:type="dxa"/>
        <w:jc w:val="left"/>
        <w:tblInd w:w="0" w:type="dxa"/>
        <w:tblLayout w:type="fixed"/>
        <w:tblCellMar>
          <w:top w:w="28" w:type="dxa"/>
          <w:left w:w="28" w:type="dxa"/>
          <w:bottom w:w="28" w:type="dxa"/>
          <w:right w:w="28" w:type="dxa"/>
        </w:tblCellMar>
      </w:tblPr>
      <w:tblGrid>
        <w:gridCol w:w="590"/>
        <w:gridCol w:w="444"/>
        <w:gridCol w:w="262"/>
        <w:gridCol w:w="199"/>
        <w:gridCol w:w="448"/>
        <w:gridCol w:w="110"/>
        <w:gridCol w:w="110"/>
        <w:gridCol w:w="110"/>
        <w:gridCol w:w="110"/>
        <w:gridCol w:w="199"/>
        <w:gridCol w:w="448"/>
        <w:gridCol w:w="110"/>
        <w:gridCol w:w="109"/>
        <w:gridCol w:w="109"/>
        <w:gridCol w:w="109"/>
        <w:gridCol w:w="278"/>
        <w:gridCol w:w="363"/>
        <w:gridCol w:w="155"/>
        <w:gridCol w:w="109"/>
        <w:gridCol w:w="109"/>
        <w:gridCol w:w="109"/>
        <w:gridCol w:w="233"/>
        <w:gridCol w:w="171"/>
        <w:gridCol w:w="403"/>
        <w:gridCol w:w="109"/>
        <w:gridCol w:w="109"/>
        <w:gridCol w:w="109"/>
        <w:gridCol w:w="196"/>
        <w:gridCol w:w="575"/>
        <w:gridCol w:w="109"/>
        <w:gridCol w:w="109"/>
        <w:gridCol w:w="109"/>
        <w:gridCol w:w="109"/>
        <w:gridCol w:w="196"/>
        <w:gridCol w:w="575"/>
        <w:gridCol w:w="109"/>
        <w:gridCol w:w="109"/>
        <w:gridCol w:w="109"/>
        <w:gridCol w:w="109"/>
        <w:gridCol w:w="278"/>
        <w:gridCol w:w="363"/>
        <w:gridCol w:w="155"/>
        <w:gridCol w:w="109"/>
        <w:gridCol w:w="109"/>
        <w:gridCol w:w="109"/>
        <w:gridCol w:w="285"/>
        <w:gridCol w:w="187"/>
        <w:gridCol w:w="472"/>
      </w:tblGrid>
      <w:tr>
        <w:trPr/>
        <w:tc>
          <w:tcPr>
            <w:tcW w:w="59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(loss)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color w:val="000000"/>
          <w:sz w:val="16"/>
        </w:rPr>
        <w:t>*    </w:t>
      </w:r>
      <w:r>
        <w:rPr>
          <w:rFonts w:ascii="Times New Roman;sans-serif" w:hAnsi="Times New Roman;sans-serif"/>
          <w:b w:val="false"/>
          <w:i/>
          <w:color w:val="000000"/>
          <w:sz w:val="16"/>
        </w:rPr>
        <w:t>Not meaningful.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increased for the three and six months ended June 30, 2024, as compared to the same prior year period primarily due to the annual rent escalator associated with our VICI Leases. Interest expense associated with our debt instruments is also slightly higher due to our debt mix, partially offset by our continuing efforts to reduce outstanding debt. An increase in capitalized interest resulting from ongoing construction projects, including our new developments, has also offset the increase in total interest expense.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loss on extinguishment of debt was primarily related to the prepayments of the CEI Senior Secured Notes due 2025 and the Caesars Resort Collection (“CRC”) Senior Secured Notes and the partial prepayment of the CEI Term Loan B. For the six months ended June 30, 2023, loss on extinguishment of debt was primarily related to the prepayments of the CRC Term Loan and the CRC Incremental Term Loan.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(loss) for the six months ended June 30, 2024 primarily represents a change in estimate of our disputed claims liability.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for the three and six months ended June 30, 2024 differed from the expected income tax benefit based on the federal tax rate of 21% primarily due to an increase in federal and state valuation allowances against the deferred tax assets for excess business interest expense.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benefit for the three and six months ended June 30, 2023 differed from the expected income tax benefit based on the federal tax rate of 21% primarily due to the partial release of federal and state valuation allowances.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04165"/>
                <wp:effectExtent l="0" t="0" r="0" b="0"/>
                <wp:wrapNone/>
                <wp:docPr id="34" name="Frame3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Segment comparison of the three and six months ended June 30, 2024 and 2023</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Las Vegas Segment</w:t>
      </w:r>
    </w:p>
    <w:tbl>
      <w:tblPr>
        <w:tblW w:w="10595" w:type="dxa"/>
        <w:jc w:val="left"/>
        <w:tblInd w:w="0" w:type="dxa"/>
        <w:tblLayout w:type="fixed"/>
        <w:tblCellMar>
          <w:top w:w="28" w:type="dxa"/>
          <w:left w:w="28" w:type="dxa"/>
          <w:bottom w:w="28" w:type="dxa"/>
          <w:right w:w="28" w:type="dxa"/>
        </w:tblCellMar>
      </w:tblPr>
      <w:tblGrid>
        <w:gridCol w:w="460"/>
        <w:gridCol w:w="220"/>
        <w:gridCol w:w="221"/>
        <w:gridCol w:w="196"/>
        <w:gridCol w:w="556"/>
        <w:gridCol w:w="256"/>
        <w:gridCol w:w="109"/>
        <w:gridCol w:w="109"/>
        <w:gridCol w:w="109"/>
        <w:gridCol w:w="196"/>
        <w:gridCol w:w="556"/>
        <w:gridCol w:w="256"/>
        <w:gridCol w:w="109"/>
        <w:gridCol w:w="109"/>
        <w:gridCol w:w="109"/>
        <w:gridCol w:w="196"/>
        <w:gridCol w:w="491"/>
        <w:gridCol w:w="109"/>
        <w:gridCol w:w="109"/>
        <w:gridCol w:w="109"/>
        <w:gridCol w:w="109"/>
        <w:gridCol w:w="303"/>
        <w:gridCol w:w="178"/>
        <w:gridCol w:w="382"/>
        <w:gridCol w:w="109"/>
        <w:gridCol w:w="109"/>
        <w:gridCol w:w="109"/>
        <w:gridCol w:w="196"/>
        <w:gridCol w:w="556"/>
        <w:gridCol w:w="256"/>
        <w:gridCol w:w="109"/>
        <w:gridCol w:w="109"/>
        <w:gridCol w:w="109"/>
        <w:gridCol w:w="196"/>
        <w:gridCol w:w="556"/>
        <w:gridCol w:w="256"/>
        <w:gridCol w:w="109"/>
        <w:gridCol w:w="109"/>
        <w:gridCol w:w="109"/>
        <w:gridCol w:w="196"/>
        <w:gridCol w:w="491"/>
        <w:gridCol w:w="109"/>
        <w:gridCol w:w="109"/>
        <w:gridCol w:w="109"/>
        <w:gridCol w:w="109"/>
        <w:gridCol w:w="285"/>
        <w:gridCol w:w="196"/>
        <w:gridCol w:w="437"/>
      </w:tblGrid>
      <w:tr>
        <w:trPr/>
        <w:tc>
          <w:tcPr>
            <w:tcW w:w="4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revenues:</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drop </w:t>
            </w:r>
            <w:r>
              <w:rPr>
                <w:rFonts w:ascii="Times New Roman;sans-serif" w:hAnsi="Times New Roman;sans-serif"/>
                <w:b w:val="false"/>
                <w:i/>
                <w:color w:val="000000"/>
                <w:sz w:val="12"/>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hold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pts</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handle </w:t>
            </w:r>
            <w:r>
              <w:rPr>
                <w:rFonts w:ascii="Times New Roman;sans-serif" w:hAnsi="Times New Roman;sans-serif"/>
                <w:b w:val="false"/>
                <w:i/>
                <w:color w:val="000000"/>
                <w:sz w:val="12"/>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 occupancy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pts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pts</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Caesars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Prior year gaming volumes include Rio’s table games drop of $23 million and $50 million for the three and six months ended June 30, 2023, respectively, and slot handle of $111 million and $244 million for the three and six months ended June 30, 2023, respectively.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as compared to the same prior year period, our Las Vegas segment’s net income, Adjusted EBITDA and Adjusted EBITDA margin increased slightly as a result of improved hotel occupancy and higher room rates and table games hold. Increased labor costs and the divestiture of Rio at the end of the third quarter of 2023 partially offset these increases and contributed to lower gaming volumes and casino revenue. However, a decrease in rent associated with Rio provided a benefit to net income, Adjusted EBITDA and Adjusted EBITDA margin. New food and beverage offerings also contributed to improved net revenue and Adjusted EBITDA.</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Las Vegas segment’s net revenues, net income, Adjusted EBITDA and Adjusted EBITDA margin decreased for the six months ended June 30, 2024, as compared to the same prior year period. Net revenues were negatively impacted by lower casino volumes associated with the divestiture of Rio. The Las Vegas segment was also negatively impacted by higher operating costs associated with (a) higher union and non-union wages, (b) increased employee head count associated with new food and beverage offerings and (c) increased promotional costs associated with special events held over the Super Bowl weekend.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slot win percentage in the Las Vegas segment was within our typical range.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04165"/>
                <wp:effectExtent l="0" t="0" r="0" b="0"/>
                <wp:wrapNone/>
                <wp:docPr id="35" name="Frame3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Regional Segment</w:t>
      </w:r>
    </w:p>
    <w:tbl>
      <w:tblPr>
        <w:tblW w:w="10670" w:type="dxa"/>
        <w:jc w:val="left"/>
        <w:tblInd w:w="0" w:type="dxa"/>
        <w:tblLayout w:type="fixed"/>
        <w:tblCellMar>
          <w:top w:w="28" w:type="dxa"/>
          <w:left w:w="28" w:type="dxa"/>
          <w:bottom w:w="28" w:type="dxa"/>
          <w:right w:w="28" w:type="dxa"/>
        </w:tblCellMar>
      </w:tblPr>
      <w:tblGrid>
        <w:gridCol w:w="355"/>
        <w:gridCol w:w="220"/>
        <w:gridCol w:w="221"/>
        <w:gridCol w:w="196"/>
        <w:gridCol w:w="646"/>
        <w:gridCol w:w="256"/>
        <w:gridCol w:w="109"/>
        <w:gridCol w:w="109"/>
        <w:gridCol w:w="109"/>
        <w:gridCol w:w="196"/>
        <w:gridCol w:w="646"/>
        <w:gridCol w:w="256"/>
        <w:gridCol w:w="109"/>
        <w:gridCol w:w="109"/>
        <w:gridCol w:w="109"/>
        <w:gridCol w:w="196"/>
        <w:gridCol w:w="491"/>
        <w:gridCol w:w="109"/>
        <w:gridCol w:w="109"/>
        <w:gridCol w:w="109"/>
        <w:gridCol w:w="109"/>
        <w:gridCol w:w="229"/>
        <w:gridCol w:w="162"/>
        <w:gridCol w:w="382"/>
        <w:gridCol w:w="109"/>
        <w:gridCol w:w="109"/>
        <w:gridCol w:w="109"/>
        <w:gridCol w:w="196"/>
        <w:gridCol w:w="646"/>
        <w:gridCol w:w="256"/>
        <w:gridCol w:w="109"/>
        <w:gridCol w:w="109"/>
        <w:gridCol w:w="109"/>
        <w:gridCol w:w="196"/>
        <w:gridCol w:w="646"/>
        <w:gridCol w:w="256"/>
        <w:gridCol w:w="109"/>
        <w:gridCol w:w="109"/>
        <w:gridCol w:w="109"/>
        <w:gridCol w:w="196"/>
        <w:gridCol w:w="491"/>
        <w:gridCol w:w="109"/>
        <w:gridCol w:w="109"/>
        <w:gridCol w:w="109"/>
        <w:gridCol w:w="109"/>
        <w:gridCol w:w="234"/>
        <w:gridCol w:w="157"/>
        <w:gridCol w:w="437"/>
      </w:tblGrid>
      <w:tr>
        <w:trPr/>
        <w:tc>
          <w:tcPr>
            <w:tcW w:w="35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revenues: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drop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hold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pts</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handle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pts</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Caesars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color w:val="000000"/>
          <w:sz w:val="16"/>
        </w:rPr>
        <w:t>*    </w:t>
      </w:r>
      <w:r>
        <w:rPr>
          <w:rFonts w:ascii="Times New Roman;sans-serif" w:hAnsi="Times New Roman;sans-serif"/>
          <w:b w:val="false"/>
          <w:i/>
          <w:color w:val="000000"/>
          <w:sz w:val="16"/>
        </w:rPr>
        <w:t>Not meaningful.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Regional segment’s net revenues decreased for the three and six months ended June 30, 2024, as compared to the same prior year period, primarily due to inclement weather in several of our regional property locations that negatively impacted visitor volume in the first quarter of 2024. Additionally, the continued impact of competition associated with new casino resorts opening in some of our regional markets and ongoing construction disruption from renovation projects at certain of our properties within the segment contributed to the decline in net revenues. The Regional segment has also experienced declines in gaming volume resulting from a shift in customer mix as our higher rated play has remained steady with some growth, partially offset by a reduction in unrated play. Moreover, Regional hotel revenues benefited from a national tournament that drove visitation to the northern Nevada region in the second quarter of 2023. The impact of these unfavorable factors were partially offset by the incremental revenues attributable to our temporary gaming facilities at Caesars Virginia and Harrah’s Columbus Nebraska that opened during the second quarter in 2023. The permanent facility of Harrah’s Columbus Nebraska opened in May 2024 following the closure of the temporary facility in March 2024.</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continued headwinds in the Regional segment impacting certain of our properties, we recorded impairments totaling $118 million during the six months ended June 30, 2024.</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Slot win percentage in the Regional segment for the three and six months ended June 30, 2024 was within our typical range.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04165"/>
                <wp:effectExtent l="0" t="0" r="0" b="0"/>
                <wp:wrapNone/>
                <wp:docPr id="36" name="Frame3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Caesars Digital Segment</w:t>
      </w:r>
    </w:p>
    <w:tbl>
      <w:tblPr>
        <w:tblW w:w="10525" w:type="dxa"/>
        <w:jc w:val="left"/>
        <w:tblInd w:w="0" w:type="dxa"/>
        <w:tblLayout w:type="fixed"/>
        <w:tblCellMar>
          <w:top w:w="28" w:type="dxa"/>
          <w:left w:w="28" w:type="dxa"/>
          <w:bottom w:w="28" w:type="dxa"/>
          <w:right w:w="28" w:type="dxa"/>
        </w:tblCellMar>
      </w:tblPr>
      <w:tblGrid>
        <w:gridCol w:w="355"/>
        <w:gridCol w:w="220"/>
        <w:gridCol w:w="221"/>
        <w:gridCol w:w="196"/>
        <w:gridCol w:w="556"/>
        <w:gridCol w:w="256"/>
        <w:gridCol w:w="109"/>
        <w:gridCol w:w="109"/>
        <w:gridCol w:w="109"/>
        <w:gridCol w:w="196"/>
        <w:gridCol w:w="556"/>
        <w:gridCol w:w="256"/>
        <w:gridCol w:w="109"/>
        <w:gridCol w:w="109"/>
        <w:gridCol w:w="109"/>
        <w:gridCol w:w="214"/>
        <w:gridCol w:w="461"/>
        <w:gridCol w:w="121"/>
        <w:gridCol w:w="109"/>
        <w:gridCol w:w="109"/>
        <w:gridCol w:w="109"/>
        <w:gridCol w:w="303"/>
        <w:gridCol w:w="163"/>
        <w:gridCol w:w="382"/>
        <w:gridCol w:w="109"/>
        <w:gridCol w:w="109"/>
        <w:gridCol w:w="109"/>
        <w:gridCol w:w="196"/>
        <w:gridCol w:w="556"/>
        <w:gridCol w:w="256"/>
        <w:gridCol w:w="109"/>
        <w:gridCol w:w="109"/>
        <w:gridCol w:w="109"/>
        <w:gridCol w:w="196"/>
        <w:gridCol w:w="556"/>
        <w:gridCol w:w="256"/>
        <w:gridCol w:w="109"/>
        <w:gridCol w:w="109"/>
        <w:gridCol w:w="109"/>
        <w:gridCol w:w="196"/>
        <w:gridCol w:w="556"/>
        <w:gridCol w:w="109"/>
        <w:gridCol w:w="109"/>
        <w:gridCol w:w="109"/>
        <w:gridCol w:w="109"/>
        <w:gridCol w:w="285"/>
        <w:gridCol w:w="181"/>
        <w:gridCol w:w="437"/>
      </w:tblGrid>
      <w:tr>
        <w:trPr/>
        <w:tc>
          <w:tcPr>
            <w:tcW w:w="35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revenues:</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Casino </w:t>
            </w:r>
            <w:r>
              <w:rPr>
                <w:rFonts w:ascii="Times New Roman;sans-serif" w:hAnsi="Times New Roman;sans-serif"/>
                <w:b w:val="false"/>
                <w:i/>
                <w:color w:val="000000"/>
                <w:sz w:val="12"/>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Sports betting handle</w:t>
            </w:r>
            <w:r>
              <w:rPr>
                <w:color w:val="000000"/>
              </w:rPr>
              <w:t xml:space="preserve"> </w:t>
            </w:r>
            <w:r>
              <w:rPr>
                <w:rFonts w:ascii="Times New Roman;sans-serif" w:hAnsi="Times New Roman;sans-serif"/>
                <w:b w:val="false"/>
                <w:i/>
                <w:color w:val="000000"/>
                <w:sz w:val="12"/>
              </w:rPr>
              <w:t>(b)</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Sports betting hold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pts</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iGaming handle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iGaming hold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pts</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pts</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Caesars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color w:val="000000"/>
          <w:sz w:val="16"/>
        </w:rPr>
        <w:t>*    </w:t>
      </w:r>
      <w:r>
        <w:rPr>
          <w:rFonts w:ascii="Times New Roman;sans-serif" w:hAnsi="Times New Roman;sans-serif"/>
          <w:b w:val="false"/>
          <w:i/>
          <w:color w:val="000000"/>
          <w:sz w:val="16"/>
        </w:rPr>
        <w:t>Not meaningful.</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Includes total promotional and complimentary incentives related to sports betting, iGaming, and poker of $62 million and $55 million for the three months ended June 30, 2024 and 2023, respectively, and $148 million and $132 million for the six months ended June 30, 2024 and 2023, respectively. Promotional and complimentary incentives for poker were $3 million for both the three months ended June 30, 2024 and 2023 and $6 million and $7 million for the six months ended June 30, 2024 and 2023, respectively.</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(b)</w:t>
      </w:r>
      <w:r>
        <w:rPr>
          <w:rFonts w:ascii="Times New Roman;sans-serif" w:hAnsi="Times New Roman;sans-serif"/>
          <w:b w:val="false"/>
          <w:i/>
          <w:color w:val="000000"/>
          <w:sz w:val="16"/>
        </w:rPr>
        <w:t>Caesars Digital generated an additional $199 million and $212 million of sports betting handle for the three months ended June 30, 2024 and 2023, respectively, and $478 million and $540 million for the six months ended June 30, 2024 and 2023, respectively, which is not included in this table, for select wholly-owned and third-party operations for which Caesars Digital provides services and we receive all, or a share of, the net profits. Hold related to these operations was 9.4% and 10.9%, for the three months ended June 30, 2024 and 2023, respectively, and 9.6% and 10.6% for the six months ended June 30, 2024 and 2023, respectively. Sports betting handle includes $11 million and $12 million for the three months ended June 30, 2024 and 2023, respectively, and $22 million and $24 million for the six months ended June 30, 2024 and 2023, respectively, related to horse racing and pari-mutuel wagers.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Caesars Digital reflects the operations for retail and online sports betting, iGaming, poker, and horse racing, which includes our Caesars Sportsbook, Caesars Racebook and iGaming mobile apps.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Caesars Digital’s net revenues, net income (loss), Adjusted EBITDA, and Adjusted EBITDA margin improved significantly for the three and six months ended June 30, 2024, as compared to the same prior year period, primarily due to higher iGaming handle and iGaming hold coupled with improved sports betting hold. Sports betting hold improved for the three and six months ended June 30, 2024 compared to prior year, reflecting the benefit of continued investment in our sports betting platform.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sports betting and online casinos expand through increased state or jurisdictional legalization, new product launches, and customer adoption, variations in hold percentages and increases in promotional and marketing expenses in highly competitive markets during promotional periods may negatively impact Caesars Digital’s net revenues, net income, Adjusted EBITDA and Adjusted EBITDA margin in comparison to current or prior periods.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Sports betting and iGaming hold percentages in the Caesars Digital segment for the three and six months ended June 30, 2024 were within our typical range.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04165"/>
                <wp:effectExtent l="0" t="0" r="0" b="0"/>
                <wp:wrapNone/>
                <wp:docPr id="37" name="Frame3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Managed and Branded Segment</w:t>
      </w:r>
    </w:p>
    <w:tbl>
      <w:tblPr>
        <w:tblW w:w="10205" w:type="dxa"/>
        <w:jc w:val="left"/>
        <w:tblInd w:w="0" w:type="dxa"/>
        <w:tblLayout w:type="fixed"/>
        <w:tblCellMar>
          <w:top w:w="28" w:type="dxa"/>
          <w:left w:w="28" w:type="dxa"/>
          <w:bottom w:w="28" w:type="dxa"/>
          <w:right w:w="28" w:type="dxa"/>
        </w:tblCellMar>
      </w:tblPr>
      <w:tblGrid>
        <w:gridCol w:w="517"/>
        <w:gridCol w:w="293"/>
        <w:gridCol w:w="295"/>
        <w:gridCol w:w="203"/>
        <w:gridCol w:w="343"/>
        <w:gridCol w:w="265"/>
        <w:gridCol w:w="112"/>
        <w:gridCol w:w="112"/>
        <w:gridCol w:w="112"/>
        <w:gridCol w:w="203"/>
        <w:gridCol w:w="343"/>
        <w:gridCol w:w="265"/>
        <w:gridCol w:w="109"/>
        <w:gridCol w:w="109"/>
        <w:gridCol w:w="109"/>
        <w:gridCol w:w="278"/>
        <w:gridCol w:w="363"/>
        <w:gridCol w:w="155"/>
        <w:gridCol w:w="109"/>
        <w:gridCol w:w="109"/>
        <w:gridCol w:w="109"/>
        <w:gridCol w:w="303"/>
        <w:gridCol w:w="193"/>
        <w:gridCol w:w="423"/>
        <w:gridCol w:w="109"/>
        <w:gridCol w:w="109"/>
        <w:gridCol w:w="109"/>
        <w:gridCol w:w="197"/>
        <w:gridCol w:w="425"/>
        <w:gridCol w:w="258"/>
        <w:gridCol w:w="110"/>
        <w:gridCol w:w="110"/>
        <w:gridCol w:w="110"/>
        <w:gridCol w:w="197"/>
        <w:gridCol w:w="425"/>
        <w:gridCol w:w="258"/>
        <w:gridCol w:w="109"/>
        <w:gridCol w:w="109"/>
        <w:gridCol w:w="109"/>
        <w:gridCol w:w="278"/>
        <w:gridCol w:w="363"/>
        <w:gridCol w:w="155"/>
        <w:gridCol w:w="109"/>
        <w:gridCol w:w="109"/>
        <w:gridCol w:w="109"/>
        <w:gridCol w:w="240"/>
        <w:gridCol w:w="173"/>
        <w:gridCol w:w="493"/>
      </w:tblGrid>
      <w:tr>
        <w:trPr/>
        <w:tc>
          <w:tcPr>
            <w:tcW w:w="51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revenues:</w:t>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pts</w:t>
            </w:r>
          </w:p>
        </w:tc>
      </w:tr>
      <w:tr>
        <w:trPr/>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Caesars</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several properties and license rights to the use of certain of our brands. These revenue agreements typically include reimbursement of certain costs that we incur directly. Such costs are primarily related to payroll costs incurred on behalf of the properties under management. The revenue related to these reimbursable management costs has a direct impact on our evaluation of Adjusted EBITDA margin which, when excluded, reflects margins typically realized from such agreements. The table below presents the amount included in net revenues and total operating expenses related to these reimbursable costs.</w:t>
      </w:r>
    </w:p>
    <w:tbl>
      <w:tblPr>
        <w:tblW w:w="10205" w:type="dxa"/>
        <w:jc w:val="left"/>
        <w:tblInd w:w="0" w:type="dxa"/>
        <w:tblLayout w:type="fixed"/>
        <w:tblCellMar>
          <w:top w:w="28" w:type="dxa"/>
          <w:left w:w="28" w:type="dxa"/>
          <w:bottom w:w="28" w:type="dxa"/>
          <w:right w:w="28" w:type="dxa"/>
        </w:tblCellMar>
      </w:tblPr>
      <w:tblGrid>
        <w:gridCol w:w="642"/>
        <w:gridCol w:w="437"/>
        <w:gridCol w:w="360"/>
        <w:gridCol w:w="219"/>
        <w:gridCol w:w="370"/>
        <w:gridCol w:w="121"/>
        <w:gridCol w:w="121"/>
        <w:gridCol w:w="121"/>
        <w:gridCol w:w="121"/>
        <w:gridCol w:w="219"/>
        <w:gridCol w:w="370"/>
        <w:gridCol w:w="121"/>
        <w:gridCol w:w="109"/>
        <w:gridCol w:w="109"/>
        <w:gridCol w:w="109"/>
        <w:gridCol w:w="219"/>
        <w:gridCol w:w="454"/>
        <w:gridCol w:w="123"/>
        <w:gridCol w:w="109"/>
        <w:gridCol w:w="109"/>
        <w:gridCol w:w="109"/>
        <w:gridCol w:w="257"/>
        <w:gridCol w:w="193"/>
        <w:gridCol w:w="456"/>
        <w:gridCol w:w="109"/>
        <w:gridCol w:w="109"/>
        <w:gridCol w:w="109"/>
        <w:gridCol w:w="207"/>
        <w:gridCol w:w="445"/>
        <w:gridCol w:w="115"/>
        <w:gridCol w:w="115"/>
        <w:gridCol w:w="115"/>
        <w:gridCol w:w="115"/>
        <w:gridCol w:w="207"/>
        <w:gridCol w:w="445"/>
        <w:gridCol w:w="115"/>
        <w:gridCol w:w="109"/>
        <w:gridCol w:w="109"/>
        <w:gridCol w:w="109"/>
        <w:gridCol w:w="219"/>
        <w:gridCol w:w="454"/>
        <w:gridCol w:w="123"/>
        <w:gridCol w:w="109"/>
        <w:gridCol w:w="109"/>
        <w:gridCol w:w="109"/>
        <w:gridCol w:w="257"/>
        <w:gridCol w:w="185"/>
        <w:gridCol w:w="529"/>
      </w:tblGrid>
      <w:tr>
        <w:trPr/>
        <w:tc>
          <w:tcPr>
            <w:tcW w:w="64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Reimbursable management revenue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Reimbursable management cost</w:t>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Corporate &amp; Other</w:t>
      </w:r>
    </w:p>
    <w:tbl>
      <w:tblPr>
        <w:tblW w:w="10205" w:type="dxa"/>
        <w:jc w:val="left"/>
        <w:tblInd w:w="0" w:type="dxa"/>
        <w:tblLayout w:type="fixed"/>
        <w:tblCellMar>
          <w:top w:w="28" w:type="dxa"/>
          <w:left w:w="28" w:type="dxa"/>
          <w:bottom w:w="28" w:type="dxa"/>
          <w:right w:w="28" w:type="dxa"/>
        </w:tblCellMar>
      </w:tblPr>
      <w:tblGrid>
        <w:gridCol w:w="419"/>
        <w:gridCol w:w="306"/>
        <w:gridCol w:w="308"/>
        <w:gridCol w:w="221"/>
        <w:gridCol w:w="417"/>
        <w:gridCol w:w="123"/>
        <w:gridCol w:w="123"/>
        <w:gridCol w:w="123"/>
        <w:gridCol w:w="123"/>
        <w:gridCol w:w="221"/>
        <w:gridCol w:w="417"/>
        <w:gridCol w:w="123"/>
        <w:gridCol w:w="109"/>
        <w:gridCol w:w="109"/>
        <w:gridCol w:w="109"/>
        <w:gridCol w:w="278"/>
        <w:gridCol w:w="363"/>
        <w:gridCol w:w="155"/>
        <w:gridCol w:w="109"/>
        <w:gridCol w:w="109"/>
        <w:gridCol w:w="109"/>
        <w:gridCol w:w="306"/>
        <w:gridCol w:w="283"/>
        <w:gridCol w:w="490"/>
        <w:gridCol w:w="109"/>
        <w:gridCol w:w="109"/>
        <w:gridCol w:w="109"/>
        <w:gridCol w:w="213"/>
        <w:gridCol w:w="402"/>
        <w:gridCol w:w="118"/>
        <w:gridCol w:w="118"/>
        <w:gridCol w:w="118"/>
        <w:gridCol w:w="118"/>
        <w:gridCol w:w="213"/>
        <w:gridCol w:w="402"/>
        <w:gridCol w:w="118"/>
        <w:gridCol w:w="109"/>
        <w:gridCol w:w="109"/>
        <w:gridCol w:w="109"/>
        <w:gridCol w:w="278"/>
        <w:gridCol w:w="363"/>
        <w:gridCol w:w="155"/>
        <w:gridCol w:w="109"/>
        <w:gridCol w:w="109"/>
        <w:gridCol w:w="109"/>
        <w:gridCol w:w="339"/>
        <w:gridCol w:w="250"/>
        <w:gridCol w:w="566"/>
      </w:tblGrid>
      <w:tr>
        <w:trPr/>
        <w:tc>
          <w:tcPr>
            <w:tcW w:w="41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revenues:</w:t>
            </w:r>
          </w:p>
        </w:tc>
        <w:tc>
          <w:tcPr>
            <w:tcW w:w="7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33"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1033"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33"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color w:val="000000"/>
          <w:sz w:val="16"/>
        </w:rPr>
        <w:t>*    </w:t>
      </w:r>
      <w:r>
        <w:rPr>
          <w:rFonts w:ascii="Times New Roman;sans-serif" w:hAnsi="Times New Roman;sans-serif"/>
          <w:b w:val="false"/>
          <w:i/>
          <w:color w:val="000000"/>
          <w:sz w:val="16"/>
        </w:rPr>
        <w:t>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Supplemental Unaudited Presentation of Consolidated Adjusted Earnings Before Interest, Taxes, Depreciation and Amortization (“Adjusted EBITDA”) for the Three and Six Months Ended June 30, 2024 and 2023</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net income (loss) before interest income or interest expense net of interest capitalized, (benefit) provision for income taxes, depreciation and amortization, stock-based compensation expense, (gain) loss on extinguishment of debt, impairment charges, other (income) loss, net income (loss) attributable to noncontrolling interests, transaction costs associated with our acquisitions, developments, and divestitures, and non-cash changes in equity method investments. Adjusted EBITDA also excludes the expense associated with certain of our leases as these transactions were accounted for as financing obligations and the associated expense is included in interest expense. Adjusted EBITDA is not a measure of performance or liquidity calculated in accordance with accounting principles generally accepted in the United States (“GAAP”). Adjusted EBITDA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and payments under our leases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04165"/>
                <wp:effectExtent l="0" t="0" r="0" b="0"/>
                <wp:wrapNone/>
                <wp:docPr id="38" name="Frame3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affiliates of VICI Properties Inc. and GLPI, which can be significant. As a result, Adjusted EBITDA should not be considered as a measure of our liquidity. Other companies that provide EBITDA information may calculate Adjusted EBITDA differently than we do. The definition of Adjusted EBITDA may not be the same as the definitions used in any of our debt agreements.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summarizes our Adjusted EBITDA for the three and six months ended June 30, 2024 and 2023, respectively, in addition to reconciling net income (loss) to Adjusted EBITDA in accordance with GAAP (unaudited):</w:t>
      </w:r>
    </w:p>
    <w:tbl>
      <w:tblPr>
        <w:tblW w:w="8689" w:type="dxa"/>
        <w:jc w:val="left"/>
        <w:tblInd w:w="0" w:type="dxa"/>
        <w:tblLayout w:type="fixed"/>
        <w:tblCellMar>
          <w:top w:w="28" w:type="dxa"/>
          <w:left w:w="28" w:type="dxa"/>
          <w:bottom w:w="28" w:type="dxa"/>
          <w:right w:w="28" w:type="dxa"/>
        </w:tblCellMar>
      </w:tblPr>
      <w:tblGrid>
        <w:gridCol w:w="1321"/>
        <w:gridCol w:w="1160"/>
        <w:gridCol w:w="1164"/>
        <w:gridCol w:w="233"/>
        <w:gridCol w:w="663"/>
        <w:gridCol w:w="130"/>
        <w:gridCol w:w="130"/>
        <w:gridCol w:w="130"/>
        <w:gridCol w:w="130"/>
        <w:gridCol w:w="233"/>
        <w:gridCol w:w="663"/>
        <w:gridCol w:w="130"/>
        <w:gridCol w:w="109"/>
        <w:gridCol w:w="109"/>
        <w:gridCol w:w="109"/>
        <w:gridCol w:w="213"/>
        <w:gridCol w:w="605"/>
        <w:gridCol w:w="118"/>
        <w:gridCol w:w="118"/>
        <w:gridCol w:w="118"/>
        <w:gridCol w:w="118"/>
        <w:gridCol w:w="213"/>
        <w:gridCol w:w="605"/>
        <w:gridCol w:w="167"/>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Caesars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(Benefit) provision for income taxes</w:t>
            </w:r>
            <w:r>
              <w:rPr>
                <w:color w:val="000000"/>
              </w:rPr>
              <w:t xml:space="preserve"> </w:t>
            </w:r>
            <w:r>
              <w:rPr>
                <w:rFonts w:ascii="Times New Roman;sans-serif" w:hAnsi="Times New Roman;sans-serif"/>
                <w:b w:val="false"/>
                <w:i/>
                <w:color w:val="000000"/>
                <w:sz w:val="12"/>
              </w:rPr>
              <w:t>(a)</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 xml:space="preserve">Other (income) loss </w:t>
            </w:r>
            <w:r>
              <w:rPr>
                <w:rFonts w:ascii="Times New Roman;sans-serif" w:hAnsi="Times New Roman;sans-serif"/>
                <w:b w:val="false"/>
                <w:i/>
                <w:color w:val="000000"/>
                <w:sz w:val="12"/>
              </w:rPr>
              <w:t>(b)</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Impairment charges </w:t>
            </w:r>
            <w:r>
              <w:rPr>
                <w:rFonts w:ascii="Times New Roman;sans-serif" w:hAnsi="Times New Roman;sans-serif"/>
                <w:b w:val="false"/>
                <w:i/>
                <w:color w:val="000000"/>
                <w:sz w:val="12"/>
              </w:rPr>
              <w:t>(c)</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Transaction costs and other, net </w:t>
            </w:r>
            <w:r>
              <w:rPr>
                <w:rFonts w:ascii="Times New Roman;sans-serif" w:hAnsi="Times New Roman;sans-serif"/>
                <w:b w:val="false"/>
                <w:i/>
                <w:color w:val="000000"/>
                <w:sz w:val="12"/>
              </w:rPr>
              <w:t>(d)</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Pre-disposition Adjusted EBITDA </w:t>
            </w:r>
            <w:r>
              <w:rPr>
                <w:rFonts w:ascii="Times New Roman;sans-serif" w:hAnsi="Times New Roman;sans-serif"/>
                <w:b w:val="false"/>
                <w:i/>
                <w:color w:val="000000"/>
                <w:sz w:val="12"/>
              </w:rPr>
              <w:t>(e)</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Same-Store Adjusted EBITDA</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212529"/>
          <w:sz w:val="10"/>
        </w:rPr>
        <w:t>(a)</w:t>
      </w:r>
      <w:r>
        <w:rPr>
          <w:rFonts w:ascii="Times New Roman;sans-serif" w:hAnsi="Times New Roman;sans-serif"/>
          <w:b w:val="false"/>
          <w:i/>
          <w:color w:val="000000"/>
          <w:sz w:val="16"/>
        </w:rPr>
        <w:t>Benefit for income taxes during the three and six months ended June 30, 2023 includes the release of $940 million of valuation allowance against deferred tax assets.</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(b)</w:t>
      </w:r>
      <w:r>
        <w:rPr>
          <w:rFonts w:ascii="Times New Roman;sans-serif" w:hAnsi="Times New Roman;sans-serif"/>
          <w:b w:val="false"/>
          <w:i/>
          <w:color w:val="000000"/>
          <w:sz w:val="16"/>
        </w:rPr>
        <w:t xml:space="preserve">Other (income) loss for the six months ended June 30, 2024 primarily represents a change in estimate of our disputed claims liability. </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(c)</w:t>
      </w:r>
      <w:r>
        <w:rPr>
          <w:rFonts w:ascii="Times New Roman;sans-serif" w:hAnsi="Times New Roman;sans-serif"/>
          <w:b w:val="false"/>
          <w:i/>
          <w:color w:val="000000"/>
          <w:sz w:val="16"/>
        </w:rPr>
        <w:t>Impairment charges for the three and six months ended June 30, 2024 includes impairment within our Regional segment as a result of a decrease in projected future cash flows at certain properties primarily due to localized competition.</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(d)</w:t>
      </w:r>
      <w:r>
        <w:rPr>
          <w:rFonts w:ascii="Times New Roman;sans-serif" w:hAnsi="Times New Roman;sans-serif"/>
          <w:b w:val="false"/>
          <w:i/>
          <w:color w:val="000000"/>
          <w:sz w:val="16"/>
        </w:rPr>
        <w:t xml:space="preserve">Transaction costs and other, net primarily includes costs related to non-cash losses on the write down and disposal of assets, professional services for transaction and integration costs, various contract exit or termination costs, pre-opening costs in connection with our temporary facility openings, and non-cash changes in equity method investments. </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(e)</w:t>
      </w:r>
      <w:r>
        <w:rPr>
          <w:rFonts w:ascii="Times New Roman;sans-serif" w:hAnsi="Times New Roman;sans-serif"/>
          <w:b w:val="false"/>
          <w:i/>
          <w:color w:val="000000"/>
          <w:sz w:val="16"/>
        </w:rPr>
        <w:t>Adjustment for pre-disposition results of operations reflecting the subtraction of results of operations for Rio prior to divestiture at the end of the third quarter of 2023. Such figures are based on unaudited internal financial statements and have not been reviewed by the Company’s auditors for the periods presented. The additional financial information is included to enable the comparison of current results with results of prior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holding company, and our only significant assets are ownership interests in our subsidiaries. Our ability to fund our obligations depends on existing cash on hand, cash flows from our subsidiaries and our ability to raise capital. Our primary sources of liquidity and capital resources are existing cash on hand, cash flows from operations, availability of borrowings under our revolving credit facility and proceeds from the issuance of debt and equity securities. Our cash requirements may fluctuate significantly depending on our decisions with respect to business acquisitions or divestitures and strategic capital and marketing investments.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our cash on hand and borrowing capacity was as follows:</w:t>
      </w:r>
    </w:p>
    <w:tbl>
      <w:tblPr>
        <w:tblW w:w="5205" w:type="dxa"/>
        <w:jc w:val="left"/>
        <w:tblInd w:w="0" w:type="dxa"/>
        <w:tblLayout w:type="fixed"/>
        <w:tblCellMar>
          <w:top w:w="28" w:type="dxa"/>
          <w:left w:w="28" w:type="dxa"/>
          <w:bottom w:w="28" w:type="dxa"/>
          <w:right w:w="28" w:type="dxa"/>
        </w:tblCellMar>
      </w:tblPr>
      <w:tblGrid>
        <w:gridCol w:w="1452"/>
        <w:gridCol w:w="1275"/>
        <w:gridCol w:w="1278"/>
        <w:gridCol w:w="259"/>
        <w:gridCol w:w="737"/>
        <w:gridCol w:w="204"/>
      </w:tblGrid>
      <w:tr>
        <w:trPr/>
        <w:tc>
          <w:tcPr>
            <w:tcW w:w="145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Revolver capacity </w:t>
            </w:r>
            <w:r>
              <w:rPr>
                <w:rFonts w:ascii="Times New Roman;sans-serif" w:hAnsi="Times New Roman;sans-serif"/>
                <w:b w:val="false"/>
                <w:i/>
                <w:color w:val="000000"/>
                <w:sz w:val="12"/>
              </w:rPr>
              <w:t>(a)</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Revolver capacity committed to letters of credit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Revolver capacity committed as regulatory requirement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Total </w:t>
            </w:r>
            <w:r>
              <w:rPr>
                <w:rFonts w:ascii="Times New Roman;sans-serif" w:hAnsi="Times New Roman;sans-serif"/>
                <w:b w:val="false"/>
                <w:i/>
                <w:color w:val="000000"/>
                <w:sz w:val="12"/>
              </w:rPr>
              <w:t>(b)</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2,951 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Revolver capacity includes $2.25 billion under the CEI Revolving Credit Facility, maturing in January 2028 (subject to a springing maturity in the event certain other long-term debt of Caesars is not extended or repaid), and $25 million under the CVA Revolving Credit Facility, maturing on April 26, 2029, less $40 million reserved for specific purposes.</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(b)</w:t>
      </w:r>
      <w:r>
        <w:rPr>
          <w:rFonts w:ascii="Times New Roman;sans-serif" w:hAnsi="Times New Roman;sans-serif"/>
          <w:b w:val="false"/>
          <w:i/>
          <w:color w:val="000000"/>
          <w:sz w:val="16"/>
        </w:rPr>
        <w:t>Excludes approximately $280 million of additional borrowing available under the CVA Delayed Draw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04165"/>
                <wp:effectExtent l="0" t="0" r="0" b="0"/>
                <wp:wrapNone/>
                <wp:docPr id="39" name="Frame3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our operating activities generated operating cash inflows of $534 million, as compared to operating cash inflows of $953 million during the six months ended June 30, 2023, primarily due to changes in working capital, coupled with the results of operations described above.</w:t>
      </w:r>
    </w:p>
    <w:p>
      <w:pPr>
        <w:pStyle w:val="TextBody"/>
        <w:bidi w:val="0"/>
        <w:spacing w:lineRule="auto" w:line="288" w:before="180" w:after="283"/>
        <w:jc w:val="both"/>
        <w:rPr/>
      </w:pPr>
      <w:r>
        <w:rPr>
          <w:rFonts w:ascii="Times New Roman;sans-serif" w:hAnsi="Times New Roman;sans-serif"/>
          <w:b w:val="false"/>
          <w:color w:val="000000"/>
          <w:sz w:val="20"/>
        </w:rPr>
        <w:t xml:space="preserve">On February 6, 2024, we entered into an Incremental Assumption Agreement No. 3 pursuant to which we incurred a new senior secured incremental term loan in an aggregate principal amount of </w:t>
      </w:r>
      <w:r>
        <w:rPr>
          <w:rFonts w:ascii="Times New Roman;sans-serif" w:hAnsi="Times New Roman;sans-serif"/>
          <w:b w:val="false"/>
          <w:color w:val="212529"/>
          <w:sz w:val="20"/>
        </w:rPr>
        <w:t>$2.9 billion</w:t>
      </w:r>
      <w:r>
        <w:rPr>
          <w:color w:val="000000"/>
        </w:rPr>
        <w:t xml:space="preserve"> </w:t>
      </w:r>
      <w:r>
        <w:rPr>
          <w:rFonts w:ascii="Times New Roman;sans-serif" w:hAnsi="Times New Roman;sans-serif"/>
          <w:b w:val="false"/>
          <w:color w:val="000000"/>
          <w:sz w:val="20"/>
        </w:rPr>
        <w:t xml:space="preserve">(the “CEI Term Loan B-1”) under the CEI Credit Agreement. The CEI Term Loan B-1 requires quarterly principal payments in amounts equal to </w:t>
      </w:r>
      <w:r>
        <w:rPr>
          <w:rFonts w:ascii="Times New Roman;sans-serif" w:hAnsi="Times New Roman;sans-serif"/>
          <w:b w:val="false"/>
          <w:color w:val="212529"/>
          <w:sz w:val="20"/>
        </w:rPr>
        <w:t>0.25%</w:t>
      </w:r>
      <w:r>
        <w:rPr>
          <w:color w:val="000000"/>
        </w:rPr>
        <w:t xml:space="preserve"> </w:t>
      </w:r>
      <w:r>
        <w:rPr>
          <w:rFonts w:ascii="Times New Roman;sans-serif" w:hAnsi="Times New Roman;sans-serif"/>
          <w:b w:val="false"/>
          <w:color w:val="000000"/>
          <w:sz w:val="20"/>
        </w:rPr>
        <w:t xml:space="preserve">of the original aggregate principal amount of the CEI Term Loan B-1, with the balance payable at maturity. Borrowings under the CEI Term Loan B-1 bear interest, paid at least quarterly, at a rate equal to, at our option, either (a) a forward-looking term rate based on the Secured Overnight Financing Rate (“Term SOFR”), subject to a floor of </w:t>
      </w:r>
      <w:r>
        <w:rPr>
          <w:rFonts w:ascii="Times New Roman;sans-serif" w:hAnsi="Times New Roman;sans-serif"/>
          <w:b w:val="false"/>
          <w:color w:val="212529"/>
          <w:sz w:val="20"/>
        </w:rPr>
        <w:t>0.50%</w:t>
      </w:r>
      <w:r>
        <w:rPr>
          <w:color w:val="000000"/>
        </w:rPr>
        <w:t xml:space="preserve"> </w:t>
      </w:r>
      <w:r>
        <w:rPr>
          <w:rFonts w:ascii="Times New Roman;sans-serif" w:hAnsi="Times New Roman;sans-serif"/>
          <w:b w:val="false"/>
          <w:color w:val="000000"/>
          <w:sz w:val="20"/>
        </w:rPr>
        <w:t xml:space="preserve">or (b) a base rate (the “Base Rate”) determined by reference to the highest of (i) the “Prime Rate” in the United States, (ii) the federal funds rate plus </w:t>
      </w:r>
      <w:r>
        <w:rPr>
          <w:rFonts w:ascii="Times New Roman;sans-serif" w:hAnsi="Times New Roman;sans-serif"/>
          <w:b w:val="false"/>
          <w:color w:val="212529"/>
          <w:sz w:val="20"/>
        </w:rPr>
        <w:t>0.50%</w:t>
      </w:r>
      <w:r>
        <w:rPr>
          <w:color w:val="000000"/>
        </w:rPr>
        <w:t xml:space="preserve"> </w:t>
      </w:r>
      <w:r>
        <w:rPr>
          <w:rFonts w:ascii="Times New Roman;sans-serif" w:hAnsi="Times New Roman;sans-serif"/>
          <w:b w:val="false"/>
          <w:color w:val="000000"/>
          <w:sz w:val="20"/>
        </w:rPr>
        <w:t xml:space="preserve">per annum and (iii) the one-month Term SOFR plus </w:t>
      </w:r>
      <w:r>
        <w:rPr>
          <w:rFonts w:ascii="Times New Roman;sans-serif" w:hAnsi="Times New Roman;sans-serif"/>
          <w:b w:val="false"/>
          <w:color w:val="212529"/>
          <w:sz w:val="20"/>
        </w:rPr>
        <w:t>1.00%</w:t>
      </w:r>
      <w:r>
        <w:rPr>
          <w:color w:val="000000"/>
        </w:rPr>
        <w:t xml:space="preserve"> </w:t>
      </w:r>
      <w:r>
        <w:rPr>
          <w:rFonts w:ascii="Times New Roman;sans-serif" w:hAnsi="Times New Roman;sans-serif"/>
          <w:b w:val="false"/>
          <w:color w:val="000000"/>
          <w:sz w:val="20"/>
        </w:rPr>
        <w:t xml:space="preserve">per annum, in each case, plus an applicable margin. Such applicable margin is 2.75% per annum in the case of any Term SOFR loan and </w:t>
      </w:r>
      <w:r>
        <w:rPr>
          <w:rFonts w:ascii="Times New Roman;sans-serif" w:hAnsi="Times New Roman;sans-serif"/>
          <w:b w:val="false"/>
          <w:color w:val="212529"/>
          <w:sz w:val="20"/>
        </w:rPr>
        <w:t>1.75%</w:t>
      </w:r>
      <w:r>
        <w:rPr>
          <w:color w:val="000000"/>
        </w:rPr>
        <w:t xml:space="preserve"> </w:t>
      </w:r>
      <w:r>
        <w:rPr>
          <w:rFonts w:ascii="Times New Roman;sans-serif" w:hAnsi="Times New Roman;sans-serif"/>
          <w:b w:val="false"/>
          <w:color w:val="000000"/>
          <w:sz w:val="20"/>
        </w:rPr>
        <w:t xml:space="preserve">per annum in the case of any Base Rate loan. The CEI Term Loan B-1 was issued at a price of </w:t>
      </w:r>
      <w:r>
        <w:rPr>
          <w:rFonts w:ascii="Times New Roman;sans-serif" w:hAnsi="Times New Roman;sans-serif"/>
          <w:b w:val="false"/>
          <w:color w:val="212529"/>
          <w:sz w:val="20"/>
        </w:rPr>
        <w:t>99.75%</w:t>
      </w:r>
      <w:r>
        <w:rPr>
          <w:color w:val="000000"/>
        </w:rPr>
        <w:t xml:space="preserve"> </w:t>
      </w:r>
      <w:r>
        <w:rPr>
          <w:rFonts w:ascii="Times New Roman;sans-serif" w:hAnsi="Times New Roman;sans-serif"/>
          <w:b w:val="false"/>
          <w:color w:val="000000"/>
          <w:sz w:val="20"/>
        </w:rPr>
        <w:t xml:space="preserve">of the principal amount and will mature on February 6, 2031.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on February 6, 2024, we issued $1.5 billion in aggregate principal amount of 6.50% senior secured notes due 2032 (the “CEI Senior Secured Notes due 2032”) pursuant to an indenture by and among the Company, the subsidiary guarantors party thereto, U.S. Bank Trust Company, National Association, as trustee, and U.S. Bank National Association, as collateral agent. The CEI Senior Secured Notes due 2032 rank equally with all existing and future first-priority lien obligations of the Company and the subsidiary guarantors. The CEI Senior Secured Notes due 2032 will mature on February 15, 2032, with interest payable semi-annually on February 15 and August 15 of each year, commencing August 15, 2024.</w:t>
      </w:r>
    </w:p>
    <w:p>
      <w:pPr>
        <w:pStyle w:val="TextBody"/>
        <w:bidi w:val="0"/>
        <w:spacing w:lineRule="auto" w:line="288" w:before="180" w:after="283"/>
        <w:jc w:val="both"/>
        <w:rPr/>
      </w:pPr>
      <w:r>
        <w:rPr>
          <w:rFonts w:ascii="Times New Roman;sans-serif" w:hAnsi="Times New Roman;sans-serif"/>
          <w:b w:val="false"/>
          <w:color w:val="212529"/>
          <w:sz w:val="20"/>
        </w:rPr>
        <w:t>The net proceeds from the CEI Term Loan B-1 and the net proceeds from the issuance of the CEI Senior Secured Notes due 2032,</w:t>
      </w:r>
      <w:r>
        <w:rPr>
          <w:color w:val="000000"/>
        </w:rPr>
        <w:t xml:space="preserve"> </w:t>
      </w:r>
      <w:r>
        <w:rPr>
          <w:rFonts w:ascii="Times New Roman;sans-serif" w:hAnsi="Times New Roman;sans-serif"/>
          <w:b w:val="false"/>
          <w:color w:val="000000"/>
          <w:sz w:val="20"/>
        </w:rPr>
        <w:t xml:space="preserve">together with borrowings under the CEI Revolving Credit Facility, were used to tender, redeem, repurchase, defease, and/or satisfy and discharge any and all of the principal amounts, including accrued and unpaid interest, related expenses and fees of both the </w:t>
      </w:r>
      <w:r>
        <w:rPr>
          <w:rFonts w:ascii="Times New Roman;sans-serif" w:hAnsi="Times New Roman;sans-serif"/>
          <w:b w:val="false"/>
          <w:color w:val="212529"/>
          <w:sz w:val="20"/>
        </w:rPr>
        <w:t>5.75%</w:t>
      </w:r>
      <w:r>
        <w:rPr>
          <w:color w:val="000000"/>
        </w:rPr>
        <w:t xml:space="preserve"> </w:t>
      </w:r>
      <w:r>
        <w:rPr>
          <w:rFonts w:ascii="Times New Roman;sans-serif" w:hAnsi="Times New Roman;sans-serif"/>
          <w:b w:val="false"/>
          <w:color w:val="000000"/>
          <w:sz w:val="20"/>
        </w:rPr>
        <w:t xml:space="preserve">Senior Secured Notes due 2025 (the “CRC Senior Secured Notes”) and the </w:t>
      </w:r>
      <w:r>
        <w:rPr>
          <w:rFonts w:ascii="Times New Roman;sans-serif" w:hAnsi="Times New Roman;sans-serif"/>
          <w:b w:val="false"/>
          <w:color w:val="212529"/>
          <w:sz w:val="20"/>
        </w:rPr>
        <w:t>6.25%</w:t>
      </w:r>
      <w:r>
        <w:rPr>
          <w:color w:val="000000"/>
        </w:rPr>
        <w:t xml:space="preserve"> </w:t>
      </w:r>
      <w:r>
        <w:rPr>
          <w:rFonts w:ascii="Times New Roman;sans-serif" w:hAnsi="Times New Roman;sans-serif"/>
          <w:b w:val="false"/>
          <w:color w:val="000000"/>
          <w:sz w:val="20"/>
        </w:rPr>
        <w:t xml:space="preserve">Senior Secured Notes due 2025 (the “CEI Senior Secured Notes due 2025”). As a result of these transactions, we recognized </w:t>
      </w:r>
      <w:r>
        <w:rPr>
          <w:rFonts w:ascii="Times New Roman;sans-serif" w:hAnsi="Times New Roman;sans-serif"/>
          <w:b w:val="false"/>
          <w:color w:val="212529"/>
          <w:sz w:val="20"/>
        </w:rPr>
        <w:t>$48 million</w:t>
      </w:r>
      <w:r>
        <w:rPr>
          <w:color w:val="000000"/>
        </w:rPr>
        <w:t xml:space="preserve"> </w:t>
      </w:r>
      <w:r>
        <w:rPr>
          <w:rFonts w:ascii="Times New Roman;sans-serif" w:hAnsi="Times New Roman;sans-serif"/>
          <w:b w:val="false"/>
          <w:color w:val="000000"/>
          <w:sz w:val="20"/>
        </w:rPr>
        <w:t>of loss on early extinguishment of debt.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9, 2024, we entered into a fourth amendment to the CEI Credit Agreement which, among other things, reduces the interest rate margin applicable to the Company’s existing CEI Term Loan B to 2.75% per annum in the case of any Term SOFR loan and 1.75% per annum in the case of any Base Rate loan. Prior to the fourth amendment, the applicable margin was 3.25% per annum in the case of any Term SOFR loan (plus a Term SOFR adjustment of 0.10%) and 2.25% per annum in the case of any Base Rate loan, subject to one 0.25% step-down based on our net total leverage ratio. On June 28, 2024, we made a voluntary repayment of $100 million in aggregate principal amount of the CEI Term Loan B with cash on hand.</w:t>
      </w:r>
    </w:p>
    <w:p>
      <w:pPr>
        <w:pStyle w:val="TextBody"/>
        <w:bidi w:val="0"/>
        <w:spacing w:lineRule="auto" w:line="288" w:before="180" w:after="283"/>
        <w:jc w:val="both"/>
        <w:rPr/>
      </w:pPr>
      <w:r>
        <w:rPr>
          <w:rFonts w:ascii="Times New Roman;sans-serif" w:hAnsi="Times New Roman;sans-serif"/>
          <w:b w:val="false"/>
          <w:color w:val="000000"/>
          <w:sz w:val="20"/>
        </w:rPr>
        <w:t xml:space="preserve">On April 26, 2024, Caesars Virginia, LLC entered into a credit agreement with Wells Fargo Bank, N.A., as administrative agent and collateral agent, and certain banks and other financial institutions and lenders party thereto (the “CVA Credit Agreement”), which provides for a senior secured first lien multi-draw term loan facility in an aggregate principal amount of $400 million (the “CVA Delayed Draw Term Loan”) and a senior secured first lien revolving credit facility in an aggregate principal amount of $25 million (the “CVA Revolving Credit Facility”), both maturing on April 26, 2029. </w:t>
      </w:r>
      <w:r>
        <w:rPr>
          <w:rFonts w:ascii="Times New Roman;sans-serif" w:hAnsi="Times New Roman;sans-serif"/>
          <w:b w:val="false"/>
          <w:color w:val="212529"/>
          <w:sz w:val="20"/>
        </w:rPr>
        <w:t xml:space="preserve">The CVA Delayed Draw Term Loan requires quarterly principal payments commencing on the last day of the first full fiscal quarter following the opening date of the permanent facility of Caesars Virginia. </w:t>
      </w:r>
      <w:r>
        <w:rPr>
          <w:rFonts w:ascii="Times New Roman;sans-serif" w:hAnsi="Times New Roman;sans-serif"/>
          <w:b w:val="false"/>
          <w:color w:val="000000"/>
          <w:sz w:val="20"/>
        </w:rPr>
        <w:t xml:space="preserve">The CVA Revolving Credit Facility and the CVA Delayed Draw Term Loan are subject to a variable rate of interest based on Term SOFR plus an applicable margin. As of June 30, 2024, there was $120 million utilized under the CVA Delayed Draw Term Loan.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our primary capital requirements going forward will relate to the expansion and maintenance of our properties, taxes, servicing our outstanding indebtedness, and rent payments under the GLPI Leases and the VICI Leases. We make capital expenditures and perform continuing refurbishment and maintenance at our properties to maintain our quality standards. Our capital expenditure requirements for the remainder of 2024 include expansion projects, hotel renovations and continued investment into new markets with our Caesars Sportsbook and iGaming applications in our Caesars Digital segment. In addition, we may, from time to time, seek to repurchase or prepay our outstanding indebtedness. Any such purchases or prepayments may be funded by existing cash balances or the incurrence of debt. The amount and timing of any repurchase will be based on business and market conditions, capital availability, compliance with debt covenants and other considerations.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04165"/>
                <wp:effectExtent l="0" t="0" r="0" b="0"/>
                <wp:wrapNone/>
                <wp:docPr id="40" name="Frame3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pPr>
      <w:r>
        <w:rPr>
          <w:rFonts w:ascii="Times New Roman;sans-serif" w:hAnsi="Times New Roman;sans-serif"/>
          <w:b w:val="false"/>
          <w:color w:val="222222"/>
          <w:sz w:val="20"/>
        </w:rPr>
        <w:t xml:space="preserve">We have agreements with certain professional sports leagues and teams, sporting event facilities and media companies for tickets, suites, advertising, marketing, promotional and sponsorship opportunities including communication with partner customer databases. Some of the agreements provide us with exclusivity to access the aforementioned rights within the casino and/or sports betting category. As of </w:t>
      </w:r>
      <w:r>
        <w:rPr>
          <w:rFonts w:ascii="Times New Roman;sans-serif" w:hAnsi="Times New Roman;sans-serif"/>
          <w:b w:val="false"/>
          <w:color w:val="000000"/>
          <w:sz w:val="20"/>
        </w:rPr>
        <w:t>June 30, 2024 and December 31, 2023</w:t>
      </w:r>
      <w:r>
        <w:rPr>
          <w:rFonts w:ascii="Times New Roman;sans-serif" w:hAnsi="Times New Roman;sans-serif"/>
          <w:b w:val="false"/>
          <w:color w:val="222222"/>
          <w:sz w:val="20"/>
        </w:rPr>
        <w:t>, obligations related to these agreements were $537 million and $605 million, respectively, with contracts extending through 2040. These obligations include leasing of event suites that are generally considered short term leases for which we do not record a right of use asset or lease liability. We recognize expenses in the period services are received in accordance with the various agreements. In addition, assets or liabilities may be recorded related to the timing of payments as required by the respective agreement.</w:t>
      </w:r>
    </w:p>
    <w:p>
      <w:pPr>
        <w:pStyle w:val="TextBody"/>
        <w:bidi w:val="0"/>
        <w:spacing w:lineRule="auto" w:line="288" w:before="180" w:after="283"/>
        <w:jc w:val="both"/>
        <w:rPr/>
      </w:pPr>
      <w:r>
        <w:rPr>
          <w:rFonts w:ascii="Times New Roman;sans-serif" w:hAnsi="Times New Roman;sans-serif"/>
          <w:b w:val="false"/>
          <w:color w:val="212529"/>
          <w:sz w:val="20"/>
        </w:rPr>
        <w:t>Our partnership with the Eastern Band of Cherokee Indians to build and develop Caesars Virginia is estimated to open its permanent facility in December 2024. The permanent development has a budget of $650 million and will include a premier destination resort casino with a 320-room hotel, 1,300 slot machines, 85 live table games, a WSOP Poker Room, a Caesars Sportsbook, a live entertainment theater and 40,000 square feet of meeting and convention space. Caesars Virginia’s temporary facility opened on May 15, 2023 and the permanent facility is scheduled to open in December 2024. Construction of Caesars Virginia’s permanent facility is being funded in part by cash flows from the temporary facility as well as funds available under the CVA Credit Agreement</w:t>
      </w:r>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val="false"/>
          <w:color w:val="212529"/>
          <w:sz w:val="20"/>
        </w:rPr>
      </w:pPr>
      <w:r>
        <w:rPr>
          <w:rFonts w:ascii="Times New Roman;sans-serif" w:hAnsi="Times New Roman;sans-serif"/>
          <w:b w:val="false"/>
          <w:color w:val="212529"/>
          <w:sz w:val="20"/>
        </w:rPr>
        <w:t>Additionally, on May 17, 2024, we opened the permanent facility of Harrah’s Columbus Nebraska which is a casino featuring a new one-mile horse racing surface, a 40,000-square-foot-casino and sportsbook with more than 400 slot machines and 20 table games, as well as a restaurant and retail space.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condition of the extension of the casino operating contract and ground lease for Caesars New Orleans, formerly Harrah’s New Orleans, we were also required to make a capital investment of at least $325 million on or around Caesars New Orleans. The capital investment involves the rebranding of the property to Caesars New Orleans which includes a renovation and full interior and exterior redesign, updated casino floor, new culinary experiences and a new 340-room hotel tower. The project has a current capital plan of $430 million and is expected to be complete in late 2024.</w:t>
      </w:r>
    </w:p>
    <w:p>
      <w:pPr>
        <w:pStyle w:val="TextBody"/>
        <w:bidi w:val="0"/>
        <w:spacing w:lineRule="auto" w:line="288" w:before="180" w:after="283"/>
        <w:jc w:val="both"/>
        <w:rPr/>
      </w:pPr>
      <w:r>
        <w:rPr>
          <w:rFonts w:ascii="Times New Roman;sans-serif" w:hAnsi="Times New Roman;sans-serif"/>
          <w:b w:val="false"/>
          <w:color w:val="212529"/>
          <w:sz w:val="20"/>
        </w:rPr>
        <w:t>Cash used for capital expenditures totaled $593 million</w:t>
      </w:r>
      <w:r>
        <w:rPr>
          <w:color w:val="000000"/>
        </w:rPr>
        <w:t xml:space="preserve"> </w:t>
      </w:r>
      <w:r>
        <w:rPr>
          <w:rFonts w:ascii="Times New Roman;sans-serif" w:hAnsi="Times New Roman;sans-serif"/>
          <w:b w:val="false"/>
          <w:color w:val="000000"/>
          <w:sz w:val="20"/>
        </w:rPr>
        <w:t xml:space="preserve">and $573 million </w:t>
      </w:r>
      <w:r>
        <w:rPr>
          <w:rFonts w:ascii="Times New Roman;sans-serif" w:hAnsi="Times New Roman;sans-serif"/>
          <w:b w:val="false"/>
          <w:color w:val="212529"/>
          <w:sz w:val="20"/>
        </w:rPr>
        <w:t xml:space="preserve">for the six months ended </w:t>
      </w:r>
      <w:r>
        <w:rPr>
          <w:rFonts w:ascii="Times New Roman;sans-serif" w:hAnsi="Times New Roman;sans-serif"/>
          <w:b w:val="false"/>
          <w:color w:val="000000"/>
          <w:sz w:val="20"/>
        </w:rPr>
        <w:t>June 30, 2024 and 2023</w:t>
      </w:r>
      <w:r>
        <w:rPr>
          <w:rFonts w:ascii="Times New Roman;sans-serif" w:hAnsi="Times New Roman;sans-serif"/>
          <w:b w:val="false"/>
          <w:color w:val="212529"/>
          <w:sz w:val="20"/>
        </w:rPr>
        <w:t>, respectively, related to our growth, renovation, maintenance, and other capital projects. The following table summarizes our capital expenditures for the six months ended June 30, 2024, and an estimated range of capital expenditures for the remainder of 2024. Excluding capital expenditure relating to Caesars Virginia, we estimate 2024 cash capital expenditure spend of approximately $800 million.</w:t>
      </w:r>
    </w:p>
    <w:tbl>
      <w:tblPr>
        <w:tblW w:w="10205" w:type="dxa"/>
        <w:jc w:val="left"/>
        <w:tblInd w:w="0" w:type="dxa"/>
        <w:tblLayout w:type="fixed"/>
        <w:tblCellMar>
          <w:top w:w="28" w:type="dxa"/>
          <w:left w:w="28" w:type="dxa"/>
          <w:bottom w:w="28" w:type="dxa"/>
          <w:right w:w="28" w:type="dxa"/>
        </w:tblCellMar>
      </w:tblPr>
      <w:tblGrid>
        <w:gridCol w:w="1365"/>
        <w:gridCol w:w="1173"/>
        <w:gridCol w:w="1162"/>
        <w:gridCol w:w="625"/>
        <w:gridCol w:w="1344"/>
        <w:gridCol w:w="347"/>
        <w:gridCol w:w="109"/>
        <w:gridCol w:w="109"/>
        <w:gridCol w:w="109"/>
        <w:gridCol w:w="414"/>
        <w:gridCol w:w="890"/>
        <w:gridCol w:w="230"/>
        <w:gridCol w:w="230"/>
        <w:gridCol w:w="230"/>
        <w:gridCol w:w="230"/>
        <w:gridCol w:w="414"/>
        <w:gridCol w:w="890"/>
        <w:gridCol w:w="334"/>
      </w:tblGrid>
      <w:tr>
        <w:trPr/>
        <w:tc>
          <w:tcPr>
            <w:tcW w:w="1365"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 of Remaining Capital Expenditures for 2024</w:t>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2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Low</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High</w:t>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Growth and renovation projects</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1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Maintenance projects</w:t>
            </w:r>
          </w:p>
        </w:tc>
        <w:tc>
          <w:tcPr>
            <w:tcW w:w="1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3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estimated capital expenditures from unrestricted cash</w:t>
            </w:r>
          </w:p>
        </w:tc>
        <w:tc>
          <w:tcPr>
            <w:tcW w:w="1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Caesars Virginia</w:t>
            </w:r>
            <w:r>
              <w:rPr>
                <w:color w:val="000000"/>
              </w:rPr>
              <w:t xml:space="preserve"> </w:t>
            </w:r>
            <w:r>
              <w:rPr>
                <w:rFonts w:ascii="Times New Roman;sans-serif" w:hAnsi="Times New Roman;sans-serif"/>
                <w:b w:val="false"/>
                <w:i/>
                <w:color w:val="000000"/>
                <w:sz w:val="12"/>
              </w:rPr>
              <w:t>(a)</w:t>
            </w:r>
          </w:p>
        </w:tc>
        <w:tc>
          <w:tcPr>
            <w:tcW w:w="1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 xml:space="preserve">On April 26, 2024, Caesars Virginia, LLC entered into a new five-year $425 million pro rata bank financing to fund the remaining capital expenditures associated with the permanent casino resort facility, which is expected to open in December 2024.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portion of our liquidity needs are for debt service and payments associated with our leases. Our estimated debt service (including principal and interest) is approximately $510 million for the remainder of 2024. We also lease certain real property assets from third parties, including VICI and GLPI. The VICI Leases are subject to annual escalations, that take effect in November of each year, based on the Consumer Price Index. We estimate our lease payments to VICI and GLPI to be approximately $660 million for the remainder of 2024. </w:t>
      </w:r>
    </w:p>
    <w:p>
      <w:pPr>
        <w:pStyle w:val="TextBody"/>
        <w:bidi w:val="0"/>
        <w:spacing w:lineRule="auto" w:line="288" w:before="180" w:after="283"/>
        <w:jc w:val="both"/>
        <w:rPr/>
      </w:pPr>
      <w:r>
        <w:rPr>
          <w:rFonts w:ascii="Times New Roman;sans-serif" w:hAnsi="Times New Roman;sans-serif"/>
          <w:b w:val="false"/>
          <w:color w:val="000000"/>
          <w:sz w:val="20"/>
        </w:rPr>
        <w:t xml:space="preserve">We have periodically divested assets to raise capital or, in previous cases, to comply with conditions, terms, obligations or restrictions imposed by antitrust, gaming and other regulatory entities. </w:t>
      </w:r>
      <w:r>
        <w:rPr>
          <w:rFonts w:ascii="Times New Roman;sans-serif" w:hAnsi="Times New Roman;sans-serif"/>
          <w:b w:val="false"/>
          <w:color w:val="212529"/>
          <w:sz w:val="20"/>
        </w:rPr>
        <w:t>If an agreed upon selling price for future divestitures does not exceed the carrying value of the assets, we may be required to record additional impairment charges in future periods which may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04165"/>
                <wp:effectExtent l="0" t="0" r="0" b="0"/>
                <wp:wrapNone/>
                <wp:docPr id="41" name="Frame4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pPr>
      <w:r>
        <w:rPr>
          <w:rFonts w:ascii="Times New Roman;sans-serif" w:hAnsi="Times New Roman;sans-serif"/>
          <w:b w:val="false"/>
          <w:color w:val="000000"/>
          <w:sz w:val="20"/>
        </w:rPr>
        <w:t>We</w:t>
      </w:r>
      <w:r>
        <w:rPr>
          <w:color w:val="212529"/>
        </w:rPr>
        <w:t xml:space="preserve"> </w:t>
      </w:r>
      <w:r>
        <w:rPr>
          <w:rFonts w:ascii="Times New Roman;sans-serif" w:hAnsi="Times New Roman;sans-serif"/>
          <w:b w:val="false"/>
          <w:color w:val="212529"/>
          <w:sz w:val="20"/>
        </w:rPr>
        <w:t>expect that our current liquidity, including availability of borrowings under our committed credit facility and cash flows from operations will be sufficient to fund our operations, capital requirements and service our outstanding indebtedness for the next twelve months.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Debt and Master Lease Covenant Compliance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CEI Revolving Credit Facility, the CEI Term Loan A, the CEI Term Loan B, the CEI Term Loan B-1 and the indentures governing the CEI Senior Secured Notes due 2030, the CEI Senior Secured Notes due 2032, the CEI Senior Notes due 2027, and the CEI Senior Notes due 2029 contain covenants which are standard and customary for these types of agreements. These include negative covenants, which, subject to certain exceptions and baskets, limit our ability to (among other items) incur additional indebtedness, make investments, make restricted payments, including dividends, grant liens, sell assets and make acquisitions.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CEI Revolving Credit Facility and the CEI Term Loan A include a maximum net total leverage ratio financial covenant of 7.25:1 until December 31, 2024 and 6.50:1 from and after December 31, 2024. In addition, the CEI Revolving Credit Facility and the CEI Term Loan A include a minimum fixed charge coverage ratio financial covenant of 1.75:1 until December 31, 2024 and 2.0:1 from and after December 31, 2024. From and after the repayment of the CEI Term Loan A, the financial covenants applicable to the CEI Revolving Credit Facility will be tested solely to the extent that certain testing conditions are satisfied. Failure to comply with such covenants could result in an acceleration of the maturity of indebtedness outstanding under the relevant debt document.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GLPI Leases and VICI Leases contain certain covenants requiring minimum capital expenditures based on a percentage of net revenues along with maintaining certain financial ratios.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were in compliance with all of the applicable financial covenants described above.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CVA Revolving Credit Facility and the CVA Delayed Draw Term Loan contain covenants which are standard and customary for this type of agreement, including a maximum net total leverage ratio financial covenant of 4:1 and a minimum fixed charge coverage ratio financial covenant of 1.05:1. Caesars Virginia LLC’s compliance requirements commence after the first full quarter following the opening of the permanent facility of Caesars Virginia.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Share Repurchase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2018, our Board of Directors authorized a $150 million common stock repurchase program (the “Share Repurchase Program”) pursuant to which we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we are required to repurchase under the Share Repurchase Program.</w:t>
      </w:r>
    </w:p>
    <w:p>
      <w:pPr>
        <w:pStyle w:val="TextBody"/>
        <w:bidi w:val="0"/>
        <w:spacing w:lineRule="auto" w:line="288" w:before="180" w:after="283"/>
        <w:jc w:val="both"/>
        <w:rPr/>
      </w:pPr>
      <w:r>
        <w:rPr>
          <w:rFonts w:ascii="Times New Roman;sans-serif" w:hAnsi="Times New Roman;sans-serif"/>
          <w:b w:val="false"/>
          <w:color w:val="000000"/>
          <w:sz w:val="20"/>
        </w:rPr>
        <w:t xml:space="preserve">As of June 30, 2024, we have acquired 223,823 shares of common stock under the Share Repurchase Program at an aggregate value of $9 million and an average of $40.80 per share. No shares were repurchased during the </w:t>
      </w:r>
      <w:r>
        <w:rPr>
          <w:rFonts w:ascii="Times New Roman;sans-serif" w:hAnsi="Times New Roman;sans-serif"/>
          <w:b w:val="false"/>
          <w:color w:val="212529"/>
          <w:sz w:val="20"/>
        </w:rPr>
        <w:t>six months ended June 30, 2024</w:t>
      </w:r>
      <w:r>
        <w:rPr>
          <w:color w:val="000000"/>
        </w:rPr>
        <w:t xml:space="preserve"> </w:t>
      </w:r>
      <w:r>
        <w:rPr>
          <w:rFonts w:ascii="Times New Roman;sans-serif" w:hAnsi="Times New Roman;sans-serif"/>
          <w:b w:val="false"/>
          <w:color w:val="000000"/>
          <w:sz w:val="20"/>
        </w:rPr>
        <w:t>and 2023.</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180" w:after="283"/>
        <w:jc w:val="both"/>
        <w:rPr/>
      </w:pPr>
      <w:r>
        <w:rPr>
          <w:rFonts w:ascii="Times New Roman;sans-serif" w:hAnsi="Times New Roman;sans-serif"/>
          <w:b w:val="false"/>
          <w:color w:val="000000"/>
          <w:sz w:val="20"/>
        </w:rPr>
        <w:t xml:space="preserve">There have been no other material changes during the six months ended June 30, 2024 to our contractual obligations as disclosed in Part II, Item 7 of the 2023 Annual Report. See </w:t>
      </w:r>
      <w:hyperlink w:anchor="i84376642b6474f11bc155e6fdb08572b_79">
        <w:r>
          <w:rPr>
            <w:rStyle w:val="InternetLink"/>
            <w:rFonts w:ascii="Times New Roman;sans-serif" w:hAnsi="Times New Roman;sans-serif"/>
            <w:b w:val="false"/>
            <w:color w:val="0000FF"/>
            <w:sz w:val="20"/>
            <w:u w:val="single"/>
          </w:rPr>
          <w:t>Note 5</w:t>
        </w:r>
      </w:hyperlink>
      <w:r>
        <w:rPr>
          <w:color w:val="000000"/>
        </w:rPr>
        <w:t xml:space="preserve"> </w:t>
      </w:r>
      <w:r>
        <w:rPr>
          <w:rFonts w:ascii="Times New Roman;sans-serif" w:hAnsi="Times New Roman;sans-serif"/>
          <w:b w:val="false"/>
          <w:color w:val="000000"/>
          <w:sz w:val="20"/>
        </w:rPr>
        <w:t xml:space="preserve">to our unaudited Financial Statements, which is included elsewhere in this report, for additional information regarding contractual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Other Liquidity Matters</w:t>
      </w:r>
    </w:p>
    <w:p>
      <w:pPr>
        <w:pStyle w:val="TextBody"/>
        <w:bidi w:val="0"/>
        <w:spacing w:lineRule="auto" w:line="288" w:before="180" w:after="283"/>
        <w:jc w:val="both"/>
        <w:rPr/>
      </w:pPr>
      <w:r>
        <w:rPr>
          <w:rFonts w:ascii="Times New Roman;sans-serif" w:hAnsi="Times New Roman;sans-serif"/>
          <w:b w:val="false"/>
          <w:color w:val="000000"/>
          <w:sz w:val="20"/>
        </w:rPr>
        <w:t xml:space="preserve">We are faced with certain contingencies, from time to time, involving litigation, claims, assessments, environmental remediation or compliance. These commitments and contingencies are discussed in greater detail, when applicable, in “Part II, Item 1. Legal Proceedings” and </w:t>
      </w:r>
      <w:hyperlink w:anchor="i84376642b6474f11bc155e6fdb08572b_79">
        <w:r>
          <w:rPr>
            <w:rStyle w:val="InternetLink"/>
            <w:rFonts w:ascii="Times New Roman;sans-serif" w:hAnsi="Times New Roman;sans-serif"/>
            <w:b w:val="false"/>
            <w:color w:val="0000FF"/>
            <w:sz w:val="20"/>
            <w:u w:val="single"/>
          </w:rPr>
          <w:t>Note 5</w:t>
        </w:r>
      </w:hyperlink>
      <w:r>
        <w:rPr>
          <w:color w:val="000000"/>
        </w:rPr>
        <w:t xml:space="preserve"> </w:t>
      </w:r>
      <w:r>
        <w:rPr>
          <w:rFonts w:ascii="Times New Roman;sans-serif" w:hAnsi="Times New Roman;sans-serif"/>
          <w:b w:val="false"/>
          <w:color w:val="000000"/>
          <w:sz w:val="20"/>
        </w:rPr>
        <w:t>to our unaudited Financial Statements, both of which are included elsewhere in this report. See “Part I, Item 1A. Risk Factors—Risks Related to Our Business” which is included elsewhere in the 2023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04165"/>
                <wp:effectExtent l="0" t="0" r="0" b="0"/>
                <wp:wrapNone/>
                <wp:docPr id="42" name="Frame4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disclosures are included in the 2023 Annual Report. There have been no material changes since December 31, 2023. We have not substantively changed the application of our policies, and there have been no material changes in assumptions or estimation techniques used as compared to those described in the 2023 Annual Report.</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have any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Item 3. Quantitative and Qualitative Disclosures About Market Risk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loss arising from adverse changes in market rates and prices, such as interest rates, foreign currency exchange rates and commodity prices. We are exposed to changes in interest rates primarily from variable rate long-term debt arrangements. We manage our interest rate risk by monitoring interest rates, including future projected rates, and adjust our mix of fixed and variable rate borrowings.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long-term variable-rate borrowings totaled $6.1 billion under the CEI Term Loans and the CVA Delayed Draw Term Loan and no amounts were outstanding under the CEI Revolving Credit Facility or the CVA Revolving Credit Facility. Long-term variable-rate borrowings under the CEI Term Loans and the CVA Delayed Draw Term Loan represented approximately 49% of consolidated long-term debt as of June 30, 2024. As of June 30, 2024, the weighted average interest rates on our variable and fixed rate debt were 8.00% and 6.70%, respectively.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of the variable rate debt instruments are subject to Term SOFR interest rates plus a reasonable margin.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our exposure to market risk by monitoring interest rates in the marketplace and have, on occasion, utilized derivative financial instruments to help manage this risk. We do not utilize derivative financial instruments for trading purposes. There have been no other material quantitative changes in our market risk exposure, or how such risks are managed from the information previously reported under Part II, Item 7A of the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Item 4. Controls and Procedures</w:t>
      </w:r>
    </w:p>
    <w:p>
      <w:pPr>
        <w:pStyle w:val="TextBody"/>
        <w:bidi w:val="0"/>
        <w:spacing w:lineRule="auto" w:line="288" w:before="180" w:after="283"/>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Evaluation of Disclosure Controls and Procedures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13a-15(e) and 15d-15(e)) as of the end of the period covered by this Quarterly Report on Form 10-Q. Based on this evaluation, our Chief Executive Officer and Chief Financial Officer have concluded that our disclosure controls and procedures as of the end of the period covered by this Quarterly Report on Form 10-Q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pStyle w:val="TextBody"/>
        <w:bidi w:val="0"/>
        <w:spacing w:lineRule="auto" w:line="288" w:before="180" w:after="283"/>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Changes in Internal Controls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significant changes in our internal control over financial reporting during the period covered by this Quarterly Report on Form 10</w:t>
        <w:noBreakHyphen/>
        <w:t>Q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04165"/>
                <wp:effectExtent l="0" t="0" r="0" b="0"/>
                <wp:wrapNone/>
                <wp:docPr id="43" name="Frame4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center"/>
        <w:rPr>
          <w:rFonts w:ascii="Times New Roman;sans-serif" w:hAnsi="Times New Roman;sans-serif"/>
          <w:b/>
          <w:color w:val="BF2115"/>
          <w:sz w:val="24"/>
        </w:rPr>
      </w:pPr>
      <w:r>
        <w:rPr>
          <w:rFonts w:ascii="Times New Roman;sans-serif" w:hAnsi="Times New Roman;sans-serif"/>
          <w:b/>
          <w:color w:val="BF2115"/>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 xml:space="preserve">Item 1. Legal Proceedings </w:t>
      </w:r>
    </w:p>
    <w:p>
      <w:pPr>
        <w:pStyle w:val="TextBody"/>
        <w:bidi w:val="0"/>
        <w:spacing w:lineRule="auto" w:line="288" w:before="180" w:after="283"/>
        <w:jc w:val="both"/>
        <w:rPr/>
      </w:pPr>
      <w:r>
        <w:rPr>
          <w:rFonts w:ascii="Times New Roman;sans-serif" w:hAnsi="Times New Roman;sans-serif"/>
          <w:b w:val="false"/>
          <w:color w:val="000000"/>
          <w:sz w:val="20"/>
        </w:rPr>
        <w:t xml:space="preserve">For a discussion of our “Legal Proceedings,” refer to </w:t>
      </w:r>
      <w:hyperlink w:anchor="i84376642b6474f11bc155e6fdb08572b_79">
        <w:r>
          <w:rPr>
            <w:rStyle w:val="InternetLink"/>
            <w:rFonts w:ascii="Times New Roman;sans-serif" w:hAnsi="Times New Roman;sans-serif"/>
            <w:b w:val="false"/>
            <w:color w:val="0000FF"/>
            <w:sz w:val="20"/>
            <w:u w:val="single"/>
          </w:rPr>
          <w:t>Note 5</w:t>
        </w:r>
      </w:hyperlink>
      <w:r>
        <w:rPr>
          <w:color w:val="000000"/>
        </w:rPr>
        <w:t xml:space="preserve"> </w:t>
      </w:r>
      <w:r>
        <w:rPr>
          <w:rFonts w:ascii="Times New Roman;sans-serif" w:hAnsi="Times New Roman;sans-serif"/>
          <w:b w:val="false"/>
          <w:color w:val="000000"/>
          <w:sz w:val="20"/>
        </w:rPr>
        <w:t>of our Consolidated Condensed Financial Statements located elsewhere in this Quarterly Report on Form 10-Q and Note 11 to our Consolidated Financial Statements included in the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Cautionary Statements Regarding Forward-Looking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trends and other information that is not historical information. When used in this report, the terms or phrases such as “anticipates,” “believes,” “projects,” “plans,” “intends,” “expects,” “might,” “may,” “estimates,” “could,” “should,” “would,” “will likely continue,” and variations of such words or similar expressions and their negative forms are intended to identify forward-looking statements. These statements are made on the basis of management’s current views and assumptions regarding future events.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upon certain underlying assumptions, including any assumptions mentioned with the specific statements, as of the date such statements were made. Such assumptions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Actual results and trends may differ materially from any future results, trends, performance or achievements expressed or implied by such statements. Forward-looking statements speak only as of the date they are made, and we assume no duty to update forward-looking statements. Forward-looking statements should not be regarded as a representation by us or any other person that the forward-looking statements will be achieved. Undue reliance should not be placed on any forward-looking statements. Some of the contingencies and uncertainties to which any forward-looking statement contained herein are subject include, but are not limited to, the following:</w:t>
      </w:r>
    </w:p>
    <w:p>
      <w:pPr>
        <w:pStyle w:val="TextBody"/>
        <w:bidi w:val="0"/>
        <w:spacing w:lineRule="auto" w:line="288" w:before="180" w:after="283"/>
        <w:ind w:left="0" w:right="0" w:hanging="720"/>
        <w:jc w:val="both"/>
        <w:rPr/>
      </w:pPr>
      <w:r>
        <w:rPr>
          <w:color w:val="000000"/>
        </w:rPr>
        <w:t>•</w:t>
      </w:r>
      <w:r>
        <w:rPr>
          <w:rFonts w:ascii="Times New Roman;sans-serif" w:hAnsi="Times New Roman;sans-serif"/>
          <w:b w:val="false"/>
          <w:color w:val="000000"/>
          <w:sz w:val="20"/>
        </w:rPr>
        <w:t>our sensitivity to reductions in discretionary consumer spending as a result of downturns in the economy and other factors outside our control;</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projections of future results of operations or financial condition;</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expectations regarding our business and results of operations of our existing casino properties and prospects for future development;</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the impact of economic trends, inflation and public health emergencies on our business and financial condition;</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expectations regarding trends that will affect our market and the gaming industry generally, including expansion of internet betting and gaming, and the impact of those trends on our business and results of operations;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ability to comply with the covenants in the agreements governing our outstanding indebtedness and leases;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ability to meet our projected debt service obligations, operating expenses, and maintenance capital expenditures;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expectations regarding availability of capital resources;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intention to pursue development opportunities and additional acquisitions and divestitures;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the impact of regulation on our business and our ability to receive and maintain necessary approvals for our existing properties and future projects and operation of our online sportsbook, poker and gaming;</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 xml:space="preserve">the impact of the Data Incident and any other future cybersecurity breaches on our business, financial conditions and results of operations; </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factors impacting our ability to successfully operate our digital betting and iGaming platform and expand its user base;</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ability to adapt to the very competitive environments in which we operate, including the online market;</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the impact of economic downturns and other factors that impact consumer spending;</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the impact of win rates and liability management risks on our results of operations;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reliance on third parties for strategic relationships and essential services;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costs associated with investments in our online offerings and technological and strategic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04165"/>
                <wp:effectExtent l="0" t="0" r="0" b="0"/>
                <wp:wrapNone/>
                <wp:docPr id="44" name="Frame4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risk relating to fraud, theft and cheating;</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ability to collect gaming receivables from our credit customers;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the impact of our substantial indebtedness and significant financial commitments, including our obligations under our lease arrangements;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restrictions and limitations in agreements governing our debt and leased properties could significantly affect our ability to operate our business and our liquidity;</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financial, operational, regulatory or other potential challenges that may arise as a result of leasing of a number of our properties;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the effect of disruptions or corruption to our information technology and other systems and infrastructure;</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the ability to identify suitable acquisition opportunities and realize growth and cost synergies from any future acquisitions;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the impact of governmental regulation on our business and the cost of complying or the impact of failing to comply with such regulations;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changes in gaming taxes and fees in jurisdictions in which we operate;</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risks relating to pending claims or future claims that may be brought against us;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changes in interest rates and capital and credit markets;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the effect of seasonal fluctuations;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 xml:space="preserve">our particular sensitivity to energy and water prices; </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deterioration in our reputation or the reputation of our brands;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potential compromises of our information systems or unauthorized access to confidential information and customer data;</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reliance on information technology, particularly for our digital business;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ability to protect our intellectual property rights;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reliance on licenses to use the intellectual property of third parties and our ability to renew or extend our existing licenses;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the effect of war, terrorist activity, acts of violence, natural disasters, public health emergencies and other catastrophic events;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increased scrutiny and changing expectations regarding our environmental, social and governance practices and reporting;</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reliance on key personnel and the intense competition to attract and retain management and key employees in the gaming industry;</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work stoppages and other labor problems;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ability to retain performers and other entertainment offerings on acceptable terms; and</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other factors described in “Risk Factors” and “Management’s Discussion and Analysis of Financial Condition and Results of Operations” contained in this Quarterly Report on Form 10-Q, our most recently filed Quarterly Reports on Form 10-Q, and our most recent Annual Report on Form 10-K filed with the SEC.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these and other risks, uncertainties and assumptions, the forward-looking events discussed in this report might not occur. These forward-looking statements speak only as of the date on which this statement is made, even if subsequently made available on our website or otherwise, and we do not intend to update publicly any forward-looking statement to reflect events or circumstances that occur after the date on which the statement is made, except as may be required by law.</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also be aware that while we, from time to time, communicate with securities analysts, we do not disclose to them any material non-public information, internal forecasts or other confidential business information. Therefore, you should not assume that we agree with any statement or report issued by any analyst, irrespective of the content of the statement or report.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reports issued by securities analysts contain projections, forecasts or opinions, those reports are not our responsibility and are not endorsed by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Item 1A. Risk Factors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our risk factors can be found in “Part I, Item 1A. Risk Factors” included in the 2023 Annual Report. There have been no material changes to those risk factors during the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04165"/>
                <wp:effectExtent l="0" t="0" r="0" b="0"/>
                <wp:wrapNone/>
                <wp:docPr id="45" name="Frame4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Item 2. Unregistered Sales of Equity Securities and Use of Proceeds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Item 3. Defaults Upon Senior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Item 4. Mine Safety Disclosures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Item 5. Other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None.</w:t>
      </w:r>
    </w:p>
    <w:p>
      <w:pPr>
        <w:pStyle w:val="TextBody"/>
        <w:bidi w:val="0"/>
        <w:spacing w:lineRule="auto" w:line="288" w:before="180" w:after="283"/>
        <w:jc w:val="both"/>
        <w:rPr/>
      </w:pPr>
      <w:r>
        <w:rPr>
          <w:rFonts w:ascii="Times New Roman;sans-serif" w:hAnsi="Times New Roman;sans-serif"/>
          <w:b w:val="false"/>
          <w:color w:val="000000"/>
          <w:sz w:val="20"/>
        </w:rPr>
        <w:t xml:space="preserve">(c) </w:t>
      </w:r>
      <w:r>
        <w:rPr>
          <w:rFonts w:ascii="Times New Roman;sans-serif" w:hAnsi="Times New Roman;sans-serif"/>
          <w:b/>
          <w:color w:val="000000"/>
          <w:sz w:val="20"/>
        </w:rPr>
        <w:t>Rule 10b5-1 Trading Plans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none of our directors or officers (as defined in Rule 16a-1(f) of the Exchange Act) adopted, modified or terminated a “Rule 10b5-1 trading arrangement” or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04165"/>
                <wp:effectExtent l="0" t="0" r="0" b="0"/>
                <wp:wrapNone/>
                <wp:docPr id="46" name="Frame4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0" w:after="0"/>
        <w:jc w:val="left"/>
        <w:rPr>
          <w:rFonts w:ascii="Times New Roman;sans-serif" w:hAnsi="Times New Roman;sans-serif"/>
          <w:b/>
          <w:color w:val="BF2115"/>
          <w:sz w:val="24"/>
        </w:rPr>
      </w:pPr>
      <w:r>
        <w:rPr>
          <w:rFonts w:ascii="Times New Roman;sans-serif" w:hAnsi="Times New Roman;sans-serif"/>
          <w:b/>
          <w:color w:val="BF2115"/>
          <w:sz w:val="24"/>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186"/>
        <w:gridCol w:w="2107"/>
        <w:gridCol w:w="2114"/>
        <w:gridCol w:w="109"/>
        <w:gridCol w:w="109"/>
        <w:gridCol w:w="109"/>
        <w:gridCol w:w="787"/>
        <w:gridCol w:w="691"/>
        <w:gridCol w:w="694"/>
        <w:gridCol w:w="109"/>
        <w:gridCol w:w="15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Method of Filing</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18"/>
                  <w:u w:val="single"/>
                </w:rPr>
                <w:t>Amended and Restated Certificate of Incorporation of Caesars Entertainment,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June 16, 2023.</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18"/>
                  <w:u w:val="single"/>
                </w:rPr>
                <w:t>Amended and Restated Bylaws of Caesars Entertainment,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August 1, 2022.</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18"/>
                  <w:u w:val="single"/>
                </w:rPr>
                <w:t>Fourth Amendment to Credit Agreement, dated as of May 9, 2024, by and among Caesars Entertainment, Inc., the lenders party thereto and JPMorgan Chase Bank,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May 9, 2024.</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ans-serif" w:hAnsi="Times New Roman;sans-serif"/>
                  <w:b w:val="false"/>
                  <w:color w:val="0000FF"/>
                  <w:sz w:val="18"/>
                  <w:u w:val="single"/>
                </w:rPr>
                <w:t>Caesars Entertainment, Inc. Second Amended and Restated 2015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June 14, 2024.</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4q2cei-ex311.htm">
              <w:r>
                <w:rPr>
                  <w:rStyle w:val="InternetLink"/>
                  <w:rFonts w:ascii="Times New Roman;sans-serif" w:hAnsi="Times New Roman;sans-serif"/>
                  <w:b w:val="false"/>
                  <w:color w:val="0000FF"/>
                  <w:sz w:val="18"/>
                  <w:u w:val="single"/>
                </w:rPr>
                <w:t>Certification of Thomas R. Reeg pursuant to Rule 13a-14a and Rule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4q2cei-ex312.htm">
              <w:r>
                <w:rPr>
                  <w:rStyle w:val="InternetLink"/>
                  <w:rFonts w:ascii="Times New Roman;sans-serif" w:hAnsi="Times New Roman;sans-serif"/>
                  <w:b w:val="false"/>
                  <w:color w:val="0000FF"/>
                  <w:sz w:val="18"/>
                  <w:u w:val="single"/>
                </w:rPr>
                <w:t>Certification of Bret Yunker pursuant to Rule 13a-14a and Rule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4q2cei-ex321.htm">
              <w:r>
                <w:rPr>
                  <w:rStyle w:val="InternetLink"/>
                  <w:rFonts w:ascii="Times New Roman;sans-serif" w:hAnsi="Times New Roman;sans-serif"/>
                  <w:b w:val="false"/>
                  <w:color w:val="0000FF"/>
                  <w:sz w:val="18"/>
                  <w:u w:val="single"/>
                </w:rPr>
                <w:t>Certification of Thomas R. Reeg in accordance with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4q2cei-ex322.htm">
              <w:r>
                <w:rPr>
                  <w:rStyle w:val="InternetLink"/>
                  <w:rFonts w:ascii="Times New Roman;sans-serif" w:hAnsi="Times New Roman;sans-serif"/>
                  <w:b w:val="false"/>
                  <w:color w:val="0000FF"/>
                  <w:sz w:val="18"/>
                  <w:u w:val="single"/>
                </w:rPr>
                <w:t>Certification of Bret Yunker in accordance with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w:t>
      </w:r>
    </w:p>
    <w:tbl>
      <w:tblPr>
        <w:tblW w:w="578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97"/>
        <w:gridCol w:w="1497"/>
        <w:gridCol w:w="21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Denotes a 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04165"/>
                <wp:effectExtent l="0" t="0" r="0" b="0"/>
                <wp:wrapNone/>
                <wp:docPr id="47" name="Frame4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before="360" w:after="283"/>
        <w:jc w:val="center"/>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and Exchange Act of 1934, the registrant has duly caused this report to be signed on its behalf by the undersigned thereunto duly authorized.</w:t>
      </w:r>
    </w:p>
    <w:tbl>
      <w:tblPr>
        <w:tblW w:w="6194" w:type="dxa"/>
        <w:jc w:val="left"/>
        <w:tblInd w:w="0" w:type="dxa"/>
        <w:tblLayout w:type="fixed"/>
        <w:tblCellMar>
          <w:top w:w="28" w:type="dxa"/>
          <w:left w:w="28" w:type="dxa"/>
          <w:bottom w:w="28" w:type="dxa"/>
          <w:right w:w="28" w:type="dxa"/>
        </w:tblCellMar>
      </w:tblPr>
      <w:tblGrid>
        <w:gridCol w:w="618"/>
        <w:gridCol w:w="544"/>
        <w:gridCol w:w="547"/>
        <w:gridCol w:w="1313"/>
        <w:gridCol w:w="1313"/>
        <w:gridCol w:w="185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CAESARS ENTERTAINMENT,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July 30, 2024</w:t>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Thomas R. Reeg</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Thomas R. Reeg</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(Principal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July 30, 2024</w:t>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Bret Yunker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Bret Yunker</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04165"/>
                <wp:effectExtent l="0" t="0" r="0" b="0"/>
                <wp:wrapNone/>
                <wp:docPr id="48" name="Frame4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84376642b6474f11bc155e6fdb08572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Thomas R. Reeg, certify that: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Caesars Entertainment, Inc.;</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July 30, 2024</w:t>
      </w:r>
    </w:p>
    <w:tbl>
      <w:tblPr>
        <w:tblW w:w="2846" w:type="dxa"/>
        <w:jc w:val="left"/>
        <w:tblInd w:w="0" w:type="dxa"/>
        <w:tblLayout w:type="fixed"/>
        <w:tblCellMar>
          <w:top w:w="28" w:type="dxa"/>
          <w:left w:w="28" w:type="dxa"/>
          <w:bottom w:w="28" w:type="dxa"/>
          <w:right w:w="28" w:type="dxa"/>
        </w:tblCellMar>
      </w:tblPr>
      <w:tblGrid>
        <w:gridCol w:w="124"/>
        <w:gridCol w:w="109"/>
        <w:gridCol w:w="109"/>
        <w:gridCol w:w="731"/>
        <w:gridCol w:w="731"/>
        <w:gridCol w:w="1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R. REEG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Thomas R. Reeg</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Bret Yunker, certify that:</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Caesars Entertainment, Inc.;</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July 30, 2024 </w:t>
      </w:r>
    </w:p>
    <w:tbl>
      <w:tblPr>
        <w:tblW w:w="2861" w:type="dxa"/>
        <w:jc w:val="left"/>
        <w:tblInd w:w="0" w:type="dxa"/>
        <w:tblLayout w:type="fixed"/>
        <w:tblCellMar>
          <w:top w:w="28" w:type="dxa"/>
          <w:left w:w="28" w:type="dxa"/>
          <w:bottom w:w="28" w:type="dxa"/>
          <w:right w:w="28" w:type="dxa"/>
        </w:tblCellMar>
      </w:tblPr>
      <w:tblGrid>
        <w:gridCol w:w="124"/>
        <w:gridCol w:w="109"/>
        <w:gridCol w:w="109"/>
        <w:gridCol w:w="737"/>
        <w:gridCol w:w="737"/>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BRET YUNKER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Bret Yunker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Thomas R. Reeg</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Thomas R. Reeg, Chief Executive Officer of Caesars Entertainment, Inc. (the “Company”), do hereby certify in accordance with 18 U.S.C. 1350, as adopted pursuant to Section 906 of the Sarbanes-Oxley Act of 2002, that, to my knowledge:</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period ended June 30, 2024 (the “Periodic Report”) fully complies with the requirements of Section 13(a) or 15(d) of the Securities Exchange Act of 1934 (15 U.S.C. 78m or 78o(d));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represents, in all material respects, the financial condition and results of operations of the Company.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July 30, 2024</w:t>
      </w:r>
    </w:p>
    <w:tbl>
      <w:tblPr>
        <w:tblW w:w="2397" w:type="dxa"/>
        <w:jc w:val="left"/>
        <w:tblInd w:w="0" w:type="dxa"/>
        <w:tblLayout w:type="fixed"/>
        <w:tblCellMar>
          <w:top w:w="28" w:type="dxa"/>
          <w:left w:w="28" w:type="dxa"/>
          <w:bottom w:w="28" w:type="dxa"/>
          <w:right w:w="28" w:type="dxa"/>
        </w:tblCellMar>
      </w:tblPr>
      <w:tblGrid>
        <w:gridCol w:w="124"/>
        <w:gridCol w:w="109"/>
        <w:gridCol w:w="109"/>
        <w:gridCol w:w="600"/>
        <w:gridCol w:w="600"/>
        <w:gridCol w:w="8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R. REEG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R. Reeg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Bret Yunker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Bret Yunker, Chief Financial Officer of Caesars Entertainment, Inc. (the “Company”), do hereby certify in accordance with 18 U.S.C. 1350, as adopted pursuant to Section 906 of the Sarbanes-Oxley Act of 2002, that, to my knowledge:</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period ended June 30, 2024 (the “Periodic Report”) fully complies with the requirements of Section 13(a) or 15(d) of the Securities Exchange Act of 1934 (15 U.S.C. 78m or 78o(d));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represents, in all material respects, the financial condition and results of operations of the Company.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July 30, 2024</w:t>
      </w:r>
    </w:p>
    <w:tbl>
      <w:tblPr>
        <w:tblW w:w="2412" w:type="dxa"/>
        <w:jc w:val="left"/>
        <w:tblInd w:w="0" w:type="dxa"/>
        <w:tblLayout w:type="fixed"/>
        <w:tblCellMar>
          <w:top w:w="28" w:type="dxa"/>
          <w:left w:w="28" w:type="dxa"/>
          <w:bottom w:w="28" w:type="dxa"/>
          <w:right w:w="28" w:type="dxa"/>
        </w:tblCellMar>
      </w:tblPr>
      <w:tblGrid>
        <w:gridCol w:w="124"/>
        <w:gridCol w:w="109"/>
        <w:gridCol w:w="109"/>
        <w:gridCol w:w="606"/>
        <w:gridCol w:w="606"/>
        <w:gridCol w:w="8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BRET YUNKER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Bret Yunker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90895/000119312523169019/d522744dex31.htm" TargetMode="External"/><Relationship Id="rId4" Type="http://schemas.openxmlformats.org/officeDocument/2006/relationships/hyperlink" Target="https://www.sec.gov/Archives/edgar/data/1590895/000119312522208845/d332982dex31.htm" TargetMode="External"/><Relationship Id="rId5" Type="http://schemas.openxmlformats.org/officeDocument/2006/relationships/hyperlink" Target="https://www.sec.gov/Archives/edgar/data/1590895/000119312524135268/d827488dex101.htm" TargetMode="External"/><Relationship Id="rId6" Type="http://schemas.openxmlformats.org/officeDocument/2006/relationships/hyperlink" Target="https://www.sec.gov/Archives/edgar/data/1590895/000159089524000106/exhibit101caesars-secondam.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25344</Words>
  <Characters>135296</Characters>
  <CharactersWithSpaces>158407</CharactersWithSpaces>
  <Paragraphs>3949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