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001-36629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ELDORADO RESORTS,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Nevada</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46-3657681</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West Liberty Street, Suite 1150,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32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60" w:space="720"/>
            <w:col w:w="1720" w:space="720"/>
            <w:col w:w="2180" w:space="720"/>
            <w:col w:w="2640"/>
          </w:cols>
          <w:pgMar w:left="240" w:top="685" w:right="299" w:bottom="1440" w:gutter="0" w:footer="0" w:header="0"/>
          <w:type w:val="continuous"/>
        </w:sectPr>
      </w:pPr>
    </w:p>
    <w:p>
      <w:pPr>
        <w:jc w:val="center"/>
        <w:ind w:left="1840"/>
        <w:spacing w:after="0"/>
        <w:rPr>
          <w:sz w:val="20"/>
          <w:szCs w:val="20"/>
          <w:color w:val="auto"/>
        </w:rPr>
      </w:pPr>
      <w:r>
        <w:rPr>
          <w:rFonts w:ascii="Arial" w:cs="Arial" w:eastAsia="Arial" w:hAnsi="Arial"/>
          <w:sz w:val="14"/>
          <w:szCs w:val="14"/>
          <w:color w:val="auto"/>
        </w:rPr>
        <w:t>(Do not check if a</w:t>
      </w:r>
    </w:p>
    <w:p>
      <w:pPr>
        <w:jc w:val="center"/>
        <w:ind w:left="184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60"/>
        <w:spacing w:after="0"/>
        <w:rPr>
          <w:sz w:val="20"/>
          <w:szCs w:val="20"/>
          <w:color w:val="auto"/>
        </w:rPr>
      </w:pPr>
      <w:r>
        <w:rPr>
          <w:rFonts w:ascii="Arial" w:cs="Arial" w:eastAsia="Arial" w:hAnsi="Arial"/>
          <w:sz w:val="15"/>
          <w:szCs w:val="15"/>
          <w:color w:val="auto"/>
        </w:rPr>
        <w:t>The number of shares of the Registrant's Common Stock, $0.00001 par value per share, outstanding as of October 29, 2015 was 46,444,694.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FOR THE THREE AND NINE MONTHS 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800" w:type="dxa"/>
            <w:vAlign w:val="bottom"/>
            <w:gridSpan w:val="2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800" w:type="dxa"/>
            <w:vAlign w:val="bottom"/>
            <w:gridSpan w:val="2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September 30, 2015 (unaudited) and December 31, 2014</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for the Three and Nine Months Ended September 30, 2015 and 2014</w:t>
              </w:r>
            </w:hyperlink>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w:t>
              </w:r>
            </w:hyperlink>
          </w:p>
        </w:tc>
        <w:tc>
          <w:tcPr>
            <w:tcW w:w="684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(Loss) for the Three and Nine Months Ended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2015 and 2014 (unaudited)</w:t>
              </w:r>
            </w:hyperlink>
          </w:p>
        </w:tc>
        <w:tc>
          <w:tcPr>
            <w:tcW w:w="98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Cash Flows for the Nine Months Ended September 30, 2015 and 2014</w:t>
              </w:r>
            </w:hyperlink>
          </w:p>
        </w:tc>
        <w:tc>
          <w:tcPr>
            <w:tcW w:w="9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(unaudited)</w:t>
              </w:r>
            </w:hyperlink>
          </w:p>
        </w:tc>
        <w:tc>
          <w:tcPr>
            <w:tcW w:w="684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gridSpan w:val="1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39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7840" w:type="dxa"/>
            <w:vAlign w:val="bottom"/>
            <w:gridSpan w:val="20"/>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MANAGEMENT'S DISCUSSION AND ANALYSIS OF FINANCIAL CONDITION AND RESULTS OF</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OPERATIONS</w:t>
              </w:r>
            </w:hyperlink>
          </w:p>
        </w:tc>
        <w:tc>
          <w:tcPr>
            <w:tcW w:w="2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3.</w:t>
              </w:r>
            </w:hyperlink>
          </w:p>
        </w:tc>
        <w:tc>
          <w:tcPr>
            <w:tcW w:w="440" w:type="dxa"/>
            <w:vAlign w:val="bottom"/>
            <w:gridSpan w:val="2"/>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QUANTITATIVE AND QUALITATIVE DISCLOSURES ABOUT MARKET RISK</w:t>
              </w:r>
            </w:hyperlink>
          </w:p>
        </w:tc>
        <w:tc>
          <w:tcPr>
            <w:tcW w:w="184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784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4"/>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LEGAL PROCEEDINGS</w:t>
              </w:r>
            </w:hyperlink>
          </w:p>
        </w:tc>
        <w:tc>
          <w:tcPr>
            <w:tcW w:w="600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Item 1A.</w:t>
              </w:r>
            </w:hyperlink>
          </w:p>
        </w:tc>
        <w:tc>
          <w:tcPr>
            <w:tcW w:w="320" w:type="dxa"/>
            <w:vAlign w:val="bottom"/>
          </w:tcPr>
          <w:p>
            <w:pPr>
              <w:spacing w:after="0"/>
              <w:rPr>
                <w:sz w:val="24"/>
                <w:szCs w:val="24"/>
                <w:color w:val="auto"/>
              </w:rPr>
            </w:pPr>
          </w:p>
        </w:tc>
        <w:tc>
          <w:tcPr>
            <w:tcW w:w="784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4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3.</w:t>
              </w:r>
            </w:hyperlink>
          </w:p>
        </w:tc>
        <w:tc>
          <w:tcPr>
            <w:tcW w:w="440" w:type="dxa"/>
            <w:vAlign w:val="bottom"/>
            <w:gridSpan w:val="2"/>
          </w:tcPr>
          <w:p>
            <w:pPr>
              <w:spacing w:after="0"/>
              <w:rPr>
                <w:sz w:val="24"/>
                <w:szCs w:val="24"/>
                <w:color w:val="auto"/>
              </w:rPr>
            </w:pPr>
          </w:p>
        </w:tc>
        <w:tc>
          <w:tcPr>
            <w:tcW w:w="31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DEFAULTS UPON SENIOR SECURITIES</w:t>
              </w:r>
            </w:hyperlink>
          </w:p>
        </w:tc>
        <w:tc>
          <w:tcPr>
            <w:tcW w:w="2780" w:type="dxa"/>
            <w:vAlign w:val="bottom"/>
            <w:tcBorders>
              <w:top w:val="single" w:sz="8" w:color="0000EE"/>
            </w:tcBorders>
            <w:gridSpan w:val="2"/>
          </w:tcPr>
          <w:p>
            <w:pPr>
              <w:spacing w:after="0"/>
              <w:rPr>
                <w:sz w:val="24"/>
                <w:szCs w:val="24"/>
                <w:color w:val="auto"/>
              </w:rPr>
            </w:pPr>
          </w:p>
        </w:tc>
        <w:tc>
          <w:tcPr>
            <w:tcW w:w="192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4.</w:t>
              </w:r>
            </w:hyperlink>
          </w:p>
        </w:tc>
        <w:tc>
          <w:tcPr>
            <w:tcW w:w="440" w:type="dxa"/>
            <w:vAlign w:val="bottom"/>
            <w:gridSpan w:val="2"/>
          </w:tcPr>
          <w:p>
            <w:pPr>
              <w:spacing w:after="0"/>
              <w:rPr>
                <w:sz w:val="24"/>
                <w:szCs w:val="24"/>
                <w:color w:val="auto"/>
              </w:rPr>
            </w:pPr>
          </w:p>
        </w:tc>
        <w:tc>
          <w:tcPr>
            <w:tcW w:w="784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34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5.</w:t>
              </w:r>
            </w:hyperlink>
          </w:p>
        </w:tc>
        <w:tc>
          <w:tcPr>
            <w:tcW w:w="440" w:type="dxa"/>
            <w:vAlign w:val="bottom"/>
            <w:gridSpan w:val="2"/>
          </w:tcPr>
          <w:p>
            <w:pPr>
              <w:spacing w:after="0"/>
              <w:rPr>
                <w:sz w:val="24"/>
                <w:szCs w:val="24"/>
                <w:color w:val="auto"/>
              </w:rPr>
            </w:pPr>
          </w:p>
        </w:tc>
        <w:tc>
          <w:tcPr>
            <w:tcW w:w="2380" w:type="dxa"/>
            <w:vAlign w:val="bottom"/>
            <w:tcBorders>
              <w:top w:val="single" w:sz="8" w:color="0000EE"/>
            </w:tcBorders>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546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440" w:type="dxa"/>
            <w:vAlign w:val="bottom"/>
            <w:gridSpan w:val="2"/>
          </w:tcPr>
          <w:p>
            <w:pPr>
              <w:spacing w:after="0"/>
              <w:rPr>
                <w:sz w:val="24"/>
                <w:szCs w:val="24"/>
                <w:color w:val="auto"/>
              </w:rPr>
            </w:pPr>
          </w:p>
        </w:tc>
        <w:tc>
          <w:tcPr>
            <w:tcW w:w="184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00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40" w:type="dxa"/>
            <w:vAlign w:val="bottom"/>
            <w:gridSpan w:val="1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14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59">
              <w:r>
                <w:rPr>
                  <w:rFonts w:ascii="Arial" w:cs="Arial" w:eastAsia="Arial" w:hAnsi="Arial"/>
                  <w:sz w:val="18"/>
                  <w:szCs w:val="18"/>
                  <w:b w:val="1"/>
                  <w:bCs w:val="1"/>
                  <w:color w:val="0000EE"/>
                  <w:w w:val="94"/>
                </w:rPr>
                <w:t>SIGNATURES</w:t>
              </w:r>
            </w:hyperlink>
          </w:p>
        </w:tc>
        <w:tc>
          <w:tcPr>
            <w:tcW w:w="7660" w:type="dxa"/>
            <w:vAlign w:val="bottom"/>
            <w:gridSpan w:val="1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12"/>
          </w:tcPr>
          <w:p>
            <w:pPr>
              <w:ind w:left="358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2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1"/>
        </w:trPr>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20" w:type="dxa"/>
            <w:vAlign w:val="bottom"/>
            <w:gridSpan w:val="4"/>
          </w:tcPr>
          <w:p>
            <w:pPr>
              <w:ind w:left="2920"/>
              <w:spacing w:after="0"/>
              <w:rPr>
                <w:sz w:val="20"/>
                <w:szCs w:val="20"/>
                <w:color w:val="auto"/>
              </w:rPr>
            </w:pPr>
            <w:r>
              <w:rPr>
                <w:rFonts w:ascii="Arial" w:cs="Arial" w:eastAsia="Arial" w:hAnsi="Arial"/>
                <w:sz w:val="18"/>
                <w:szCs w:val="18"/>
                <w:b w:val="1"/>
                <w:bCs w:val="1"/>
                <w:color w:val="auto"/>
              </w:rPr>
              <w:t>PART I—FINANCIAL INFORMATION</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ind w:left="3280"/>
              <w:spacing w:after="0"/>
              <w:rPr>
                <w:sz w:val="20"/>
                <w:szCs w:val="20"/>
                <w:color w:val="auto"/>
              </w:rPr>
            </w:pPr>
            <w:r>
              <w:rPr>
                <w:rFonts w:ascii="Arial" w:cs="Arial" w:eastAsia="Arial" w:hAnsi="Arial"/>
                <w:sz w:val="18"/>
                <w:szCs w:val="18"/>
                <w:b w:val="1"/>
                <w:bCs w:val="1"/>
                <w:color w:val="auto"/>
              </w:rPr>
              <w:t>Item 1.</w:t>
            </w:r>
          </w:p>
        </w:tc>
        <w:tc>
          <w:tcPr>
            <w:tcW w:w="2860" w:type="dxa"/>
            <w:vAlign w:val="bottom"/>
            <w:gridSpan w:val="3"/>
          </w:tcPr>
          <w:p>
            <w:pPr>
              <w:jc w:val="right"/>
              <w:ind w:right="1171"/>
              <w:spacing w:after="0"/>
              <w:rPr>
                <w:sz w:val="20"/>
                <w:szCs w:val="20"/>
                <w:color w:val="auto"/>
              </w:rPr>
            </w:pPr>
            <w:r>
              <w:rPr>
                <w:rFonts w:ascii="Arial" w:cs="Arial" w:eastAsia="Arial" w:hAnsi="Arial"/>
                <w:sz w:val="18"/>
                <w:szCs w:val="18"/>
                <w:b w:val="1"/>
                <w:bCs w:val="1"/>
                <w:color w:val="auto"/>
                <w:w w:val="87"/>
              </w:rPr>
              <w:t>Financial Statements.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4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4"/>
          </w:tcPr>
          <w:p>
            <w:pPr>
              <w:ind w:left="3260"/>
              <w:spacing w:after="0"/>
              <w:rPr>
                <w:sz w:val="20"/>
                <w:szCs w:val="20"/>
                <w:color w:val="auto"/>
              </w:rPr>
            </w:pPr>
            <w:r>
              <w:rPr>
                <w:rFonts w:ascii="Arial" w:cs="Arial" w:eastAsia="Arial" w:hAnsi="Arial"/>
                <w:sz w:val="18"/>
                <w:szCs w:val="18"/>
                <w:b w:val="1"/>
                <w:bCs w:val="1"/>
                <w:color w:val="auto"/>
              </w:rPr>
              <w:t>ELDORADO RESORTS, INC.</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4"/>
          </w:tcPr>
          <w:p>
            <w:pPr>
              <w:ind w:left="2920"/>
              <w:spacing w:after="0"/>
              <w:rPr>
                <w:sz w:val="20"/>
                <w:szCs w:val="20"/>
                <w:color w:val="auto"/>
              </w:rPr>
            </w:pPr>
            <w:r>
              <w:rPr>
                <w:rFonts w:ascii="Arial" w:cs="Arial" w:eastAsia="Arial" w:hAnsi="Arial"/>
                <w:sz w:val="18"/>
                <w:szCs w:val="18"/>
                <w:b w:val="1"/>
                <w:bCs w:val="1"/>
                <w:color w:val="auto"/>
              </w:rPr>
              <w:t>CONSOLIDATED BALANCE SHEETS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4"/>
          </w:tcPr>
          <w:p>
            <w:pPr>
              <w:ind w:left="3620"/>
              <w:spacing w:after="0"/>
              <w:rPr>
                <w:sz w:val="20"/>
                <w:szCs w:val="20"/>
                <w:color w:val="auto"/>
              </w:rPr>
            </w:pPr>
            <w:r>
              <w:rPr>
                <w:rFonts w:ascii="Arial" w:cs="Arial" w:eastAsia="Arial" w:hAnsi="Arial"/>
                <w:sz w:val="18"/>
                <w:szCs w:val="18"/>
                <w:b w:val="1"/>
                <w:bCs w:val="1"/>
                <w:color w:val="auto"/>
              </w:rPr>
              <w:t>(dollars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87,604</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5,734</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Escrow cash</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7,112</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from unconsolidated affiliates</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7,234</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117,493</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1"/>
              </w:rPr>
              <w:t>Investment in and advances to unconsolidated affiliates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14,009</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456,139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Gaming licenses and other intangibles, net</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491,913</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Non-operating real property</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16,419</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1,171,559</w:t>
            </w:r>
          </w:p>
        </w:tc>
        <w:tc>
          <w:tcPr>
            <w:tcW w:w="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20" w:type="dxa"/>
            <w:vAlign w:val="bottom"/>
            <w:gridSpan w:val="4"/>
            <w:shd w:val="clear" w:color="auto" w:fill="CCEEFF"/>
          </w:tcPr>
          <w:p>
            <w:pPr>
              <w:ind w:left="13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12,184</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gaming taxes and assessments</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9,441</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other liabilities</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26,788</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2,608</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to unconsolidated affiliates</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91,844</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775,059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144,439</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1,012,138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1,019,937</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rPr>
              <w:t>Common stock, 100,000,000 shares authorized, 46,444,694 issued and outstanding, par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$0.00001</w:t>
            </w:r>
          </w:p>
        </w:tc>
        <w:tc>
          <w:tcPr>
            <w:tcW w:w="2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Paid-in capital</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165,857</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(14,425)</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Stockholders' equity before non-controlling interest</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151,622</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1,171,559</w:t>
            </w:r>
          </w:p>
        </w:tc>
        <w:tc>
          <w:tcPr>
            <w:tcW w:w="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80"/>
          </w:cols>
          <w:pgMar w:left="240" w:top="108"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Casino</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156,357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63,457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460,807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Pari-mutuel commissions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Food and beverage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69,717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Hotel</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Less—promotional allowances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(15,996)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(11,579)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(47,077)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operating revenues</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Casino</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Pari-mutuel commissions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Food and beverage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Hotel</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Marketing and promotions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on sale or disposal of property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Equity in income of unconsolidated affiliates</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early retirement of debt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(14,482)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(48,946)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(13,398)</w:t>
            </w: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Net income (loss) before income taxes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of common stock:</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Basic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 average number of shares outstanding:</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46,516,614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26,075,022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46,509,369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24,242,791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46,763,589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26,075,022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46,620,959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24,242,791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418"/>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498"/>
              <w:spacing w:after="0"/>
              <w:rPr>
                <w:sz w:val="20"/>
                <w:szCs w:val="20"/>
                <w:color w:val="auto"/>
              </w:rPr>
            </w:pPr>
            <w:r>
              <w:rPr>
                <w:rFonts w:ascii="Arial" w:cs="Arial" w:eastAsia="Arial" w:hAnsi="Arial"/>
                <w:sz w:val="14"/>
                <w:szCs w:val="14"/>
                <w:b w:val="1"/>
                <w:bCs w:val="1"/>
                <w:color w:val="auto"/>
              </w:rPr>
              <w:t>Nine Months</w:t>
            </w: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218"/>
              <w:spacing w:after="0"/>
              <w:rPr>
                <w:sz w:val="20"/>
                <w:szCs w:val="20"/>
                <w:color w:val="auto"/>
              </w:rPr>
            </w:pPr>
            <w:r>
              <w:rPr>
                <w:rFonts w:ascii="Arial" w:cs="Arial" w:eastAsia="Arial" w:hAnsi="Arial"/>
                <w:sz w:val="14"/>
                <w:szCs w:val="14"/>
                <w:b w:val="1"/>
                <w:bCs w:val="1"/>
                <w:color w:val="auto"/>
                <w:w w:val="88"/>
              </w:rPr>
              <w:t>Ended 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258"/>
              <w:spacing w:after="0"/>
              <w:rPr>
                <w:sz w:val="20"/>
                <w:szCs w:val="20"/>
                <w:color w:val="auto"/>
              </w:rPr>
            </w:pPr>
            <w:r>
              <w:rPr>
                <w:rFonts w:ascii="Arial" w:cs="Arial" w:eastAsia="Arial" w:hAnsi="Arial"/>
                <w:sz w:val="14"/>
                <w:szCs w:val="14"/>
                <w:b w:val="1"/>
                <w:bCs w:val="1"/>
                <w:color w:val="auto"/>
                <w:w w:val="88"/>
              </w:rPr>
              <w:t>Ended September 30,</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(3,488)</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Defined benefit pension plan: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Amortization of net gain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Minimum pension liability adjustment of unconsolidated affiliate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(166)</w:t>
            </w:r>
          </w:p>
        </w:tc>
      </w:tr>
      <w:tr>
        <w:trPr>
          <w:trHeight w:val="210"/>
        </w:trPr>
        <w:tc>
          <w:tcPr>
            <w:tcW w:w="56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4,030</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(3,488)</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42,454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13,786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debt issuance costs and (premium) discount</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Loss on early retirement of debt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 in income of unconsolidated affiliates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(3,019)</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Distributions from unconsolidated affiliate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Loss on sale or disposal of property</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bad debts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Change in fair value of acquisition related contingencies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deferred income taxes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(563)</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Prepaid expenses and other</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Interest payable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(20,593)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5,758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 payable</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Accrued and other liabilities and due to unconsolidated affiliates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1,760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4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20,412</w:t>
            </w:r>
          </w:p>
        </w:tc>
        <w:tc>
          <w:tcPr>
            <w:tcW w:w="160" w:type="dxa"/>
            <w:vAlign w:val="bottom"/>
            <w:shd w:val="clear" w:color="auto" w:fill="CCEEFF"/>
          </w:tcPr>
          <w:p>
            <w:pPr>
              <w:spacing w:after="0"/>
              <w:rPr>
                <w:sz w:val="12"/>
                <w:szCs w:val="12"/>
                <w:color w:val="auto"/>
              </w:rPr>
            </w:pPr>
          </w:p>
        </w:tc>
      </w:tr>
      <w:tr>
        <w:trPr>
          <w:trHeight w:val="142"/>
        </w:trPr>
        <w:tc>
          <w:tcPr>
            <w:tcW w:w="6140" w:type="dxa"/>
            <w:vAlign w:val="bottom"/>
            <w:gridSpan w:val="2"/>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 net of payables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(4,565)</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acquired in acquisition, net of cash used to repurchase stock of $30 million</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Cash escrow deposit required for acquisition</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(55,460)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restricted cash related to credit support</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(Increase) decrease in other assets, net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(78,312)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49,082</w:t>
            </w:r>
          </w:p>
        </w:tc>
        <w:tc>
          <w:tcPr>
            <w:tcW w:w="160" w:type="dxa"/>
            <w:vAlign w:val="bottom"/>
            <w:shd w:val="clear" w:color="auto" w:fill="CCEEFF"/>
          </w:tcPr>
          <w:p>
            <w:pPr>
              <w:spacing w:after="0"/>
              <w:rPr>
                <w:sz w:val="12"/>
                <w:szCs w:val="12"/>
                <w:color w:val="auto"/>
              </w:rPr>
            </w:pPr>
          </w:p>
        </w:tc>
      </w:tr>
      <w:tr>
        <w:trPr>
          <w:trHeight w:val="142"/>
        </w:trPr>
        <w:tc>
          <w:tcPr>
            <w:tcW w:w="6140" w:type="dxa"/>
            <w:vAlign w:val="bottom"/>
            <w:gridSpan w:val="2"/>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issuance of Senior Notes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Proceeds from issuance of New Term Loan</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425,000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 under New Revolving Credit Facility</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Retirement of long-term debt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(728,664)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Principal payments on New Revolving Credit Facility and New Term Loan</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(23,063)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Payments of long-term debt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under capital lease obligations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Payment of financing and issuance costs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(25,223)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Premium payment on early retirement of debt</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Cash distributions to members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(576)</w:t>
            </w: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Repurchase of stock</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18,931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(8,178)</w:t>
            </w:r>
          </w:p>
        </w:tc>
      </w:tr>
      <w:tr>
        <w:trPr>
          <w:trHeight w:val="142"/>
        </w:trPr>
        <w:tc>
          <w:tcPr>
            <w:tcW w:w="6140" w:type="dxa"/>
            <w:vAlign w:val="bottom"/>
            <w:gridSpan w:val="2"/>
          </w:tcPr>
          <w:p>
            <w:pPr>
              <w:spacing w:after="0" w:line="142" w:lineRule="exact"/>
              <w:rPr>
                <w:sz w:val="20"/>
                <w:szCs w:val="20"/>
                <w:color w:val="auto"/>
              </w:rPr>
            </w:pPr>
            <w:r>
              <w:rPr>
                <w:rFonts w:ascii="Arial" w:cs="Arial" w:eastAsia="Arial" w:hAnsi="Arial"/>
                <w:sz w:val="14"/>
                <w:szCs w:val="14"/>
                <w:color w:val="auto"/>
              </w:rPr>
              <w:t>(DECREASE) INCREASE IN CASH AND CASH EQUIVALENTS</w:t>
            </w: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(38,853)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61,316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87,604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29,813</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20" w:type="dxa"/>
            <w:vAlign w:val="bottom"/>
          </w:tcPr>
          <w:p>
            <w:pPr>
              <w:ind w:left="120"/>
              <w:spacing w:after="0" w:line="142" w:lineRule="exact"/>
              <w:rPr>
                <w:sz w:val="20"/>
                <w:szCs w:val="20"/>
                <w:color w:val="auto"/>
              </w:rPr>
            </w:pPr>
            <w:r>
              <w:rPr>
                <w:rFonts w:ascii="Arial" w:cs="Arial" w:eastAsia="Arial" w:hAnsi="Arial"/>
                <w:sz w:val="14"/>
                <w:szCs w:val="14"/>
                <w:color w:val="auto"/>
              </w:rPr>
              <w:t>CASH AND CASH EQUIVALENTS, END OF PERIOD</w:t>
            </w:r>
          </w:p>
        </w:tc>
        <w:tc>
          <w:tcPr>
            <w:tcW w:w="14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48,751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91,129</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1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SUPPLEMENTAL DISCLOSURE OF CASH FLOW INFORMATION:</w:t>
            </w: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Interest paid</w:t>
            </w: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74,806</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7,377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during period for income taxes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Payables for purchase of property and equipment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distribution of Tamarack investment</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5,479</w:t>
            </w:r>
          </w:p>
        </w:tc>
        <w:tc>
          <w:tcPr>
            <w:tcW w:w="1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accompanying unaudited consolidated financial statements include the accounts of Eldorado Resorts, Inc. ("ERI" or the "Company"), a Nevada corporation formed in September 2013, and its consolidated subsidiaries. As explained in greater detail in Note 2, ERI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HoldCo and MTR Gaming each became a wholly owned subsidiary of ERI and, as a result of such transactions, Resorts became an indirect wholly owned subsidiary of ERI. The Merger was accounted for as a reverse acquisition of MTR Gaming by HoldCo under accounting principles generally accepted in the United States ("US GAAP"). As a result, HoldCo is considered the acquirer of MTR Gaming for accounting purposes. The accompanying unaudited consolidated financial statements for periods prior to the Merger Date are those of HoldCo and its subsidiaries, and for periods subsequent to the Merger Date, include MTR Gaming and its subsidiaries. Intercompany accounts and transactions have been eliminated in consolidation.</w:t>
      </w:r>
    </w:p>
    <w:p>
      <w:pPr>
        <w:spacing w:after="0" w:line="177"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Resorts owns and operates the Eldorado Hotel and Casino, a premier hotel, casino and entertainment facility centrally located in downtown Reno, Nevada (the "Eldorado Reno"), which opened for business in 1973. Resorts also owns Eldorado Resort Casino Shreveport ("Eldorado Shreveport"), a 403-room all suite art deco-style hotel and a tri-level riverboat dockside casino complex situated on the Red River in Shreveport, Louisiana, which commenced operations under its previous owners in December 2000.</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Resorts also owns a 48.1% interest in the Circus and Eldorado Joint Venture, LLC (the "Silver Legacy Joint Venture") which owns the Silver Legacy Resort Casino (the "Silver Legacy"), a major themed hotel and casino situated between and seamlessly connected at the mezzanine level to the Eldorado Reno and Circus Circus Reno, a hotel and casino owned and operated by Galleon, Inc. ("Galleon"), an indirect, wholly owned subsidiary of MGM Resorts International ("MGM"). Galleon owns 50% of the interests of the Silver Legacy Joint Venture. In addition, certain of our subsidiaries have entered into an agreement with subsidiaries of MGM to acquire the remaining 50% of the Silver Legacy Joint Venture and all of the assets and properties of Circus Circus Reno (the "Circus Reno/Silver Legacy Purchase"), and we have guaranteed the obligations of such subsidiaries thereunder (see Note 13). We expect to acquire the remaining 1.9% indirect interest in the Silver Legacy Joint Venture that is held by certain of our affiliates in connection with the consummation of Circus Reno/Silver Legacy Purchase.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Resorts previously owned a 21.3% interest in Tamarack Crossing, LLC ("Tamarack"), a Nevada limited liability company that owned and operated Tamarack Junction, a casino in south Reno which commenced operations on September 4, 2001. On September 1, 2014, and as a condition to closing the Merger, Resorts distributed to HoldCo, and HoldCo subsequently distributed to its members on a pro rata basis, Resorts' interest in Tamarack. No gain or loss was recognized as a result of such distribution because the distribution was in the amount of the book value of Tamarack and totaled $5.5 million.</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MTR Gaming is a hospitality and gaming company with racetrack, gaming and hotel properties in West Virginia, Pennsylvania and Ohio. MTR Gaming, through its wholly owned subsidiaries, owns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accompanying unaudited consolidated financial statements of the Company and its subsidiaries have been prepared in accordance with US GAAP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executive decision makers of the Company review operating results, assess performance and make decisions on a "significant market" basis. Accordingly, the Company considers the Eldorado Reno, Eldorado Shreveport and MTR Gaming properties to be operating segments. Pending the consummation of the Circus Reno/Silver Legacy Purchase, which is expected to occur in November 2015, the Company intends to reassess its segment reporting. Based on this reassessment, the Company's segment reporting may change for the year ended December 31, 2015.</w:t>
      </w:r>
    </w:p>
    <w:p>
      <w:pPr>
        <w:spacing w:after="0" w:line="16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2014-9, "Revenue from Contracts with Customers", which provides guidance for revenue recognition. The new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fiscal years, and interim periods within those years, beginning after December 15, 2017 with early adoption permitted effective for fiscal years, and interim periods within those years, beginning after December 15, 2016. The Company is currently evaluating the effects, if any, adoption of this guidance will have on its consolidated financial statements.</w:t>
      </w:r>
    </w:p>
    <w:p>
      <w:pPr>
        <w:spacing w:after="0" w:line="17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February 2015, the FASB issued ASU No. 2015-2, "Consolidation: Amendments to the Consolidation Analysis" (Topic 810) which provides guidance to companies in evaluating whether certain legal entities should be included in their consolidated financial statements. This guidance is effective for annual periods beginning after December 15, 2015. Early adoption is permitted, including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adoption in an interim period. The Company believes the effects, if any, of the adoption of this guidance will not have a material impact on its consolidated financial statements.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April 2015, the FASB issued ASU No. 2015-3, "Interest—Imputation of Interest" (Subtopic 835-30) which requires debt issuance costs be presented in the balance sheet as a direct reduction of the associated debt obligation, with the amortization of such costs being reported as a component of interest expense. The description of the debt obligation will also include the effective interest rate resulting from the amortization of debt issuance costs. This guidance is effective for annual periods beginning after December 15, 2015 and interim periods within such annual periods. Early adoption is permitted, including adoption in an interim period. The new guidance is to be adopted on a retrospective basis with appropriate disclosure reflecting a change in accounting principle. The Company adopted of this guidance during the third quarter of 2015 in conjunction with the refinancing of the Company's debt (see Notes 5 and 7). The adoption of this guidance did not have a material impact on the Company's consolidated financial statements.</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September 2015, the FASB issued ASU No. 2015-16, "Business Combinations" (Topic 805) which requires that an acquirer retrospectively adjust provisional amounts recognized in a business combination during the measurement period. To simplify the accounting for adjustments made to provisional amounts, the amendments in the update require that the acquirer recognize adjustments to provisional amounts that are identified during the measurement period in the reporting period in which the adjustment amount is determined. The acquirer is required to also record, in the same period's financial statements, the effect on earnings of changes in depreciation, amortization, or other income effects, if any, as a result of the change to the provisional amounts, calculated as if the accounting had been completed at the acquisition date. In addition an entity is required to present separately on the face of the income statement or disclose in the notes to the financial statements the portion of the amount recorded in current-period earnings by line item that would have been recorded in previous reporting periods if the adjustment to the provisional amounts had been recognized as of the acquisition date. The Company believes the effects, if any, of the adoption of this guidance will not have a material impact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 $3.8 million reclassification from "Other Assets" to a reduction of "Long-Term Debt" associated with the aforementioned adoption of ASU No. 2015-3, "Interest—Imputation of Interest," have been made to the 2014 consolidated financial statements to conform to the 2015 presentation and have no effect on previously reported net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MTR Gaming Merger and Purchase Accounting</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Merger has been accounted for as a reverse acquisition of MTR Gaming by HoldCo under which HoldCo is considered the acquirer for accounting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Transferred</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total consideration paid was $103.0 million. The purchase consideration in a reverse acquisition was determined with reference to the value of equity the accounting acquirer, HoldCo, would have had to issue to the owners of the accounting acquiree, MTR Gaming, to give them the same percentage interest in the combined entity. However, in a reverse acquisition between a public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MTR Gaming Merger and Purchase Accounting (Continued)</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company as the legal acquirer and a private company as the accounting acquirer, the fair value of the legal acquirer's publicly traded stock generally is a more reliable determination of the fair value of the purchase consideration than the fair value of the accounting acquirer's untraded equity security, and, as such, was used in calculating the purchase consideration. Accordingly, the following table provides the calculation of the purchase price using the fair value of the outstanding common stock of MTR Gaming based on the closing stock price of $4.43 on the Merger Date, as well as a reconciliation of the total shares outstanding on the Merger Date.</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ERI Outstanding Share Calculation: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Shares issued to HoldCo(1)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23,286,202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MTR Gaming shares outstanding on the Merger Date(2)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28,386,084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RSUs that vested upon closing of the Merger(3)</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ERI shares outstanding—before share repurchase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52,171,465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shares acquired at $6.05 per share based on $35.0 million cash election(4)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(5,785,123)</w:t>
            </w: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ERI shares outstanding at Merger Date(5)</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46,386,342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Resorts % ownership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50.20%</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MTR Gaming % ownership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49.80%</w:t>
            </w:r>
          </w:p>
        </w:tc>
      </w:tr>
      <w:tr>
        <w:trPr>
          <w:trHeight w:val="431"/>
        </w:trPr>
        <w:tc>
          <w:tcPr>
            <w:tcW w:w="7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Consideration Transferred (dollars in thousands, except stock price)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MTR Gaming shares outstanding at the Merger Date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28,386,084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RSUs that vested upon closing of the Merger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499,179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MTR Gaming shares acquired at $6.05 per share based on $35.0 million cash election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(5,785,123)</w:t>
            </w: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Total net MTR Gaming shares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23,100,140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FMV of MTR Gaming common stock at Merger Date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Fair value of MTR Gaming shares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MTR Gaming stock options(3)</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306" w:lineRule="auto"/>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shares issued to members of HoldCo in the Mergers as merger consideration was determined pursuant to the terms of the merger agreement. The shares have been adjusted based upon the final review, as defined in the merger agreement. As a result, 25,290 escrow shares previously issued were returned to authorized and unissued prior to December 31, 2014.</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of MTR Gaming common stock issued and outstanding immediately prior to closing.</w:t>
      </w:r>
    </w:p>
    <w:p>
      <w:pPr>
        <w:spacing w:after="0" w:line="238" w:lineRule="exact"/>
        <w:rPr>
          <w:rFonts w:ascii="Arial" w:cs="Arial" w:eastAsia="Arial" w:hAnsi="Arial"/>
          <w:sz w:val="18"/>
          <w:szCs w:val="18"/>
          <w:color w:val="auto"/>
        </w:rPr>
      </w:pPr>
    </w:p>
    <w:p>
      <w:pPr>
        <w:ind w:left="1680" w:right="100" w:hanging="531"/>
        <w:spacing w:after="0" w:line="256"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the MTR Gaming 2010 Long-Term Incentive Plan, immediately prior to closing, all outstanding stock options and MTR Gaming RSUs vested and became immediately exercisable. All vested MTR Gaming RSUs were exchanged for one share of ERI common stock. All outstanding stock options became exercisable for shares of ERI common stock with the same terms as the previous awards.</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cash election includes $30.0 million paid by MTR Gaming and $5.0 million paid by HoldCo on the Merger Date.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MTR Gaming Merger and Purchase Accounting (Continued)</w:t>
      </w:r>
    </w:p>
    <w:p>
      <w:pPr>
        <w:spacing w:after="0" w:line="245" w:lineRule="exact"/>
        <w:rPr>
          <w:sz w:val="20"/>
          <w:szCs w:val="20"/>
          <w:color w:val="auto"/>
        </w:rPr>
      </w:pPr>
    </w:p>
    <w:p>
      <w:pPr>
        <w:ind w:left="1680" w:right="20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issued and outstanding, after settlement of the escrow shares, as determined pursuant to the terms of the merger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Allocation</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Merger Date. The fair values were based on management's analysis, including work performed by third-party valuation specialists. The following table summarizes the final purchase price allocation of the acquired assets and assumed liabilities as recorded at fair value on the Merger Date (dollars in thousands):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and other assets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75,031</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289,211</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Intangible assets(1)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20,381</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924,449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46,446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Long-term debt(2)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624,877</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143,104</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821,438</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103,011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35" w:lineRule="exact"/>
        <w:rPr>
          <w:sz w:val="20"/>
          <w:szCs w:val="20"/>
          <w:color w:val="auto"/>
        </w:rPr>
      </w:pPr>
    </w:p>
    <w:p>
      <w:pPr>
        <w:ind w:left="2260" w:hanging="540"/>
        <w:spacing w:after="0"/>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Intangible assets consist of gaming licenses, trade names and customer loyalty programs.</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Long-term debt was comprised of MTR Second Lien Notes totaling $570.7 million.</w:t>
      </w:r>
    </w:p>
    <w:p>
      <w:pPr>
        <w:spacing w:after="0" w:line="238" w:lineRule="exact"/>
        <w:rPr>
          <w:rFonts w:ascii="Arial" w:cs="Arial" w:eastAsia="Arial" w:hAnsi="Arial"/>
          <w:sz w:val="18"/>
          <w:szCs w:val="18"/>
          <w:color w:val="auto"/>
        </w:rPr>
      </w:pPr>
    </w:p>
    <w:p>
      <w:pPr>
        <w:ind w:left="2260" w:hanging="540"/>
        <w:spacing w:after="0" w:line="268"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identified intangibles, deferred financing costs, certain long term liabilities and long-term debt.</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Goodwill, the excess of the purchase price of acquiring MTR Gaming over the fair market value of the net assets acquired, in the amount of $66.8 million, was recorded as of the Merger Date. The Company considers the goodwill to represent benefits expected to be realized as a result of the Merger.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following table includes the pro forma results for the three and nine months ended September 30, 2014 which gives effect to the Merger as if it had occurred on January 1, 2014 and reflect proforma adjustments that are expected to have a continuing impact on the results of operations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MTR Gaming Merger and Purchase Accounting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and are directly attributable to the Merger (amounts in thousands, except per share data):</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8"/>
              </w:rPr>
              <w:t>September 30, 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September 30, 2014</w:t>
            </w:r>
          </w:p>
        </w:tc>
        <w:tc>
          <w:tcPr>
            <w:tcW w:w="16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6"/>
          </w:tcPr>
          <w:p>
            <w:pPr>
              <w:jc w:val="right"/>
              <w:ind w:right="1280"/>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191,098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549,605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(loss) income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1,950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common share: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Weighted shares outstanding: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46,411,632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46,411,632</w:t>
            </w:r>
          </w:p>
        </w:tc>
      </w:tr>
      <w:tr>
        <w:trPr>
          <w:trHeight w:val="222"/>
        </w:trPr>
        <w:tc>
          <w:tcPr>
            <w:tcW w:w="3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46,493,926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46,493,926</w:t>
            </w:r>
          </w:p>
        </w:tc>
      </w:tr>
    </w:tbl>
    <w:p>
      <w:pPr>
        <w:spacing w:after="0" w:line="20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Merger had taken place on January 1, 2014, nor are they indicative of the results of operations for future periods. The pro forma amounts include the historical operating results of the Company and MTR Gaming prior to the acquisition, with adjustments directly attributable to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231" w:lineRule="exact"/>
        <w:rPr>
          <w:sz w:val="20"/>
          <w:szCs w:val="20"/>
          <w:color w:val="auto"/>
        </w:rPr>
      </w:pPr>
    </w:p>
    <w:p>
      <w:pPr>
        <w:jc w:val="both"/>
        <w:ind w:right="180" w:firstLine="351"/>
        <w:spacing w:after="0" w:line="290" w:lineRule="auto"/>
        <w:rPr>
          <w:sz w:val="20"/>
          <w:szCs w:val="20"/>
          <w:color w:val="auto"/>
        </w:rPr>
      </w:pPr>
      <w:r>
        <w:rPr>
          <w:rFonts w:ascii="Arial" w:cs="Arial" w:eastAsia="Arial" w:hAnsi="Arial"/>
          <w:sz w:val="16"/>
          <w:szCs w:val="16"/>
          <w:color w:val="auto"/>
        </w:rPr>
        <w:t>Effective March 1, 1994, Eldorado Limited Liability Company, a Nevada limited liability company that is a subsidiary of Resorts ("ELLC") and Galleon, (each a "Partner" and, together, the "Partners"), entered into the Silver Legacy Joint Venture pursuant to a joint venture agreement (the "Original Joint Venture Agreement" and, as amended to date, the "Joint Venture Agreement") to develop the Silver Legacy. The Silver Legacy consists of a casino and hotel located in Reno, Nevada, which began operations on July 28, 1995. Each Partner owns a 50% interest in the Silver Legacy Joint Venture. The Company owns an indirect 48.1% interest in the Silver Legacy Joint Venture. The Company has entered into an agreement to purchase the 50% interest in the Silver Legacy Joint Venture owned by Galleon and expects to acquire the remaining 1.9% interest held by certain of its affiliates in connection with the acquisition of the 50% interest from Galleon. See Note 13 "Pending Acquisitions."</w:t>
      </w:r>
    </w:p>
    <w:p>
      <w:pPr>
        <w:spacing w:after="0" w:line="17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December 2014, Silver Legacy deposited $5.0 million of cash into a cash collateral account securing its obligations under its credit agreement, which reduced the credit support obligation of ELLC and Galleon to $2.5 million each and resulted in the return of $2.5 million of the $5.0 million of collateral that Resorts previously provided as credit support for Silver Legacy's obligations under its credit agreement. In August 2015, the remaining credit support obligation was released upon Silver Legacy's deposit of an additional $5.0 million. The $2.5 million collateral deposit is included in noncurrent restricted cash in the accompanying consolidated balance sheets at December 31, 2014.</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December 16, 2013, the Silver Legacy Joint Venture entered into a new senior secured term loan facility totaling $90.5 million (the "Silver Legacy Credit Facility") to refinance its indebtedness under its then existing senior secured term loan and Silver Legacy Second Lien Notes. The Silver Legacy Credit Facility matures on November 16, 2017. In connection with the Circus Reno/Silver Legacy Purchase, we expect all amounts outstanding under the Silver Legacy Credit Facility will be paid in full and the cash collateral securing such obligations will be released.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 (Continued)</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Equity in income related to the Silver Legacy Joint Venture for the three and nine months ended September 30, 2015 totaled $2.5 million and $3.1 million, respectively. Equity in income for the three and nine months ended September 30, 2014 totaled $1.0 million and $2.3 million,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Summarized information for the Company's investment in and advances to the Silver Legacy Joint Venture as of and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was as follows (in thousands):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4"/>
                <w:szCs w:val="14"/>
                <w:b w:val="1"/>
                <w:bCs w:val="1"/>
                <w:color w:val="auto"/>
                <w:w w:val="83"/>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Equity in income of unconsolidated affiliate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r>
      <w:tr>
        <w:trPr>
          <w:trHeight w:val="20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(minimum pension liability adjustment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affiliate)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16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balance sheet information for the Silver Legacy Joint Venture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30,563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184,319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190,592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6,412</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227,567</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19,677</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18,707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89,322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Partners'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119,538</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Total liabilities and partners'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232,454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227,567</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results of operations for the Silver Legacy Joint Venture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6"/>
          </w:tcPr>
          <w:p>
            <w:pPr>
              <w:jc w:val="center"/>
              <w:ind w:right="204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6"/>
          </w:tcPr>
          <w:p>
            <w:pPr>
              <w:jc w:val="center"/>
              <w:ind w:right="20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38,028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(29,953)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(29,645)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(82,850)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(84,667)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expense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(8,319)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vMerge w:val="restart"/>
          </w:tcPr>
          <w:p>
            <w:pPr>
              <w:jc w:val="right"/>
              <w:ind w:right="92"/>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231"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 xml:space="preserve">The Company accounts for stock-based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Total stock-based compensation expense recognized was $0.3 million and $1.2 million during the three and nine months ended September 30, 2015. There was no stock based compensation in 2014. These amounts are included in general and administrative expenses in the Company's consolidated statements of operations.</w:t>
      </w:r>
    </w:p>
    <w:p>
      <w:pPr>
        <w:spacing w:after="0" w:line="16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("SARs"),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Other stock-based awards will consist of any right which is not an ERI Stock Option, SAR, RSU, or performance award, and an award based on shares of the Company's common stock.</w:t>
      </w:r>
    </w:p>
    <w:p>
      <w:pPr>
        <w:spacing w:after="0" w:line="17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January 23, 2015, the Compensation Committee of the BOD of the Company approved the grant of 685,606 RSUs with a fair value of $4.03 per unit, the NASDAQ average price per share on that date, to executive officers and certain key employees under the 2015 Plan, and the grant of 89,900 RSUs with a fair value of $4.03 per unit, the NASDAQ average price per share on that date, to non-employee members of the BOD under the 2015 Plan. Such awards became effective upon our shareholders' approval of the 2015 Plan on June 23, 2015.</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September 19, 2014, as a result of the Merger, all outstanding MTR Gaming stock options ("MTR Stock Options") vested (to the extent not already vested) and converted into an option or right to purchase the same number of shares of ERI common stock (at the same exercise price per share as in effect prior to such conversion). All other terms, except vesting requirements, applicable to such stock options remain the same.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MTR Stock Option activity for the nine months ended September 30, 2015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11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Range of Exercise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0"/>
              </w:rPr>
              <w:t>Prices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1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320" w:type="dxa"/>
            <w:vAlign w:val="bottom"/>
            <w:gridSpan w:val="2"/>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$2.44 - $16.27</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Expired</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(86,000)</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$11.30</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and Exercisable as of</w:t>
            </w: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312,200</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$2.44 - $16.27</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439"/>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for the nine months ended September 30, 2015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RSUs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Unvested outstanding as of December 31, 2014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778,440</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(89,900)</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Unvested outstanding as of September 30, 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September 30, 2015, the Company had approximately $2.2 million of unrecognized compensation expense related to unvested RSUs that is expected to be recognized over a weighted-average period of approximately 2.33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and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and intangible assets, net, consisted of the following amounts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66,826</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Gaming licenses (indefinite-lived)</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482,074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482,074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Customer loyalty program</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493,574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493,574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customer loyalty programs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8"/>
                <w:szCs w:val="18"/>
                <w:color w:val="auto"/>
              </w:rPr>
              <w:t>Total gaming licenses and other intangible assets, net</w:t>
            </w:r>
          </w:p>
        </w:tc>
        <w:tc>
          <w:tcPr>
            <w:tcW w:w="9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486,792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 held for development</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906</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assets,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Goodwill, the excess of the purchase price of acquiring MTR Gaming over the fair market value of the net assets acquired, in the amount of $66.8 million was recorded as of the Merger Date. For financial reporting purposes, goodwill is not amortized, but is reviewed no less than annually or when events or circumstances indicate the carrying value might exceed the market value to determine if there has been an impairment in the recorded value.</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gaming licenses represents intangible assets acquired from the purchase of a gaming entity located in a gaming jurisdiction where competition is limited, such as when only a limited number of gaming operators are allowed to operate. Included in gaming licenses are the gaming and racing licenses of Mountaineer, Presque Isle Downs and Scioto Downs totaling $461.5 million, which reflects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and Intangible Assets, net (Continued)</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fair value of the licenses calculated as of the Merger Date, as well as the Eldorado Shreveport gaming license in the amount of $20.6 million as of September 30, 2015 and December 31, 2014. Gaming license rights are not subject to amortization as the Company has determined that they have an indefinite useful life.</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Trade names are amortized on a straight-line basis over a 3.5 year useful life and the customer loyalty program was amortized on a straight-line basis over a one year useful life. Amortization expense with respect to trade names and the customer loyalty program for the three and nine months ended September 30, 2015 was $1.5 million and $5.0 million, respectively, and $0.2 million and $1.7 million for the three and nine months ended September 30, 2014, respectively, which is included in depreciation and amortization in the accompanying unaudited consolidated statements of operations. Based upon the amortizable intangible assets as of September 30, 2015, the estimated aggregate future amortization expense is $0.5 million for the remainder of 2015, $1.9 million for the years ended December 31, 2016 and 2017 and $0.4 million for the year ended December 31,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the Merger Date, the Company was taxed as a partnership under the Internal Revenue Code pursuant to which income taxes were primarily the responsibility of the partners. On September 19, 2014, in connection with the Merger, the Company became a C corporation subject to federal and state corporate-level income taxes at prevailing corporate tax rates. The Company files a US federal tax return, and various state and local income tax returns. With few exceptions, the Company is no longer subject to US federal or state and local tax examinations by tax authorities for years before 2011.</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 The income tax provision results in an effective tax rate that has an unusual relation to pretax income (loss). This is due to the federal and state valuation allowances on deferred tax assets as discussed below.</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difference between the effective rate and the statutory rate is attributed primarily to the federal and state valuation allowances on deferred tax assets. As a result of net operating losses and the net deferred tax asset position (after exclusion of certain deferred tax liabilities that generally cannot be offset against deferred tax assets, known as "Naked Credits"), the Company expects to continue to provide for a full valuation allowance against substantially all of the net federal and state deferred tax assets.</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 cash deferred tax expense as we amortize these assets for tax purposes.</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the three and nine months ended September 30, 2015, the Company's tax expense was $2.4 million and $4.5 million, respectively. During the three and nine months ended September 30,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 (Continued)</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2014, the Company's tax expense was $1.2 million. As of September 30, 2015, there are no unrecognized tax benefits and the Company does not expect a significant increase or decrease to the total amounts of unrecognized tax benefits within the next twelve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(9,128)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5700" w:type="dxa"/>
            <w:vAlign w:val="bottom"/>
          </w:tcPr>
          <w:p>
            <w:pPr>
              <w:spacing w:after="0"/>
              <w:rPr>
                <w:sz w:val="20"/>
                <w:szCs w:val="20"/>
                <w:color w:val="auto"/>
              </w:rPr>
            </w:pPr>
            <w:r>
              <w:rPr>
                <w:rFonts w:ascii="Arial" w:cs="Arial" w:eastAsia="Arial" w:hAnsi="Arial"/>
                <w:sz w:val="18"/>
                <w:szCs w:val="18"/>
                <w:color w:val="auto"/>
              </w:rPr>
              <w:t>New Term Loan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423,938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tcPr>
          <w:p>
            <w:pPr>
              <w:ind w:left="18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409,229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432"/>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New Revolving Credit Facility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(2,553)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5700" w:type="dxa"/>
            <w:vAlign w:val="bottom"/>
          </w:tcPr>
          <w:p>
            <w:pPr>
              <w:spacing w:after="0"/>
              <w:rPr>
                <w:sz w:val="20"/>
                <w:szCs w:val="20"/>
                <w:color w:val="auto"/>
              </w:rPr>
            </w:pPr>
            <w:r>
              <w:rPr>
                <w:rFonts w:ascii="Arial" w:cs="Arial" w:eastAsia="Arial" w:hAnsi="Arial"/>
                <w:sz w:val="18"/>
                <w:szCs w:val="18"/>
                <w:color w:val="auto"/>
              </w:rPr>
              <w:t>Resorts Senior Secured Notes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168,000</w:t>
            </w: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w:t>
            </w:r>
          </w:p>
        </w:tc>
      </w:tr>
      <w:tr>
        <w:trPr>
          <w:trHeight w:val="210"/>
        </w:trPr>
        <w:tc>
          <w:tcPr>
            <w:tcW w:w="5700" w:type="dxa"/>
            <w:vAlign w:val="bottom"/>
          </w:tcPr>
          <w:p>
            <w:pPr>
              <w:ind w:left="18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164,229</w:t>
            </w:r>
          </w:p>
        </w:tc>
        <w:tc>
          <w:tcPr>
            <w:tcW w:w="160" w:type="dxa"/>
            <w:vAlign w:val="bottom"/>
          </w:tcPr>
          <w:p>
            <w:pPr>
              <w:spacing w:after="0"/>
              <w:rPr>
                <w:sz w:val="18"/>
                <w:szCs w:val="18"/>
                <w:color w:val="auto"/>
              </w:rPr>
            </w:pPr>
          </w:p>
        </w:tc>
      </w:tr>
      <w:tr>
        <w:trPr>
          <w:trHeight w:val="432"/>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MTR Second Lien Notes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560,664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Add: Unamortized premium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50,163</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610,827</w:t>
            </w:r>
          </w:p>
        </w:tc>
      </w:tr>
      <w:tr>
        <w:trPr>
          <w:trHeight w:val="430"/>
        </w:trPr>
        <w:tc>
          <w:tcPr>
            <w:tcW w:w="5700" w:type="dxa"/>
            <w:vAlign w:val="bottom"/>
          </w:tcPr>
          <w:p>
            <w:pPr>
              <w:spacing w:after="0"/>
              <w:rPr>
                <w:sz w:val="20"/>
                <w:szCs w:val="20"/>
                <w:color w:val="auto"/>
              </w:rPr>
            </w:pPr>
            <w:r>
              <w:rPr>
                <w:rFonts w:ascii="Arial" w:cs="Arial" w:eastAsia="Arial" w:hAnsi="Arial"/>
                <w:sz w:val="18"/>
                <w:szCs w:val="18"/>
                <w:color w:val="auto"/>
              </w:rPr>
              <w:t>Capital leases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0"/>
        </w:trPr>
        <w:tc>
          <w:tcPr>
            <w:tcW w:w="570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786,298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775,059</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Scheduled maturities of long-term debt are $18.0 million in 2020, $395.3 million in 2022 and $375.0 million in 2023. Debt issuance costs and the discount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issuance of the Senior Notes, New Term Loan and New Revolving Credit Facility (as such terms are defined below) in July 2015 totaled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$25.2 million. Amortization of debt issuance costs is computed using the effective interest method, over the term of the bonds, and is included in interest expense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on the accompanying unaudited consolidated statements of operations. Amortization of the debt issuance costs and the discount associated with the Senior Notes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New Credit Facility (as defined below) totaled $0.7 million for the three and nine months ended September 30, 2015.</w:t>
      </w:r>
    </w:p>
    <w:p>
      <w:pPr>
        <w:spacing w:after="0" w:line="219"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Amortization of Resorts' bond costs was computed using the straight-line method, which approximates the effective interest method, over the term of the bonds, and was included in interest expense on the accompanying unaudited consolidated statements of operations. Amortization expense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(Continued)</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respect to deferred financing costs on Resorts Senior Secured Notes (as defined below) amounted to $0.5 million and $0.6 million for each of the nine months ended September 30, 2015 and 2014. Amortization expense with respect to deferred financing costs on Resorts Senior Secured Notes amounted to $0.1 and $0.2 million for the three months ended September 30, 2015 and 2014,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Unamortized costs and discounts associated with the Resorts Senior Secured Notes totaled $3.3 million as of the July 23, 2015 refinancing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Unamortized premiums associated with the MTR Second Lien Notes totaled $43.8 million as of the July 23, 2015 refinancing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July 23, 2015, the Company issued $375 million in aggregate principal amount of 7.0% senior notes due 2023 ("Senior Notes") pursuant to the indenture, dated as of July 23, 2015 (the "Indenture"), at an issue price equal to 100.0% of the aggregate principal amount of the Senior Notes. The Senior Notes are guaranteed by all of the Company's direct and indirect restricted subsidiaries other than immaterial subsidiaries. The Senior Notes will mature on August 1, 2023, with interest payable semi-annually in arrears on February 1 and August 1 of each year.</w:t>
      </w:r>
    </w:p>
    <w:p>
      <w:pPr>
        <w:spacing w:after="0" w:line="167"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The Company used, or will use,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equal to</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$50.0 million, plus interest to the latest possible redemption date, were placed in escrow, to be released only if the Circus Reno/Silver Legacy Purchase is consummated on or prior to April 1, 2016; otherwise, $50.0 million in aggregate principal amount of the Senior Notes will be subject to a special mandatory redemption, on a pro rata basis, at a redemption price equal to 100.0% of the principal amount thereof plus accrued and unpaid interest to, but not including, the redemption date. The Company recognized an $3.6 million loss on the retirement of the Resorts Senior Secured Notes and a $1.8 million gain on the retirement of the MTR Second Lien Notes resulting in a $1.8 million net loss on early retirement of debt during the three and nine months ended September 30, 2015.</w:t>
      </w:r>
    </w:p>
    <w:p>
      <w:pPr>
        <w:spacing w:after="0" w:line="17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2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0"/>
              </w:rPr>
              <w:t>Percentage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5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105.250%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2019</w:t>
            </w:r>
          </w:p>
        </w:tc>
        <w:tc>
          <w:tcPr>
            <w:tcW w:w="5340" w:type="dxa"/>
            <w:vAlign w:val="bottom"/>
            <w:gridSpan w:val="3"/>
          </w:tcPr>
          <w:p>
            <w:pPr>
              <w:jc w:val="right"/>
              <w:ind w:right="20"/>
              <w:spacing w:after="0"/>
              <w:rPr>
                <w:sz w:val="20"/>
                <w:szCs w:val="20"/>
                <w:color w:val="auto"/>
              </w:rPr>
            </w:pPr>
            <w:r>
              <w:rPr>
                <w:rFonts w:ascii="Arial" w:cs="Arial" w:eastAsia="Arial" w:hAnsi="Arial"/>
                <w:sz w:val="18"/>
                <w:szCs w:val="18"/>
                <w:color w:val="auto"/>
              </w:rPr>
              <w:t>103.500%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5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101.750%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5340" w:type="dxa"/>
            <w:vAlign w:val="bottom"/>
            <w:gridSpan w:val="3"/>
          </w:tcPr>
          <w:p>
            <w:pPr>
              <w:jc w:val="right"/>
              <w:ind w:right="20"/>
              <w:spacing w:after="0"/>
              <w:rPr>
                <w:sz w:val="20"/>
                <w:szCs w:val="20"/>
                <w:color w:val="auto"/>
              </w:rPr>
            </w:pPr>
            <w:r>
              <w:rPr>
                <w:rFonts w:ascii="Arial" w:cs="Arial" w:eastAsia="Arial" w:hAnsi="Arial"/>
                <w:sz w:val="18"/>
                <w:szCs w:val="18"/>
                <w:color w:val="auto"/>
              </w:rPr>
              <w:t>100.000%</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0" w:type="dxa"/>
            <w:vAlign w:val="bottom"/>
          </w:tcPr>
          <w:p>
            <w:pPr>
              <w:jc w:val="right"/>
              <w:ind w:right="2872"/>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(Continued)</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7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consolidate, or sell, trainer or otherwise dispose of all or substantially all of the Company's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September 30, 2015, the Company was in compliance with all of the covenants under the Indenture relating to the Senior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July 23, 2015, the Company entered into a new $425.0 million seven year term loan (the "New Term Loan") and a new $150.0 million five year revolving credit facility (the "New Revolving Credit Facility" and, together with the New Term Loan, the "New Credit Facility"). Also on July 23, 2015, the Company borrowed $40.0 million under the New Revolving Credit Facility. As of September 30, 2015, the Company had $423.9 million outstanding on the New Term Loan and $18.0 million in borrowings outstanding under the New Revolving Credit Facility. The Company had $132.0 million of available borrowing capacity under its New Revolving Credit Facility as of September 30, 2015. At September 30, 2015, the interest rate on the New Term Loan was 4.25% and the interest rate on the New Revolving Credit Facility was 3.25%.</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(Continued)</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New Term Loan bears interest at a rate per annum of, at the Company's option, either (x) LIBOR plus 3.25%, with a LIBOR floor of 1.0%, or (y) a base rate plus 2.25%. Borrowings under the New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will pay a commitment fee on the unused portion of the New Revolving Credit Facility not being utilized in the amount of 0.50% per annum.</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credit agreement governing the New Credit Facility also includes requirements the Company maintains a maximum total leverage ratio and a minimum interest coverage ratio (adjusting over time). The Company is required to maintain a maximum total leverage ratio of 6.75 to 1.00 from the closing date through December 31, 2015, 6.00 to 1.00 from January 1, 2016 to December 31, 2017 and 5.00 to 1.00 thereafter. In addition, the Company is required to maintain a minimum interest coverage ratio of 2.50 to 1.00 from the closing date through December 31, 2015, and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September 30, 2015, the Company was in compliance with the covenants under the New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Resorts Senior Secured Notes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June 1, 2011, Resorts completed the issuance of the 8.625% Senior Secured Notes due 2019 (the "Resorts Senior Secured Notes"). Interest on the Resorts Senior Secured Notes was payable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semiannually each June 15 and December 15 to holders of record on the preceding June 1 or December 1,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refinancing transactions, the Company purchased or discharged all of the outstanding Resorts Senior Secured Notes in July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MTR Gaming Second Lien Notes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August 1, 2011, MTR Gaming completed the offering of the 11.5% Senior Secured Second Lien Notes due August 1, 2019 (the "MTR Second Lien Notes") at an issue price equal to 97% of the aggregate principal amount. The MTR Second Lien Notes were scheduled to mature on August 1, 2019, with interest payable semi-annually in arrears on February 1 and August 1 of each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refinancing transactions, the Company purchased or discharged all of the outstanding MTR Second Lien Notes in July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three-tier fair value hierarchy, which prioritizes the inputs used in measuring fair values as follows:</w:t>
      </w:r>
    </w:p>
    <w:p>
      <w:pPr>
        <w:spacing w:after="0" w:line="197" w:lineRule="exact"/>
        <w:rPr>
          <w:sz w:val="20"/>
          <w:szCs w:val="20"/>
          <w:color w:val="auto"/>
        </w:rPr>
      </w:pPr>
    </w:p>
    <w:p>
      <w:pPr>
        <w:ind w:left="1560" w:hanging="178"/>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spacing w:after="0" w:line="225" w:lineRule="exact"/>
        <w:rPr>
          <w:rFonts w:ascii="Arial" w:cs="Arial" w:eastAsia="Arial" w:hAnsi="Arial"/>
          <w:sz w:val="18"/>
          <w:szCs w:val="18"/>
          <w:color w:val="auto"/>
        </w:rPr>
      </w:pPr>
    </w:p>
    <w:p>
      <w:pPr>
        <w:ind w:left="1560" w:hanging="178"/>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market-based inputs or unobservable inputs that are corroborated by market data.</w:t>
      </w:r>
    </w:p>
    <w:p>
      <w:pPr>
        <w:spacing w:after="0" w:line="225" w:lineRule="exact"/>
        <w:rPr>
          <w:rFonts w:ascii="Arial" w:cs="Arial" w:eastAsia="Arial" w:hAnsi="Arial"/>
          <w:sz w:val="18"/>
          <w:szCs w:val="18"/>
          <w:color w:val="auto"/>
        </w:rPr>
      </w:pPr>
    </w:p>
    <w:p>
      <w:pPr>
        <w:ind w:left="1560" w:hanging="178"/>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equivalents include investments in money market funds. Investments in this category can be redeemed immediately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w:t>
      </w:r>
    </w:p>
    <w:p>
      <w:pPr>
        <w:spacing w:after="0" w:line="167"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Restricted cash includes unredeemed winning tickets from the Company's racing operations, funds related to horsemen's fines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simulcasting funds that are restricted to payments for improving horsemen's facilities and racing purses at Scioto Downs, cash deposits that serve as collateral for letters of credit surety bonds and short-term certificates of deposit that serve as collateral for certain bonding requirements. Restricted cash is classified as Level 1 as its carrying value approximates market prices.</w:t>
      </w:r>
    </w:p>
    <w:p>
      <w:pPr>
        <w:spacing w:after="0" w:line="19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i w:val="1"/>
          <w:iCs w:val="1"/>
          <w:color w:val="auto"/>
        </w:rPr>
        <w:t xml:space="preserve">Advance to Silver Legacy Joint Venture: </w:t>
      </w:r>
      <w:r>
        <w:rPr>
          <w:rFonts w:ascii="Arial" w:cs="Arial" w:eastAsia="Arial" w:hAnsi="Arial"/>
          <w:sz w:val="18"/>
          <w:szCs w:val="18"/>
          <w:color w:val="auto"/>
        </w:rPr>
        <w:t>The $7.5 million note receivable due to ELLC from the Silver Legacy Joint Venture (see Note 3) is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based upon market-based inputs.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 (Continued)</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The Senior Notes are classified as Level 2 based upon market inputs. The New Term Loan under the credit facility is classified as Level 2</w:t>
      </w:r>
      <w:r>
        <w:rPr>
          <w:rFonts w:ascii="Arial" w:cs="Arial" w:eastAsia="Arial" w:hAnsi="Arial"/>
          <w:sz w:val="18"/>
          <w:szCs w:val="18"/>
          <w:i w:val="1"/>
          <w:iCs w:val="1"/>
          <w:color w:val="auto"/>
        </w:rPr>
        <w:t xml:space="preserve"> </w:t>
      </w:r>
      <w:r>
        <w:rPr>
          <w:rFonts w:ascii="Arial" w:cs="Arial" w:eastAsia="Arial" w:hAnsi="Arial"/>
          <w:sz w:val="18"/>
          <w:szCs w:val="18"/>
          <w:color w:val="auto"/>
        </w:rPr>
        <w:t>as it is tied to market rates of interest and its carrying value approximates market value. The fair value of the Senior Notes was based on quoted market prices at September 30, 2015. The fair value of the Resorts Senior Secured Notes was calculated based on management's estimates of the borrowing rates available at December 31, 2014 for debt with similar terms and maturities. The fair value of the MTR Second Lien Notes was based on quoted market prices at December 31, 2014.</w:t>
      </w:r>
    </w:p>
    <w:p>
      <w:pPr>
        <w:spacing w:after="0" w:line="19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i w:val="1"/>
          <w:iCs w:val="1"/>
          <w:color w:val="auto"/>
        </w:rPr>
        <w:t xml:space="preserve">Acquisition-Related Contingent Considerations: </w:t>
      </w:r>
      <w:r>
        <w:rPr>
          <w:rFonts w:ascii="Arial" w:cs="Arial" w:eastAsia="Arial" w:hAnsi="Arial"/>
          <w:sz w:val="18"/>
          <w:szCs w:val="18"/>
          <w:color w:val="auto"/>
        </w:rPr>
        <w:t>Contingent consideration related to the July 2003 acquisition of Scioto Downs represents the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4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ind w:right="61"/>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40" w:type="dxa"/>
            <w:vAlign w:val="bottom"/>
            <w:gridSpan w:val="3"/>
          </w:tcPr>
          <w:p>
            <w:pPr>
              <w:jc w:val="right"/>
              <w:ind w:right="462"/>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   48,751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48,751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87,604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87,604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and escrow cash</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Advance to Silver Legacy Joint Venture</w:t>
            </w:r>
          </w:p>
        </w:tc>
        <w:tc>
          <w:tcPr>
            <w:tcW w:w="9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Senior Notes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365,872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367,500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Term Loan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409,229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424,997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New Revolving Credit Facility</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15,447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Resorts Senior Secured Notes</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174,720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MTR Second Lien Notes</w:t>
            </w:r>
          </w:p>
        </w:tc>
        <w:tc>
          <w:tcPr>
            <w:tcW w:w="9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610,827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606,919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contingent considerations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represents the change in acquisition-related contingent consideration liabilities during the period December 31, 2014 to September 30, 2015:</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Amortization of present value discount(1)</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adjustment for change in consideration expected to be paid(2)</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present value are included as a component of interest expense in the consolidated statements of operations.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value adjustments for changes in earn-out estimates are included in general and administrative expense in the consolidated statements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during the three and nine months ended September 30, 2015 and 2014 (dollars in thousands, except per share amounts):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available to common stockholders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46,516,614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26,075,022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46,509,369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24,242,791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46,763,589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26,075,022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46,620,959</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24,242,791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common share:</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As the accounting acquirer in the Merger and in accordance with the applicable accounting guidance in ASC 805, for purposes of computing comparative earnings per share, the Company has presented the historical weighted average number of common shares outstanding multiplied by the exchange ratio established in the merger agreement (see Note 2) for the three and nine months ended September 30, 2014. At the Merger Date, there were no dilutive securities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On July 7, 2015, the Company filed a registration statement relating to an underwritten offering of up to $80 million common stock ("Common Stock Offering"). The Company intends to sell shares of common stock to generate aggregate net proceeds of approximately $60 million, prior to the exercise of the underwriters' option to purchase additional shares. The number of shares sold in the offering, if any, will be subject to market conditions.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the equity offering is completed, the Company intends to apply the proceeds from the Common Stock Offering to pay a portion of the purchase price for the purchase of all of the assets of Circus Circus Reno and the Silver Legacy Joint Venture currently owned by a subsidiary of MGM Resorts International, including repayment of amounts outstanding under the Silver Legacy Joint Venture credit facility, and pay fees and costs associated with such transactions. If the equity offering is not completed in advance of the completion of the purchase, the Company intends to utilize the New Revolving Credit Facility to fund a portion of the Circus Reno/Silver Legacy Purchase.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is a party to various lawsuits, which have arisen in the normal course of business. Estimated losses are accrued for these lawsuits and claims when the loss is probable and can be estimated. The current liability for the estimated losses associated with those lawsuits is not material to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condition and those estimated losses are not expected to have a material impact on the results of operations.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April 17, 2010, Presque Isle Downs, Inc. initiated legal action in the Court of Common Pleas of Erie County, Pennsylvania, against defendants Dwayne Cooper Enterprises, Inc. ("DCE"), Turner Construction Company ("Turner"), and Rectenwald Buehler Architects, Inc. f/k/a Weborg Rectenwald Buehler Architects, Inc. ("RB") to recover damages arising out of failures of the surveillance system installed during the original construction of the casino facilities at Presque Isle Downs. DCE supplied and installed the surveillance system, RB acted as the project architect, and Turner served as the construction manager on the project. Shortly after Presque Isle Downs opened on February 28, 2007, it discovered that certain components of the surveillance system were defective, malfunctioning or missing. After efforts to remediate the deficiencies in the system were unsuccessful, it became necessary to replace certain components of the surveillance system at a cost of $1.9 million, and to write-off approximately $1.5 million related to the net book value of the equipment that was replaced. On April 5, 2011, Presque Isle Downs obtained a default judgment against DCE in the amount of $2.7 million. Efforts to enforce the judgment against DCE are ongoing but the assets of DCE appear to be modest and materially insufficient to pay the judgment. Any proceeds that may be received will be recorded as the amounts are realized. Defendant RB joined five additional vendors/subcontractors as additional defendants in the case. Each of the defendants and all but one of the additional defendants filed motions or objections requesting that the Court dismiss the claims against it. After these motions and objections were denied and the parties engaged in limited discovery, the parties agreed to submit the case to mediation. The mediation occurred on February 10, 2015, and resulted in an agreement under which the sum of $0.7 million would be paid to Presque Isle Downs, Inc. in exchange for a general release of the defendants (except DCE) and the additional defendants. A settlement agreement and release have been entered into by all parties. The case was dismissed August 4, 2015.</w:t>
      </w:r>
    </w:p>
    <w:p>
      <w:pPr>
        <w:spacing w:after="0" w:line="182"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On October 21, 2011, the Ohio Roundtable filed a complaint in the Court of 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the Company, along with four of the other racinos in Ohio, filed motions for judgment on the pleadings to supplement the position of the Racing Commission. In May 2012, the Court of Common Pleas dismissed the case; however, the plaintiffs filed an appeal and oral arguments were held on January 17,</w:t>
      </w:r>
    </w:p>
    <w:p>
      <w:pPr>
        <w:spacing w:after="0" w:line="2"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2013 in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District Court of Appeals. In March 2013, the Court of Appeals upheld the ruling. The decision of the Appeals Court was appealed to the Ohio Supreme Court by the plaintiffs on April 30, 2013 and the Ohio Supreme Court elected to accept the appeal. The Ohio Supreme Court temporarily stayed the appeal until it first ruled on a matter with similar procedural issues. A decision was issued on that case on June 10, 2014. Accordingly, along with the State Appellees, a </w:t>
      </w:r>
      <w:r>
        <w:rPr>
          <w:rFonts w:ascii="Arial" w:cs="Arial" w:eastAsia="Arial" w:hAnsi="Arial"/>
          <w:sz w:val="18"/>
          <w:szCs w:val="18"/>
          <w:i w:val="1"/>
          <w:iCs w:val="1"/>
          <w:color w:val="auto"/>
        </w:rPr>
        <w:t>motion to dismiss as improvidently granted</w:t>
      </w:r>
      <w:r>
        <w:rPr>
          <w:rFonts w:ascii="Arial" w:cs="Arial" w:eastAsia="Arial" w:hAnsi="Arial"/>
          <w:sz w:val="18"/>
          <w:szCs w:val="18"/>
          <w:color w:val="auto"/>
        </w:rPr>
        <w:t xml:space="preserve"> was filed which was partially granted. The remaining propositions of law have been briefed by both parties and oral arguments were held on June 23, 2015.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October 2004, the Company acquired 229 acres of real property, known as the International Paper site, as an alternative site to build Presque Isle Downs. In connection with the acquisition of the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International Paper site, the Company entered into a consent order and decree (the "Consent Order") with the PaDEP and International Paper insulating us from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liability for certain pre-existing contamination, subject to compliance with the Consent Order, which included a proposed environmental remediation plan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site, which was tied specifically to the use of the property as a racetrack. The proposed environmental remediation plan in the Consent Order was based upon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"baseline environmental report" and management estimated that such remediation would be subsumed within the cost of developing the property as a racetrack.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racetrack was never developed at this site. In October 2005, the Company sold approximately 205 acres to GEIDC who assumed primary responsibility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remediation obligations under the Consent Order relating to the property they acquired. However, the Company was advised by the PaDEP that it was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released from its liability and responsibility under the Consent Order. The Company also purchased an Environmental Risk Insurance Policy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with respect to the property, which was renewed in October 2015 for a period of one year. The Company believes that the insurance coverage is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excess of any exposure that we may have in this matter.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Gaming Assessments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(1) cumulative gross slot revenue since inception in relation to the combined cumulative gross slot revenue for all licensees and (2) single year gross slot revenue (during the state's fiscal year ending September 30) in relation to the combined single year gross slot revenue for all licensees; and amounts paid each year will be adjusted annually based upon changes in the licensee's proportionate share of gross slot revenue. MTR Gaming has estimated that its total proportionate share of the aggregate $63.8 million to be assessed to the gaming facilities will be approximately $4.1 million and will be paid quarterly over a ten-year period, which began effective January 1, 2012. For the $36.1 million that was borrowed from the General Fund, payment is scheduled to begin after all fourteen licensees are operational. Although MTR Gaming cannot determine when payment will begin, it has considered a similar repayment model for the General Fund borrowings and estimated that its total proportionate share of the aggregate $36.1 million to all fourteen gaming facilities will approximate $2.1 million, which has been accrued in the accompanying consolidated balance sheets at September 30, 2015 and December 31, 2014.</w:t>
      </w:r>
    </w:p>
    <w:p>
      <w:pPr>
        <w:spacing w:after="0" w:line="178"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The estimated total obligation at September 30, 2015 and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December 31, 2014 was $4.5 million and $5.0 million, respectively, and is accrued in the accompanying consolidated balance sheets. As of and during the nine months ended September 30, 2015, the total estimated liability decreased as a result of changes in the forecasted assumptions utilized in the model by $0.5 million and was recognized in gaming operating expenses. The Company paid $0.3 million during the nine months ended September 30,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Parties</w:t>
      </w:r>
    </w:p>
    <w:p>
      <w:pPr>
        <w:spacing w:after="0" w:line="231"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As of September 30, 2015, the Company's receivables and payables to related parties amounted to $0.4 million and $0.2 million, respectively. As of December 31, 2014, the Company's receivables and payables to related parties amounted to $0.4 million and $0.2 million, respectively. These amounts represent amounts related to shared services and other transactions in the ordinary course of business between Resorts and Silver Legacy.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31"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following table sets forth, for the period indicated, certain operating data for the Company's reportable segments. Management views each of its casinos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Reno, Shreveport and the eastern states. The Company has aggregated its operating segments into three reportable segments: Eldorado Reno, Eldorado Shreveport and MTR Gaming along with its corporate offices. Pending the consummation of the Circus Reno/Silver Legacy Purchase, which is expected to occur during the fourth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quarter of 2015, the Company intends to reassess its segment reporting. Based on this reassessment, the Company's segment reporting may change for the year ended December 31, 2015.</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85"/>
              </w:rPr>
              <w:t>Ended 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4"/>
          </w:tcPr>
          <w:p>
            <w:pPr>
              <w:jc w:val="right"/>
              <w:ind w:right="292"/>
              <w:spacing w:after="0"/>
              <w:rPr>
                <w:sz w:val="20"/>
                <w:szCs w:val="20"/>
                <w:color w:val="auto"/>
              </w:rPr>
            </w:pPr>
            <w:r>
              <w:rPr>
                <w:rFonts w:ascii="Arial" w:cs="Arial" w:eastAsia="Arial" w:hAnsi="Arial"/>
                <w:sz w:val="11"/>
                <w:szCs w:val="11"/>
                <w:b w:val="1"/>
                <w:bCs w:val="1"/>
                <w:color w:val="auto"/>
                <w:w w:val="74"/>
              </w:rPr>
              <w:t>thousands,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312"/>
              <w:spacing w:after="0" w:line="129" w:lineRule="exact"/>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and expenses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Eldorado Reno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revenues(a)</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29,002</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28,759</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79,961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(23,236)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(25,321)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(66,756)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on sale or disposal of property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4"/>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(3,845)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 income of unconsolidated affiliates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(1,959)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(1,941)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(5,833)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 (loss)—Eldorado Reno</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6,339</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1"/>
              <w:spacing w:after="0" w:line="142" w:lineRule="exact"/>
              <w:rPr>
                <w:sz w:val="20"/>
                <w:szCs w:val="20"/>
                <w:color w:val="auto"/>
              </w:rPr>
            </w:pPr>
            <w:r>
              <w:rPr>
                <w:rFonts w:ascii="Arial" w:cs="Arial" w:eastAsia="Arial" w:hAnsi="Arial"/>
                <w:sz w:val="14"/>
                <w:szCs w:val="14"/>
                <w:color w:val="auto"/>
              </w:rPr>
              <w:t>(1,110)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10,497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Eldorado Shreveport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34,651</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34,629</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103,919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 and amortization(a)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(27,012)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(28,647)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(loss) on sale or disposal of property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(1,902)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(2,053)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income—Eldorado Shreveport</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5,801</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3,926</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17,056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MTR Gaming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119,887</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16,311</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349,744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 and 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(94,476)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(14,442)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(276,923)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on sale or disposal of property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4"/>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(618)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(9,989)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(1,289)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(30,647)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42"/>
        </w:trPr>
        <w:tc>
          <w:tcPr>
            <w:tcW w:w="574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(loss)—MTR Gaming</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42,036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Eldorado Corporate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depreciation(a)</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(2,932)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1"/>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(9,456)</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(380)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(104)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1"/>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loss—Eldorado Corporate</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
              <w:spacing w:after="0" w:line="142" w:lineRule="exact"/>
              <w:rPr>
                <w:sz w:val="20"/>
                <w:szCs w:val="20"/>
                <w:color w:val="auto"/>
              </w:rPr>
            </w:pPr>
            <w:r>
              <w:rPr>
                <w:rFonts w:ascii="Arial" w:cs="Arial" w:eastAsia="Arial" w:hAnsi="Arial"/>
                <w:sz w:val="14"/>
                <w:szCs w:val="14"/>
                <w:color w:val="auto"/>
              </w:rPr>
              <w:t>(3,416)</w:t>
            </w: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1"/>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(10,354)</w:t>
            </w: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Total Reportable Segments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revenues(a)</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183,540</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79,699</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533,624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 and amortization(a)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(147,656)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(68,410)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(434,352)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(171,416)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on sale or disposal of property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(380)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(4,463)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 income of unconsolidated affiliates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(13,954)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(5,283)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(42,454)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income—Total Reportable Segments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24,092</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2,778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59,235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11,105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Reconciliations to Consolidated Net Income(Loss)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Income—Total Reportable Segments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24,092</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59,235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Unallocated income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(14,482)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(5,647)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(48,946)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Loss on early retirement of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(1,790)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1"/>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(2,421)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(1,195)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(4,469)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2"/>
        </w:trPr>
        <w:tc>
          <w:tcPr>
            <w:tcW w:w="5740" w:type="dxa"/>
            <w:vAlign w:val="bottom"/>
            <w:gridSpan w:val="3"/>
          </w:tcPr>
          <w:p>
            <w:pPr>
              <w:spacing w:after="0" w:line="142" w:lineRule="exact"/>
              <w:rPr>
                <w:sz w:val="20"/>
                <w:szCs w:val="20"/>
                <w:color w:val="auto"/>
              </w:rPr>
            </w:pPr>
            <w:r>
              <w:rPr>
                <w:rFonts w:ascii="Arial" w:cs="Arial" w:eastAsia="Arial" w:hAnsi="Arial"/>
                <w:sz w:val="14"/>
                <w:szCs w:val="14"/>
                <w:color w:val="auto"/>
              </w:rPr>
              <w:t>Net income (loss)</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(4,064</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intercompany management fee revenues earned by Eldorado Reno and expensed by Eldorado Shreveport amounting to $0.8 million and $2.3 million, respectively, for the three and nine months ended September 30, 2014.</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(Continued)</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42"/>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89"/>
              </w:rPr>
              <w:t>unaudited)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3,212</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2,404</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Corporate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p>
      <w:pPr>
        <w:jc w:val="center"/>
        <w:ind w:left="7520"/>
        <w:spacing w:after="0"/>
        <w:rPr>
          <w:sz w:val="20"/>
          <w:szCs w:val="20"/>
          <w:color w:val="auto"/>
        </w:rPr>
      </w:pPr>
      <w:r>
        <w:rPr>
          <w:rFonts w:ascii="Arial" w:cs="Arial" w:eastAsia="Arial" w:hAnsi="Arial"/>
          <w:sz w:val="11"/>
          <w:szCs w:val="11"/>
          <w:b w:val="1"/>
          <w:bCs w:val="1"/>
          <w:color w:val="auto"/>
        </w:rPr>
        <w:t>September 30,</w:t>
      </w:r>
    </w:p>
    <w:p>
      <w:pPr>
        <w:spacing w:after="0" w:line="21"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-7620</wp:posOffset>
            </wp:positionV>
            <wp:extent cx="6343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p>
      <w:pPr>
        <w:jc w:val="center"/>
        <w:ind w:right="1920"/>
        <w:spacing w:after="0"/>
        <w:rPr>
          <w:sz w:val="20"/>
          <w:szCs w:val="20"/>
          <w:color w:val="auto"/>
        </w:rPr>
      </w:pPr>
      <w:r>
        <w:rPr>
          <w:rFonts w:ascii="Arial" w:cs="Arial" w:eastAsia="Arial" w:hAnsi="Arial"/>
          <w:sz w:val="11"/>
          <w:szCs w:val="11"/>
          <w:b w:val="1"/>
          <w:bCs w:val="1"/>
          <w:color w:val="auto"/>
        </w:rPr>
        <w:t>December 31,</w:t>
      </w:r>
    </w:p>
    <w:p>
      <w:pPr>
        <w:spacing w:after="0" w:line="21"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wp:posOffset>
            </wp:positionV>
            <wp:extent cx="6089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340" w:space="340"/>
            <w:col w:w="2700"/>
          </w:cols>
          <w:pgMar w:left="240" w:top="131" w:right="279" w:bottom="1440" w:gutter="0" w:footer="0" w:header="0"/>
          <w:type w:val="continuous"/>
        </w:sectPr>
      </w:pPr>
    </w:p>
    <w:p>
      <w:pPr>
        <w:ind w:left="8080"/>
        <w:spacing w:after="0" w:line="224" w:lineRule="auto"/>
        <w:rPr>
          <w:sz w:val="20"/>
          <w:szCs w:val="20"/>
          <w:color w:val="auto"/>
        </w:rPr>
      </w:pPr>
      <w:r>
        <w:rPr>
          <w:rFonts w:ascii="Arial" w:cs="Arial" w:eastAsia="Arial" w:hAnsi="Arial"/>
          <w:sz w:val="14"/>
          <w:szCs w:val="14"/>
          <w:b w:val="1"/>
          <w:bCs w:val="1"/>
          <w:color w:val="auto"/>
        </w:rPr>
        <w:t>(in thousands)</w:t>
      </w:r>
    </w:p>
    <w:tbl>
      <w:tblPr>
        <w:tblLayout w:type="fixed"/>
        <w:tblInd w:w="360" w:type="dxa"/>
        <w:tblCellMar>
          <w:top w:w="0" w:type="dxa"/>
          <w:left w:w="0" w:type="dxa"/>
          <w:bottom w:w="0" w:type="dxa"/>
          <w:right w:w="0" w:type="dxa"/>
        </w:tblCellMar>
      </w:tblPr>
      <w:tr>
        <w:trPr>
          <w:trHeight w:val="147"/>
        </w:trPr>
        <w:tc>
          <w:tcPr>
            <w:tcW w:w="13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(unaudited)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116,069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232,559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134,556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143,928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Eldorado Corporate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796,107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874,010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921,726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Eliminating and reclassification entries(a)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(751,797)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(126,654)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1,168,945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1,171,559</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Summary of eliminating and reclassification entries for the periods indicated:</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89"/>
              </w:rPr>
              <w:t>Proceeds from Resorts Senior Secured Notes loaned to Eldorado Shreveport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116,308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Accrued interest on the above intercompany loan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Intercompany receivables/payables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741,560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Reclassification of noncurrent deferred tax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and advances to MTR Gaming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investment in and advances to Eldorado Shreveport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eliminating and reclassification entries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751,797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126,654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Pending Acquisitions</w:t>
      </w:r>
    </w:p>
    <w:p>
      <w:pPr>
        <w:spacing w:after="0" w:line="231" w:lineRule="exact"/>
        <w:rPr>
          <w:sz w:val="20"/>
          <w:szCs w:val="20"/>
          <w:color w:val="auto"/>
        </w:rPr>
      </w:pPr>
    </w:p>
    <w:p>
      <w:pPr>
        <w:ind w:right="220" w:firstLine="351"/>
        <w:spacing w:after="0" w:line="305" w:lineRule="auto"/>
        <w:rPr>
          <w:sz w:val="20"/>
          <w:szCs w:val="20"/>
          <w:color w:val="auto"/>
        </w:rPr>
      </w:pPr>
      <w:r>
        <w:rPr>
          <w:rFonts w:ascii="Arial" w:cs="Arial" w:eastAsia="Arial" w:hAnsi="Arial"/>
          <w:sz w:val="15"/>
          <w:szCs w:val="15"/>
          <w:color w:val="auto"/>
        </w:rPr>
        <w:t>On July 7, 2015, certain of the Company's subsidiaries, Circus Circus Casinos, Inc. and Galleon, Inc., subsidiaries of MGM Resorts International, entered into a purchase and sale agreement (the "Purchase Agreement") with respect to the acquisition of (i) all of the assets and properties of Circus Circus Reno and</w:t>
      </w: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50% membership interest in the Silver Legacy Joint Venture owned by Galleon, Inc. (collectively, the "Circus Reno/Silver Legacy Purchase"). ERI has</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unconditionally guaranteed the purchaser's obligations under the Purchase Agreement. ERI currently has an indirect interest in 48.1% of the interests of the Silver Legacy Joint Venture. In connection with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Pending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consummation of the Circus Reno/Silver Legacy Purchase, ERI expects to acquire the 1.9% indirect interest in the Silver Legacy Joint Venture held by ELLC.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consummation of the foregoing transactions, the Silver Legacy Joint Venture will be a wholly-owned indirect subsidiary of ERI.</w:t>
      </w:r>
    </w:p>
    <w:p>
      <w:pPr>
        <w:spacing w:after="0" w:line="219"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proposed purchase price for the Circus Reno/Silver Legacy Purchase is $72.5 million, subject to a customary working capital adjustment, and the assumption of amounts outstanding under the Silver Legacy Joint Venture credit facility, of which $80.5 million was outstanding at September 30, 2015. In conjunction with the execution of the Purchase Agreement, ERI deposited $3.0 million in escrow, which it will surrender in the event the proposed acquisitions fail to close for reasons other than a breach by Circus Circus Casinos, Inc. or Galleon, Inc. The balance of the purchase price will be payable in cash at the closing of the Circus Reno/Silver Legacy Purchase. The Company expects to apply a portion of the proceeds of the sale of the Senior Notes, proceeds from the sale of common stock or borrowings under the New Revolving Credit Facility and cash on hand to pay the purchase price for the Circus Reno/Silver Legacy Purchase. The consummation of the transactions contemplated by the Purchase Agreement is subject to the satisfaction of certain conditions, including the approval of various gaming authorities. The Circus Reno/Silver Legacy transaction is expected to be consummated in November 2015, but there can be no assurance that the proposed acquisition will be consummated or as to the date by which the proposed acquisition will be consummated. The Company incurred $0.6 million in costs associated with the pending acquisitions during the nine months ended September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August 2015, the Company's Compensation Committee and Board of Directors approved the termination of the existing Resorts and MTR Gaming 401(k) plans and the establishment of a new consolidated ERI 401(k) plan, both to be effective in January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October 2015, the Company announced that it established Columbus Southeast Hotel Group LLC, a joint venture with Vista Host, Inc. to develop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new 118-room Hampton Inn &amp; Suites hotel that will be attached to Eldorado's Scioto Downs Racino in Columbus, OH. Construction of the new hotel is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begin in October with a targeted completion date in late 2016.</w:t>
      </w:r>
    </w:p>
    <w:p>
      <w:pPr>
        <w:spacing w:after="0" w:line="219" w:lineRule="exact"/>
        <w:rPr>
          <w:sz w:val="20"/>
          <w:szCs w:val="20"/>
          <w:color w:val="auto"/>
        </w:rPr>
      </w:pPr>
    </w:p>
    <w:p>
      <w:pPr>
        <w:jc w:val="both"/>
        <w:ind w:right="40" w:firstLine="351"/>
        <w:spacing w:after="0" w:line="335" w:lineRule="auto"/>
        <w:rPr>
          <w:sz w:val="20"/>
          <w:szCs w:val="20"/>
          <w:color w:val="auto"/>
        </w:rPr>
      </w:pPr>
      <w:r>
        <w:rPr>
          <w:rFonts w:ascii="Arial" w:cs="Arial" w:eastAsia="Arial" w:hAnsi="Arial"/>
          <w:sz w:val="15"/>
          <w:szCs w:val="15"/>
          <w:color w:val="auto"/>
        </w:rPr>
        <w:t>Pursuant to the terms of the joint venture agreement, the Company is contributing $1.0 million of cash and 2.4 acres of land immediately adjacent the Scioto Downs Racino. Columbus Southeast Hotel Group LLC will be responsible for the construction of the $15.0 million hotel and Vista Host, Inc. will operate it upon its completion. The Company is evaluating the accounting treatment associated with the new joint venture and the impact it will have on its financial statements.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Eldorado Resorts, Inc. ("ERI" or the "Company"), a Nevada corporation,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 owned subsidiary of ERI and, as a result of such transactions, Resorts became an indirect wholly owned subsidiary of ERI.</w:t>
      </w:r>
    </w:p>
    <w:p>
      <w:pPr>
        <w:spacing w:after="0" w:line="170"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MTR Gaming is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Resorts owns and operates Eldorado Resort Casino Shreveport, a hotel and riverboat gaming complex that includes a 403-room, all suite, art deco-style hotel and a tri-level riverboat dockside casino situated on the Red River in Shreveport, Louisiana ("Eldorado Shreveport") and the Eldorado Hotel and Casino, a premier hotel, casino and entertainment facility in Reno, Nevada ("Eldorado Reno"). Resorts owns the Eldorado Shreveport indirectly through two wholly owned subsidiaries which own 100.0% of the partnership interests in the Eldorado Shreveport Joint Venture, a Louisiana general partnership ("Louisiana Partnership").</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Resorts also owns a 48.1% interest in the Circus and Eldorado Joint Venture, LLC (the "Silver Legacy Joint Venture") which owns the Silver Legacy Resort Casino (the "Silver Legacy"), a major, themed hotel/casino connected via a skywalk to the Eldorado Reno. On July 7, 2015, certain of our subsidiaries, Circus Circus Casinos, Inc. and Galleon, Inc., subsidiaries of MGM Resorts International, entered into a purchase and sale agreement (the "Purchase Agreement") with respect to the acquisition of (i) all of the assets and properties of Circus Circus Reno and (ii) the other 50% membership interest in the Silver Legacy Joint Venture owned by Galleon, Inc. (collectively, the "Circus Reno/Silver Legacy Purchase"). ERI has unconditionally guaranteed the purchasers' obligations under the Purchase Agreement. ERI currently has an indirect interest in 48.1% of the interests of the Silver Legacy Joint Venture. In connection with the consummation of the Circus Reno/Silver Legacy Purchase, ERI expects to acquire the 1.9% indirect interest in the Silver Legacy Joint Venture held by ELLC. Following the consummation of the foregoing transactions, the Silver Legacy Joint Venture will be a wholly-owned indirect subsidiary of ERI.</w:t>
      </w:r>
    </w:p>
    <w:p>
      <w:pPr>
        <w:spacing w:after="0" w:line="172"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proposed purchase price is $72.5 million, subject to a customary working capital adjustment, and the assumption of amounts outstanding under the Silver Legacy Joint Venture credit facility, of which approximately $80.5 million was outstanding at September 30, 2015. ERI deposited $3.0 million in escrow, which it will surrender in the event the proposed acquisitions fail to close for reasons other than a breach by Circus Circus Casinos, Inc. or Galleon, Inc. The balance of the purchase price will be payable in cash at the closing of the Circus Reno/Silver Legacy Purchase. The Company expects to apply a portion of the proceeds of the sale of its 7% Senior Notes due 2023, proceeds from the sale of common stock or borrowings under the Company's revolving credit facility and cash on hand to pay the purchase price for the Circus Reno/Silver Legacy Purchase. The consummation of the transactions contemplated by the Purchase Agreement is subject to the satisfaction of certain conditions, including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approval of various gaming authorities. The Circus Reno/Silver Legacy transaction is expected to be consummated in November 2015, but there can be no assurance that the proposed acquisition will be consummated or as to the date by which the proposed acquisition will be consummated.</w:t>
      </w:r>
    </w:p>
    <w:p>
      <w:pPr>
        <w:spacing w:after="0" w:line="139"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Resorts also previously owned a 21.3% interest in Tamarack Junction, a small casino in south Reno. On September 1, 2014, and as a condition to closing the Merger, Resorts distributed to HoldCo, and HoldCo subsequently distributed to its members on a pro rata basis, all of Resorts' interest in Tamarack. The distribution resulted in no gain or loss being recognized because the distribution was in the amount of $5.5 million, which was the book value of Tamarack.</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ERI, HoldCo and MTR Gaming are collectively referred to as "we," "us," "our" or the "Company." The Merger closed on the "Merger Date" and has been accounted for as a reverse acquisition of MTR Gaming by HoldCo under accounting principles generally accepted in the United States ("US GAAP"). As a result, HoldCo is considered the acquirer of MTR Gaming for accounting purposes. The financial information included in this Item 2 for periods prior to the Merger Date are those of HoldCo and its subsidiaries. The presentation of information herein for periods prior to the Merger Date and after the Merger Date are not fully comparable because the results of operations for MTR Gaming are not included for periods prior to the Merger Date. Summary financial results of MTR Gaming for the three and nine months ended September 30, 2014 are included in MTR Gaming's Quarterly Report on Form 10-Q as filed with the Securities and Exchange Commission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Operating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Impact</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economic downturn and the uneven recovery from the downturn continue to adversely influence consumers' confidence, discretionary spending levels and travel patterns. High unemployment and the record number of home foreclosures experienced in the economic downturn, increased competition and volatility of the economy have had, and continue to have, a significant negative impact on the gaming and tourism industries, and, as a result, our operating performance over the past several years. In response to the impact of the economic downturn, increased competition and other market factors on our business, our management has implemented cost savings measures and will continue to review our operations to look for opportunities to further reduce expenses and maximize cash flows. While there has been some improvement in the economy, we believe the impact of the economic downturn and the continuing uneven recovery may continue to negatively affect our operating results for some period of time. We remain uncertain as to the duration and magnitude of the impact of such factors on our operations and the length and sustainability of the recovery from the economic downturn.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of Native American Gaming and Regional Gaming</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business has been adversely impacted by the expansion of Native American gaming and the expansion of gaming in our markets, including Ohio. Future growth of Native American and other gaming establishments, including the addition of hotel rooms and other amenities, would place additional competitive pressure on our operations. While we cannot predict the extent of any future impact, it could be significant.</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Eldorado Reno. </w:t>
      </w:r>
      <w:r>
        <w:rPr>
          <w:rFonts w:ascii="Arial" w:cs="Arial" w:eastAsia="Arial" w:hAnsi="Arial"/>
          <w:sz w:val="18"/>
          <w:szCs w:val="18"/>
          <w:color w:val="auto"/>
        </w:rPr>
        <w:t>A significant portion of our revenues and operating income are generated from patrons who are residents of northern California,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our operations have been adversely impacted by the growth in Native American gaming in northern California.</w:t>
      </w:r>
    </w:p>
    <w:p>
      <w:pPr>
        <w:spacing w:after="0" w:line="186"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Many existing Native American gaming facilities in northern California are modest compared to Eldorado Reno. However, a number of Native American tribes have established large-scale gaming facilities in California and some Native American tribes have announced that they are in the process of expanding, developing, or are considering establishing, large-scale hotel and gaming facilities in northern California. As northern California Native American gaming operations have expanded, we believe the increasing competition generated by these gaming operations has had a negative impact, principally on drive-in, day-trip visitor traffic from our main feeder markets in northern California. A 320,000 square foot gaming facility located in Sonoma County, California opened on November 5, 2013.</w:t>
      </w:r>
    </w:p>
    <w:p>
      <w:pPr>
        <w:spacing w:after="0" w:line="19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Under their current compacts, most Native American tribes in California may operate up to 2,000 slot machines and up to two gaming facilities on any one reservation. However, under action taken by the National Indian Gaming Commission, gaming devices similar in appearance to slot machines, but which are deemed to be technological enhancements to bingo style gaming, are not subject to such limits and may be used by tribes without state permission. The number of slot machines the tribes may be allowed to operate could increase as a result of any new or amended compacts the tribes may enter into with the State of California that receive the requisite approvals. Such increases have occurred with respect to a number of new or amended compacts which have been executed and approved.</w:t>
      </w:r>
    </w:p>
    <w:p>
      <w:pPr>
        <w:spacing w:after="0" w:line="198"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Eldorado Shreveport. </w:t>
      </w:r>
      <w:r>
        <w:rPr>
          <w:rFonts w:ascii="Arial" w:cs="Arial" w:eastAsia="Arial" w:hAnsi="Arial"/>
          <w:sz w:val="16"/>
          <w:szCs w:val="16"/>
          <w:color w:val="auto"/>
        </w:rPr>
        <w:t>Casino gaming is currently prohibited in several jurisdictions from which the Shreveport/Bossier City market draws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Texas. Although casino gaming is currently not permitted in Texas, the Texas legislature has from time to time considered proposals to authorize casino gaming and there can be no assurance that casino gaming will not be approved in Texas in the future, which would have a material adverse effect on our business. Eldorado Shreveport competes with several Native American casinos located in Oklahoma, certain of which are located near our core Texas markets. Because we draw a significant amount of our customers from the Dallas/Fort Worth area, but are located approximately 190 miles from that area, we believe we will continue to face increased competition from gaming operations in Oklahoma, including the WinStar and Choctaw casinos, and would face significant competition that may have a material adverse effect on our business and results of operations if casino gaming is approved in Texas. In June 2013, construction was completed on a 30,000 square foot casino and 400-room hotel in Bossier City across the Red River from Eldorado Shreveport. The facility, which also includes several restaurants and a 1,000-seat entertainment arena, received final approval from the Louisiana Gaming Control Board and opened on June 15, 2013. In December 2014, a new luxury, land-based casino with 1,600 slot machines, 72 gaming tables, a poker room, and a 740-room hotel with a ballroom and spa, opened in Lake Charles, Louisiana approximately 200 miles south of Eldorado Shreveport, but closer to the Houston, Texas market.</w:t>
      </w:r>
    </w:p>
    <w:p>
      <w:pPr>
        <w:spacing w:after="0" w:line="18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MTR Gaming. </w:t>
      </w:r>
      <w:r>
        <w:rPr>
          <w:rFonts w:ascii="Arial" w:cs="Arial" w:eastAsia="Arial" w:hAnsi="Arial"/>
          <w:sz w:val="18"/>
          <w:szCs w:val="18"/>
          <w:color w:val="auto"/>
        </w:rPr>
        <w:t>The MTR Gaming properties experience varying competitive pressures, from casinos in western Pennsylvania, western New York, northern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 Virginia and eastern Ohio. We believe the expansion of gaming in Ohio, which includes casinos that opened in Cleveland in May 2012 and Columbus in October 2012 and additional casinos in Cincinnati and Toledo, as well as the installation of VLTs at existing horse race tracks near Cleveland, one of which opened in April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and the other in December 2013 and the relocation of a racetrack to Austintown, Ohio, which opened in September 2014, has had and will continue to have a negative impact on our results of operations at all our properties and such impact may be material. In order to sustain our market share in the increased competitive environment, we continuously reevaluate our advertising strategies and promotional offers to our guests to ensure our reinvestment levels reflect the appropriate level of offerings to sustain our margins.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Bowling Tournaments in the Reno Market</w:t>
      </w:r>
    </w:p>
    <w:p>
      <w:pPr>
        <w:spacing w:after="0" w:line="225"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The National Bowling Stadium, located one block from Eldorado Reno, is one of the largest bowling complexes in North America and has been selected to host multi-month tournaments in Reno every year through 2018 except for 2017. It has also been selected to host ten United States Bowling Congress ("USBC") tournaments from 2019 through 2026. During this period, two of the ten USBC Tournaments may be held in the same year. Through a one-time agreement, the National Bowling Stadium hosted the USBC Open Tournament in Reno in 2014; usually an off-year for Reno. Historically, these multi-month bowling tournaments have attracted a significant number of visitors to the Reno market and have benefited business in the downtown area, including Eldorado Reno. The USBC Tournaments returned to Reno in 2014 and brought approximately 62,000 bowlers to the Reno area during the 2014 tournament period which began on February 28th and continued through July 12th. The USBC Tournament attracted approximately 15,600 women bowlers to the Reno market from March to July in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August 26, 2014, the Board of Health of Hancock County, West Virginia adopted and approved the Clean Air Regulation Act of 2014 ("Regulation"), which became effective July 1, 2015. The Regulation, bans smoking in public places in Hancock County including at Mountaineer. To comply with the Regulation upon its effective date, Mountaineer built a 9,800 square foot smoking pavilion with 210 slot machines and six table games which opened on July 1, 2015. Notwithstanding our efforts to mitigate the impact of the smoking ban, the Regulation has had a negative impact on our business and results of operations at Mountaineer and we expect that it will continue to negatively impact our business and results of operations and such impact may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to the Three Months Ended September 30,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Percent</w:t>
            </w:r>
          </w:p>
        </w:tc>
      </w:tr>
      <w:tr>
        <w:trPr>
          <w:trHeight w:val="142"/>
        </w:trPr>
        <w:tc>
          <w:tcPr>
            <w:tcW w:w="4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2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183,540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78,949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2060" w:type="dxa"/>
            <w:vAlign w:val="bottom"/>
            <w:gridSpan w:val="3"/>
          </w:tcPr>
          <w:p>
            <w:pPr>
              <w:jc w:val="right"/>
              <w:ind w:right="160"/>
              <w:spacing w:after="0"/>
              <w:rPr>
                <w:sz w:val="20"/>
                <w:szCs w:val="20"/>
                <w:color w:val="auto"/>
              </w:rPr>
            </w:pPr>
            <w:r>
              <w:rPr>
                <w:rFonts w:ascii="Arial" w:cs="Arial" w:eastAsia="Arial" w:hAnsi="Arial"/>
                <w:sz w:val="18"/>
                <w:szCs w:val="18"/>
                <w:color w:val="auto"/>
              </w:rPr>
              <w:t>161,610</w:t>
            </w:r>
          </w:p>
        </w:tc>
        <w:tc>
          <w:tcPr>
            <w:tcW w:w="700" w:type="dxa"/>
            <w:vAlign w:val="bottom"/>
          </w:tcPr>
          <w:p>
            <w:pPr>
              <w:jc w:val="right"/>
              <w:spacing w:after="0"/>
              <w:rPr>
                <w:sz w:val="20"/>
                <w:szCs w:val="20"/>
                <w:color w:val="auto"/>
              </w:rPr>
            </w:pPr>
            <w:r>
              <w:rPr>
                <w:rFonts w:ascii="Arial" w:cs="Arial" w:eastAsia="Arial" w:hAnsi="Arial"/>
                <w:sz w:val="18"/>
                <w:szCs w:val="18"/>
                <w:color w:val="auto"/>
              </w:rPr>
              <w:t>72,943</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121.6%</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unconsolidated affiliates</w:t>
            </w:r>
          </w:p>
        </w:tc>
        <w:tc>
          <w:tcPr>
            <w:tcW w:w="2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2,548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Operating income</w:t>
            </w:r>
          </w:p>
        </w:tc>
        <w:tc>
          <w:tcPr>
            <w:tcW w:w="2060" w:type="dxa"/>
            <w:vAlign w:val="bottom"/>
            <w:gridSpan w:val="3"/>
          </w:tcPr>
          <w:p>
            <w:pPr>
              <w:jc w:val="right"/>
              <w:ind w:right="160"/>
              <w:spacing w:after="0"/>
              <w:rPr>
                <w:sz w:val="20"/>
                <w:szCs w:val="20"/>
                <w:color w:val="auto"/>
              </w:rPr>
            </w:pPr>
            <w:r>
              <w:rPr>
                <w:rFonts w:ascii="Arial" w:cs="Arial" w:eastAsia="Arial" w:hAnsi="Arial"/>
                <w:sz w:val="18"/>
                <w:szCs w:val="18"/>
                <w:color w:val="auto"/>
              </w:rPr>
              <w:t>24,092</w:t>
            </w:r>
          </w:p>
        </w:tc>
        <w:tc>
          <w:tcPr>
            <w:tcW w:w="700" w:type="dxa"/>
            <w:vAlign w:val="bottom"/>
          </w:tcPr>
          <w:p>
            <w:pPr>
              <w:jc w:val="right"/>
              <w:spacing w:after="0"/>
              <w:rPr>
                <w:sz w:val="20"/>
                <w:szCs w:val="20"/>
                <w:color w:val="auto"/>
              </w:rPr>
            </w:pPr>
            <w:r>
              <w:rPr>
                <w:rFonts w:ascii="Arial" w:cs="Arial" w:eastAsia="Arial" w:hAnsi="Arial"/>
                <w:sz w:val="18"/>
                <w:szCs w:val="18"/>
                <w:color w:val="auto"/>
              </w:rPr>
              <w:t>2,778</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767.2%</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232.8%</w:t>
            </w:r>
          </w:p>
        </w:tc>
      </w:tr>
    </w:tbl>
    <w:p>
      <w:pPr>
        <w:spacing w:after="0" w:line="208"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Net Operating Revenues. </w:t>
      </w:r>
      <w:r>
        <w:rPr>
          <w:rFonts w:ascii="Arial" w:cs="Arial" w:eastAsia="Arial" w:hAnsi="Arial"/>
          <w:sz w:val="18"/>
          <w:szCs w:val="18"/>
          <w:color w:val="auto"/>
        </w:rPr>
        <w:t>MTR Gaming contributed $119.9 million of net operating revenues for the three months ended September 30, 2015,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casino revenues. Including MTR Gaming net revenues, net operating revenues increased 132.5% for the three months ended September 30, 2015 compared to the same prior year period. Excluding MTR Gaming net revenues,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consolidated net operating revenues increased 1.6% for the three months ended September 30, 2015 compared to the same prior year period primarily due to increased net revenues at Eldorado Reno.</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i w:val="1"/>
          <w:iCs w:val="1"/>
          <w:color w:val="auto"/>
        </w:rPr>
        <w:t xml:space="preserve">Equity in Income of Unconsolidated Affiliates. </w:t>
      </w:r>
      <w:r>
        <w:rPr>
          <w:rFonts w:ascii="Arial" w:cs="Arial" w:eastAsia="Arial" w:hAnsi="Arial"/>
          <w:sz w:val="18"/>
          <w:szCs w:val="18"/>
          <w:color w:val="auto"/>
        </w:rPr>
        <w:t>Income from our unconsolidated affiliates, the Silver Legacy Joint Venture and our former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Tamarack, increased $1.3 million for the three months ended September 30, 2015 compared to the same prior year period. Resorts' interest in Tamarack was disposed of on September 1, 2014.</w:t>
      </w:r>
    </w:p>
    <w:p>
      <w:pPr>
        <w:spacing w:after="0" w:line="194" w:lineRule="exact"/>
        <w:rPr>
          <w:sz w:val="20"/>
          <w:szCs w:val="20"/>
          <w:color w:val="auto"/>
        </w:rPr>
      </w:pPr>
    </w:p>
    <w:p>
      <w:pPr>
        <w:ind w:left="360"/>
        <w:spacing w:after="0"/>
        <w:tabs>
          <w:tab w:leader="none" w:pos="3480" w:val="left"/>
        </w:tabs>
        <w:rPr>
          <w:sz w:val="20"/>
          <w:szCs w:val="20"/>
          <w:color w:val="auto"/>
        </w:rPr>
      </w:pPr>
      <w:r>
        <w:rPr>
          <w:rFonts w:ascii="Arial" w:cs="Arial" w:eastAsia="Arial" w:hAnsi="Arial"/>
          <w:sz w:val="18"/>
          <w:szCs w:val="18"/>
          <w:i w:val="1"/>
          <w:iCs w:val="1"/>
          <w:color w:val="auto"/>
        </w:rPr>
        <w:t>Operating Income and Net Income (Loss).</w:t>
      </w:r>
      <w:r>
        <w:rPr>
          <w:sz w:val="20"/>
          <w:szCs w:val="20"/>
          <w:color w:val="auto"/>
        </w:rPr>
        <w:tab/>
      </w:r>
      <w:r>
        <w:rPr>
          <w:rFonts w:ascii="Arial" w:cs="Arial" w:eastAsia="Arial" w:hAnsi="Arial"/>
          <w:sz w:val="15"/>
          <w:szCs w:val="15"/>
          <w:color w:val="auto"/>
        </w:rPr>
        <w:t>Consolidated operating income and net income (loss) includes operating income and net income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$15.4 million and $18.9 million, respectively, attributable to MTR Gaming for the three months ended September 30, 2015. Excluding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attributable to MTR Gaming, consolidated operating income was $8.7 million and net loss was $13.5 million during the three months ended September 30, 2015.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Consolidated operating income, excluding operating income attributable to MTR Gaming, included incremental corporate costs offset by decreased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an increase in equity in income of unconsolidated affiliates, lower depreciation and improved operating income at both Eldorado Reno and Eldorado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Shreveport. Excluding net income attributable to MTR Gaming, the decrease in net income was primarily due to the same factors impacting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along with a $1.8 million loss on the early retirement of debt associated with our refinancing in July 2015 (see "Liquidity and Capital Resources").</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sources of net operating revenues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   17,313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17,142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14,399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3,781</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9,025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8,435</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Hotel:</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2,177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7,555</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1,479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(4,490)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(6,514)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(6,577)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(15,996)</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(11,579)</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Casino Revenues. </w:t>
      </w:r>
      <w:r>
        <w:rPr>
          <w:rFonts w:ascii="Arial" w:cs="Arial" w:eastAsia="Arial" w:hAnsi="Arial"/>
          <w:sz w:val="18"/>
          <w:szCs w:val="18"/>
          <w:color w:val="auto"/>
        </w:rPr>
        <w:t>MTR Gaming contributed $107.0 million of casino revenues for the three months ended September 30, 2015 consisting of net win from</w:t>
      </w:r>
      <w:r>
        <w:rPr>
          <w:rFonts w:ascii="Arial" w:cs="Arial" w:eastAsia="Arial" w:hAnsi="Arial"/>
          <w:sz w:val="18"/>
          <w:szCs w:val="18"/>
          <w:i w:val="1"/>
          <w:iCs w:val="1"/>
          <w:color w:val="auto"/>
        </w:rPr>
        <w:t xml:space="preserve"> </w:t>
      </w:r>
      <w:r>
        <w:rPr>
          <w:rFonts w:ascii="Arial" w:cs="Arial" w:eastAsia="Arial" w:hAnsi="Arial"/>
          <w:sz w:val="18"/>
          <w:szCs w:val="18"/>
          <w:color w:val="auto"/>
        </w:rPr>
        <w:t>slot operations, table games and poker. As a result, consolidated casino revenues increased 146.4% for the three months ended September 30, 2015 compared to the same prior year period.</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Consolidated casino revenues, excluding MTR Gaming casino revenues, increased 0.5% for the three months ended September 30, 2015 compared to the same prior year period. Eldorado Shreveport and Eldorado Reno experienced slight increases of 0.3% and 1.0%, respectively, in casino revenues for the three months ended September 30, 2015 compared to the same prior year period. Growth in table games and slot volume at Eldorado Reno for the three months ended September 30, 2015 compared to the same prior year period was offset by lower hold percentages.</w:t>
      </w:r>
    </w:p>
    <w:p>
      <w:pPr>
        <w:spacing w:after="0" w:line="167" w:lineRule="exact"/>
        <w:rPr>
          <w:sz w:val="20"/>
          <w:szCs w:val="20"/>
          <w:color w:val="auto"/>
        </w:rPr>
      </w:pPr>
    </w:p>
    <w:p>
      <w:pPr>
        <w:jc w:val="center"/>
        <w:ind w:right="380"/>
        <w:spacing w:after="0"/>
        <w:tabs>
          <w:tab w:leader="none" w:pos="140" w:val="left"/>
        </w:tabs>
        <w:rPr>
          <w:sz w:val="20"/>
          <w:szCs w:val="20"/>
          <w:color w:val="auto"/>
        </w:rPr>
      </w:pPr>
      <w:r>
        <w:rPr>
          <w:rFonts w:ascii="Arial" w:cs="Arial" w:eastAsia="Arial" w:hAnsi="Arial"/>
          <w:sz w:val="18"/>
          <w:szCs w:val="18"/>
          <w:i w:val="1"/>
          <w:iCs w:val="1"/>
          <w:color w:val="auto"/>
        </w:rPr>
        <w:t>Pari-mutuel Commissions.</w:t>
      </w:r>
      <w:r>
        <w:rPr>
          <w:sz w:val="20"/>
          <w:szCs w:val="20"/>
          <w:color w:val="auto"/>
        </w:rPr>
        <w:tab/>
      </w:r>
      <w:r>
        <w:rPr>
          <w:rFonts w:ascii="Arial" w:cs="Arial" w:eastAsia="Arial" w:hAnsi="Arial"/>
          <w:sz w:val="16"/>
          <w:szCs w:val="16"/>
          <w:color w:val="auto"/>
        </w:rPr>
        <w:t>MTR Gaming contributed $3.8 million of pari-mutuel commissions for the three months ended September 30, 2015.</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 xml:space="preserve">Food and Beverage Revenues. </w:t>
      </w:r>
      <w:r>
        <w:rPr>
          <w:rFonts w:ascii="Arial" w:cs="Arial" w:eastAsia="Arial" w:hAnsi="Arial"/>
          <w:sz w:val="16"/>
          <w:szCs w:val="16"/>
          <w:color w:val="auto"/>
        </w:rPr>
        <w:t>MTR Gaming contributed $8.9 million of food and beverage revenues for the three months ended September 30, 2015.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consolidated food and beverage revenues increased 50.5% for the three months ended September 30, 2015 compared to the same prior year period.</w:t>
      </w:r>
    </w:p>
    <w:p>
      <w:pPr>
        <w:spacing w:after="0" w:line="139"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Consolidated food and beverage revenues, excluding MTR Gaming food and beverage revenues, increased 3.3% for the three months ended September 30, 2015 compared to the same prior year period. Food and beverage revenues increased 7.0% at Eldorado Reno mainly due to an increase in the average check as a result of selective price increases. Food and beverage revenues decreased 1.7% at Eldorado Shreveport for the three months ended September 30, 2015 compared to the same prior year period primarily due to decreased beverage revenues.</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Hotel Revenues. </w:t>
      </w:r>
      <w:r>
        <w:rPr>
          <w:rFonts w:ascii="Arial" w:cs="Arial" w:eastAsia="Arial" w:hAnsi="Arial"/>
          <w:sz w:val="18"/>
          <w:szCs w:val="18"/>
          <w:color w:val="auto"/>
        </w:rPr>
        <w:t>MTR Gaming contributed $1.3 million of hotel revenues for the three months ended September 30, 2015. As a result, consolidated hotel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increased 21.7% for the three months ended September 30, 2015 compared to the same prior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Consolidated hotel revenues, excluding MTR Gaming hotel revenues, increased 6.7% for the three months ended September 30, 2015 compared to the same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prior year period. Eldorado Reno's ADR and occupancy were $82.27 and 90.1%, respectively, for the three months ended September 30, 2015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$77.84 and 86.7%, respectively, for the three months ended September 30, 2014 resulting in a 9.6% increase in hotel revenues. The increase in ADR was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strong event and holiday weekends, an increase in the resort fee and efforts to effectively yield hotel room rates. Hotel revenues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at Eldorado Shreveport remained flat with the same prior year period due to higher occupancy offset by lower room rates. Eldorado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Shreveport's ADR declined to $63.31 for the three months ended September 30, 2015 from $64.51 for the same prior year period while occupancy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92.8% for the three months ended September 30, 2015 compared to 91.0% for the same prior year period.</w:t>
      </w:r>
    </w:p>
    <w:p>
      <w:pPr>
        <w:spacing w:after="0" w:line="21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are comprised of revenues generated by our retail outlets, entertainment venues and other miscellaneous items. MTR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contributed $3.9 million of other revenues for the three months ended September 30, 2015. As a result, consolidated other revenues increased 99.0% for the three months ended September 30, 2015 compared to the same prior year period.</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Consolidated other revenues, excluding MTR Gaming other revenues, decreased 1.1% for the three months ended September 30, 2015 compared to the same prior year period. Other revenues at Eldorado Reno remained flat during the three months ended September 30, 2015 compared to the same prior year period. Other revenues decreased 3.2% at Eldorado Shreveport during the three months ended September 30, 2015 compared to the same prior year period due to lower retail and spa sales which were partially offset by higher ATM commission revenues.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Promotional Allowances. </w:t>
      </w:r>
      <w:r>
        <w:rPr>
          <w:rFonts w:ascii="Arial" w:cs="Arial" w:eastAsia="Arial" w:hAnsi="Arial"/>
          <w:sz w:val="16"/>
          <w:szCs w:val="16"/>
          <w:color w:val="auto"/>
        </w:rPr>
        <w:t>Consolidated promotional allowances, expressed as a percentage of casino revenues, decreased to 10.2%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2015 compared to 18.2% for the same prior year period, and total consolidated promotional allowances increased 38.1%. MTR Gaming's promotional allowances represented 4.7% of its casino revenues for the three months ended September 30, 2015. Promotional allowances at Eldorado Reno increased 6.2% for the three months ended September 30, 2015 compared to the same prior year period due to an increase casino complimentaries associated with higher casino volume. Promotional allowances decreased 1.0% for the three months ended September 30, 2015 compared to the same prior year period at Eldorado Shreveport despite the slight increase in casino revenues due to a reallocation of promotional spend. Management actively reviews the effectiveness of its promotions and direct mail programs to expand successful promotions while eliminating or reducing less profitable promotions. Promotional activities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reflect our efforts to maintain ERI's share of the gaming markets in which it operates in an effort to mitigate the impact of increasing competition.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operating expenses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6,762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   7,436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18,501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65,841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3,625</w:t>
            </w:r>
          </w:p>
        </w:tc>
        <w:tc>
          <w:tcPr>
            <w:tcW w:w="16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rPr>
              <w:t>5,749</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5,991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1,440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5,347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Hotel:</w:t>
            </w: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tcPr>
          <w:p>
            <w:pPr>
              <w:jc w:val="right"/>
              <w:spacing w:after="0"/>
              <w:rPr>
                <w:sz w:val="20"/>
                <w:szCs w:val="20"/>
                <w:color w:val="auto"/>
              </w:rPr>
            </w:pPr>
            <w:r>
              <w:rPr>
                <w:rFonts w:ascii="Arial" w:cs="Arial" w:eastAsia="Arial" w:hAnsi="Arial"/>
                <w:sz w:val="18"/>
                <w:szCs w:val="18"/>
                <w:color w:val="auto"/>
              </w:rPr>
              <w:t>302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314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2,109</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rPr>
              <w:t>1,582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1,465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2,103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Marketing and promotions</w:t>
            </w: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7,816</w:t>
            </w:r>
          </w:p>
        </w:tc>
        <w:tc>
          <w:tcPr>
            <w:tcW w:w="16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5,262</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14,237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Management fee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150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5,283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i w:val="1"/>
          <w:iCs w:val="1"/>
          <w:color w:val="auto"/>
        </w:rPr>
        <w:t xml:space="preserve">Casino Expenses. </w:t>
      </w:r>
      <w:r>
        <w:rPr>
          <w:rFonts w:ascii="Arial" w:cs="Arial" w:eastAsia="Arial" w:hAnsi="Arial"/>
          <w:sz w:val="16"/>
          <w:szCs w:val="16"/>
          <w:color w:val="auto"/>
        </w:rPr>
        <w:t>MTR Gaming incurred $65.8 million of casino expenses for the three months ended September 30, 2015. As a result,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casino expenses increased 161.3% for the three months ended September 30, 2015 compared to the same prior year period.</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Casino expenses, excluding MTR Gaming casino expenses, decreased 5.3% during the three months ended September 30, 2015 compared to the same prior year period. Casino expenses at Eldorado Reno decreased 9.1% for the three months ended September 30, 2015 compared to the same prior year period primarily reflecting the decrease in departmental variable costs, including payroll and benefits, marketing expenditures and bad debt expense. Casino expenses at Eldorado Shreveport decreased 3.8% during the three months ended September 30, 2015 compared to the same prior year period primarily due to lower departmental payroll, bad debt expense and other variable costs resulting from efforts to control variable costs.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Pari-mutuel Expense.</w:t>
      </w:r>
      <w:r>
        <w:rPr>
          <w:sz w:val="20"/>
          <w:szCs w:val="20"/>
          <w:color w:val="auto"/>
        </w:rPr>
        <w:tab/>
      </w:r>
      <w:r>
        <w:rPr>
          <w:rFonts w:ascii="Arial" w:cs="Arial" w:eastAsia="Arial" w:hAnsi="Arial"/>
          <w:sz w:val="15"/>
          <w:szCs w:val="15"/>
          <w:color w:val="auto"/>
        </w:rPr>
        <w:t>MTR Gaming incurred $3.6 million of pari-mutuel expense for the three months ended September 30, 2015.</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Food and Beverage Expenses. </w:t>
      </w:r>
      <w:r>
        <w:rPr>
          <w:rFonts w:ascii="Arial" w:cs="Arial" w:eastAsia="Arial" w:hAnsi="Arial"/>
          <w:sz w:val="16"/>
          <w:szCs w:val="16"/>
          <w:color w:val="auto"/>
        </w:rPr>
        <w:t>MTR Gaming incurred $5.3 million of food and beverage expenses for the three months ended September 30, 2015.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consolidated food and beverage expenses increased 47.3% for the three months ended September 30, 2015 compared to the same prior year period.</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Food and beverage expenses, excluding MTR Gaming food and beverage expenses, decreased 4.3% for the three months ended September 30, 2015 compared to the same prior year period. Eldorado Reno's food and beverage expenses decreased 4.0% during the current period due to lower cost of sales combined with lower payroll expenditures resulting in improved departmental profit. Food and beverage expenses decreased 5.2% at Eldorado Shreveport for the three months ended September 30, 2015 compared to the same prior year period. Food cost of sales, as a percentage of associated revenues, declined during the three months ended September 30, 2015 compared to the same prior year period due to successful efforts to control food costs of product. Moreover, revisions to Eldorado Shreveport's employee meal program resulted in improvements in the departmental profit margin.</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Hotel Expenses. </w:t>
      </w:r>
      <w:r>
        <w:rPr>
          <w:rFonts w:ascii="Arial" w:cs="Arial" w:eastAsia="Arial" w:hAnsi="Arial"/>
          <w:sz w:val="18"/>
          <w:szCs w:val="18"/>
          <w:color w:val="auto"/>
        </w:rPr>
        <w:t>MTR Gaming incurred $0.4 million of hotel expenses for the three months ended September 30, 2015. As a result, consolidated hotel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11.0% for the three months ended September 30, 2015 compared to the same prior year period.</w:t>
      </w:r>
    </w:p>
    <w:p>
      <w:pPr>
        <w:spacing w:after="0" w:line="186"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Hotel expenses, excluding MTR Gaming hotel expenses, decreased 2.1% for the three months ended September 30, 2015 compared to the same prior year period. Hotel expenses at Eldorado Reno and Eldorado Shreveport decreased 1.8% and 3.8%, respectively, despite increases in occupancy due to implemented operating efficiencies throughout the hotel departments.</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Other expenses are comprised of expenses associated with sales at our retail outlets, entertainment venues and other miscellaneous items.</w:t>
      </w:r>
      <w:r>
        <w:rPr>
          <w:rFonts w:ascii="Arial" w:cs="Arial" w:eastAsia="Arial" w:hAnsi="Arial"/>
          <w:sz w:val="18"/>
          <w:szCs w:val="18"/>
          <w:i w:val="1"/>
          <w:iCs w:val="1"/>
          <w:color w:val="auto"/>
        </w:rPr>
        <w:t xml:space="preserve"> </w:t>
      </w:r>
      <w:r>
        <w:rPr>
          <w:rFonts w:ascii="Arial" w:cs="Arial" w:eastAsia="Arial" w:hAnsi="Arial"/>
          <w:sz w:val="18"/>
          <w:szCs w:val="18"/>
          <w:color w:val="auto"/>
        </w:rPr>
        <w:t>MTR Gaming incurred $2.1 million of other expenses for the three months ended September 30, 2015. As a result, consolidated other expenses increased 75.5% for the three months ended September 30, 2015 compared to the same prior year period.</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expenses, excluding MTR Gaming other expenses, increased 6.9% for the three months ended September 30, 2015 compared to the same year period. Other expenses at Eldorado Reno increased 8.0% for the three months ended September 30, 2015 compared to the same prior year period partly due to an increase in credit card commissions associated with higher volume. Other expenses at Eldorado Shreveport increased 2.6% during the three months ended September 30, 2015 compared to the same prior year period.</w:t>
      </w:r>
    </w:p>
    <w:p>
      <w:pPr>
        <w:spacing w:after="0" w:line="197" w:lineRule="exact"/>
        <w:rPr>
          <w:sz w:val="20"/>
          <w:szCs w:val="20"/>
          <w:color w:val="auto"/>
        </w:rPr>
      </w:pPr>
    </w:p>
    <w:p>
      <w:pPr>
        <w:ind w:left="360"/>
        <w:spacing w:after="0"/>
        <w:tabs>
          <w:tab w:leader="none" w:pos="3220" w:val="left"/>
        </w:tabs>
        <w:rPr>
          <w:sz w:val="20"/>
          <w:szCs w:val="20"/>
          <w:color w:val="auto"/>
        </w:rPr>
      </w:pPr>
      <w:r>
        <w:rPr>
          <w:rFonts w:ascii="Arial" w:cs="Arial" w:eastAsia="Arial" w:hAnsi="Arial"/>
          <w:sz w:val="18"/>
          <w:szCs w:val="18"/>
          <w:i w:val="1"/>
          <w:iCs w:val="1"/>
          <w:color w:val="auto"/>
        </w:rPr>
        <w:t>Marketing and Promotional Expenses.</w:t>
      </w:r>
      <w:r>
        <w:rPr>
          <w:sz w:val="20"/>
          <w:szCs w:val="20"/>
          <w:color w:val="auto"/>
        </w:rPr>
        <w:tab/>
      </w:r>
      <w:r>
        <w:rPr>
          <w:rFonts w:ascii="Arial" w:cs="Arial" w:eastAsia="Arial" w:hAnsi="Arial"/>
          <w:sz w:val="16"/>
          <w:szCs w:val="16"/>
          <w:color w:val="auto"/>
        </w:rPr>
        <w:t>MTR Gaming incurred $3.5 million of marketing and promotion expenses for the three months ended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2015. As a result, consolidated marketing and promotion expenses increased 48.5% for the three months ended September 30, 2015 compared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same prior year period.</w:t>
      </w:r>
    </w:p>
    <w:p>
      <w:pPr>
        <w:spacing w:after="0" w:line="21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Excluding MTR Gaming, marketing and promotional expenses decreased 0.4% for the three months ended September 30, 2015 compared to the same prior year period due to reductions in advertising, marketing and promotional expenditures at both Eldorado Reno and Eldorado Shreveport.</w:t>
      </w:r>
    </w:p>
    <w:p>
      <w:pPr>
        <w:spacing w:after="0" w:line="13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and Management Fees. </w:t>
      </w:r>
      <w:r>
        <w:rPr>
          <w:rFonts w:ascii="Arial" w:cs="Arial" w:eastAsia="Arial" w:hAnsi="Arial"/>
          <w:sz w:val="18"/>
          <w:szCs w:val="18"/>
          <w:color w:val="auto"/>
        </w:rPr>
        <w:t>MTR Gaming incurred $13.7 million of general and administrative expenses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2015. As a result, consolidated general and administrative expenses increased 89.2% during the three months ended September 30, 2015 compared to the same prior year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Excluding MTR Gaming, general and administrative expenses increased 15.2% during the three months ended September 30, 2015 compared to the same prior year period due to incremental corporate costs associated with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Historically, we paid management fees to Recreational Enterprises, Inc. ("REI") and Hotel Casino Management, Inc. ("HCM"), affiliates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2014, we paid $0.2 million in management fees to REI and HCM.</w:t>
      </w:r>
    </w:p>
    <w:p>
      <w:pPr>
        <w:spacing w:after="0" w:line="21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MTR Gaming incurred $10.0 million of depreciation and amortization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As a result, depreciation and amortization expense increased 164.1% for three months ended September 30, 2015 compared to the same prior year period.</w:t>
      </w:r>
    </w:p>
    <w:p>
      <w:pPr>
        <w:spacing w:after="0" w:line="194" w:lineRule="exact"/>
        <w:rPr>
          <w:sz w:val="20"/>
          <w:szCs w:val="20"/>
          <w:color w:val="auto"/>
        </w:rPr>
      </w:pPr>
    </w:p>
    <w:p>
      <w:pPr>
        <w:ind w:right="620" w:firstLine="341"/>
        <w:spacing w:after="0" w:line="332" w:lineRule="auto"/>
        <w:rPr>
          <w:sz w:val="20"/>
          <w:szCs w:val="20"/>
          <w:color w:val="auto"/>
        </w:rPr>
      </w:pPr>
      <w:r>
        <w:rPr>
          <w:rFonts w:ascii="Arial" w:cs="Arial" w:eastAsia="Arial" w:hAnsi="Arial"/>
          <w:sz w:val="16"/>
          <w:szCs w:val="16"/>
          <w:color w:val="auto"/>
        </w:rPr>
        <w:t>At Eldorado Reno and Eldorado Shreveport on a combined basis, depreciation and amortization expense decreased 3.3% for the three months ended September 30, 2015 compared to the same prior year period resulting from more assets becoming fully depreciated.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Charges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incurred acquisition charges totaling $0.4 million for the three months ended September 30, 2015 in connection with the Circus Reno/Silver Legacy Purchase. We incurred acquisition charges totaling $4.5 million for the three months ended September 30, 2014 in connection with the Merger. The amounts were expensed in accordance with the applicable accounting guidance for business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increased $8.8 million for the three months ended September 30, 2015 primarily due to the incremental interest incurred by MTR Gaming.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partially offset by reductions in interest expense associated with our refinancing in July 2015 (see "Liquidity and Capital Resources").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to the Nine Months Ended September 30,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34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Percent</w:t>
            </w:r>
          </w:p>
        </w:tc>
      </w:tr>
      <w:tr>
        <w:trPr>
          <w:trHeight w:val="142"/>
        </w:trPr>
        <w:tc>
          <w:tcPr>
            <w:tcW w:w="53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2"/>
                <w:szCs w:val="12"/>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533,624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197,728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476,806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182,723</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160.9%</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unconsolidated affiliates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59,235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11,105</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433.4%</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215.5%</w:t>
            </w:r>
          </w:p>
        </w:tc>
      </w:tr>
    </w:tbl>
    <w:p>
      <w:pPr>
        <w:spacing w:after="0" w:line="208"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i w:val="1"/>
          <w:iCs w:val="1"/>
          <w:color w:val="auto"/>
        </w:rPr>
        <w:t xml:space="preserve">Net Operating Revenues. </w:t>
      </w:r>
      <w:r>
        <w:rPr>
          <w:rFonts w:ascii="Arial" w:cs="Arial" w:eastAsia="Arial" w:hAnsi="Arial"/>
          <w:sz w:val="15"/>
          <w:szCs w:val="15"/>
          <w:color w:val="auto"/>
        </w:rPr>
        <w:t>MTR Gaming contributed $349.7 million of net operating revenues for the nine months ended September 30, 2015, consisting</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of casino revenues. Including MTR Gaming revenues, net operating revenues increased 169.9% for the nine months ended September 30, 2015 compared to the same prior year period. Excluding MTR Gaming net revenues, consolidated net operating revenues increased 1.4% for the nine months ended September 30, 2015 compared to the same prior year period primarily due to improvements in casino revenues at both Eldorado Reno and Eldorado Shreveport.</w:t>
      </w:r>
    </w:p>
    <w:p>
      <w:pPr>
        <w:spacing w:after="0" w:line="15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Equity in Income of Unconsolidated Affiliates. </w:t>
      </w:r>
      <w:r>
        <w:rPr>
          <w:rFonts w:ascii="Arial" w:cs="Arial" w:eastAsia="Arial" w:hAnsi="Arial"/>
          <w:sz w:val="18"/>
          <w:szCs w:val="18"/>
          <w:color w:val="auto"/>
        </w:rPr>
        <w:t>Income from our unconsolidated affiliates, the Silver Legacy Joint Venture and our former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Tamarack, increased $0.1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2015 compared to the same prior year period. Resorts' interest in Tamarack was disposed of on September 1, 2014.</w:t>
      </w:r>
    </w:p>
    <w:p>
      <w:pPr>
        <w:spacing w:after="0" w:line="248" w:lineRule="exact"/>
        <w:rPr>
          <w:sz w:val="20"/>
          <w:szCs w:val="20"/>
          <w:color w:val="auto"/>
        </w:rPr>
      </w:pPr>
    </w:p>
    <w:p>
      <w:pPr>
        <w:ind w:left="360"/>
        <w:spacing w:after="0"/>
        <w:tabs>
          <w:tab w:leader="none" w:pos="3480" w:val="left"/>
        </w:tabs>
        <w:rPr>
          <w:sz w:val="20"/>
          <w:szCs w:val="20"/>
          <w:color w:val="auto"/>
        </w:rPr>
      </w:pPr>
      <w:r>
        <w:rPr>
          <w:rFonts w:ascii="Arial" w:cs="Arial" w:eastAsia="Arial" w:hAnsi="Arial"/>
          <w:sz w:val="18"/>
          <w:szCs w:val="18"/>
          <w:i w:val="1"/>
          <w:iCs w:val="1"/>
          <w:color w:val="auto"/>
        </w:rPr>
        <w:t>Operating Income and Net Income (Loss).</w:t>
      </w:r>
      <w:r>
        <w:rPr>
          <w:sz w:val="20"/>
          <w:szCs w:val="20"/>
          <w:color w:val="auto"/>
        </w:rPr>
        <w:tab/>
      </w:r>
      <w:r>
        <w:rPr>
          <w:rFonts w:ascii="Arial" w:cs="Arial" w:eastAsia="Arial" w:hAnsi="Arial"/>
          <w:sz w:val="15"/>
          <w:szCs w:val="15"/>
          <w:color w:val="auto"/>
        </w:rPr>
        <w:t>Consolidated operating income and net income (loss) includes operating income and net income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$42.0 million and $21.0 million, respectively, attributable to MTR Gaming for the nine months ended September 30, 2015. Excluding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MTR Gaming, consolidated operating income was $17.2 million and net loss was $17.0 million during the nine months ended September 30,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operating income, excluding operating income attributable to MTR Gaming, included incremental corporate costs offset by decreased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an increase in equity in income of unconsolidated affiliates, lower depreciation and improved operating income at both Eldorado Reno and Eldorado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Shreveport. Excluding net income attributable to MTR Gaming, the decrease in net income was primarily due to the same factors impacting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along with a $1.8 million loss on the early retirement of debt associated with our refinancing in July 2015 (See "Liquidity and Capital Resources").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sources of net operating revenues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74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27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2520" w:type="dxa"/>
            <w:vAlign w:val="bottom"/>
            <w:gridSpan w:val="3"/>
          </w:tcPr>
          <w:p>
            <w:pPr>
              <w:jc w:val="right"/>
              <w:ind w:right="100"/>
              <w:spacing w:after="0"/>
              <w:rPr>
                <w:sz w:val="20"/>
                <w:szCs w:val="20"/>
                <w:color w:val="auto"/>
              </w:rPr>
            </w:pPr>
            <w:r>
              <w:rPr>
                <w:rFonts w:ascii="Arial" w:cs="Arial" w:eastAsia="Arial" w:hAnsi="Arial"/>
                <w:sz w:val="18"/>
                <w:szCs w:val="18"/>
                <w:color w:val="auto"/>
              </w:rPr>
              <w:t>$   48,431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47,914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95,729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93,967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2,099.1%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156,280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1720"/>
              <w:spacing w:after="0"/>
              <w:rPr>
                <w:sz w:val="20"/>
                <w:szCs w:val="20"/>
                <w:color w:val="auto"/>
              </w:rPr>
            </w:pPr>
            <w:r>
              <w:rPr>
                <w:rFonts w:ascii="Arial" w:cs="Arial" w:eastAsia="Arial" w:hAnsi="Arial"/>
                <w:sz w:val="18"/>
                <w:szCs w:val="18"/>
                <w:color w:val="auto"/>
              </w:rPr>
              <w:t>Pari-mutuel commissions—MTR Gaming</w:t>
            </w:r>
          </w:p>
        </w:tc>
        <w:tc>
          <w:tcPr>
            <w:tcW w:w="16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1,703.1%</w:t>
            </w: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2520" w:type="dxa"/>
            <w:vAlign w:val="bottom"/>
            <w:gridSpan w:val="3"/>
          </w:tcPr>
          <w:p>
            <w:pPr>
              <w:jc w:val="right"/>
              <w:ind w:right="100"/>
              <w:spacing w:after="0"/>
              <w:rPr>
                <w:sz w:val="20"/>
                <w:szCs w:val="20"/>
                <w:color w:val="auto"/>
              </w:rPr>
            </w:pPr>
            <w:r>
              <w:rPr>
                <w:rFonts w:ascii="Arial" w:cs="Arial" w:eastAsia="Arial" w:hAnsi="Arial"/>
                <w:sz w:val="18"/>
                <w:szCs w:val="18"/>
                <w:color w:val="auto"/>
              </w:rPr>
              <w:t>25,091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25,108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18,970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1,896.5%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1720"/>
              <w:spacing w:after="0"/>
              <w:rPr>
                <w:sz w:val="20"/>
                <w:szCs w:val="20"/>
                <w:color w:val="auto"/>
              </w:rPr>
            </w:pPr>
            <w:r>
              <w:rPr>
                <w:rFonts w:ascii="Arial" w:cs="Arial" w:eastAsia="Arial" w:hAnsi="Arial"/>
                <w:sz w:val="18"/>
                <w:szCs w:val="18"/>
                <w:color w:val="auto"/>
              </w:rPr>
              <w:t>Hotel:</w:t>
            </w:r>
          </w:p>
        </w:tc>
        <w:tc>
          <w:tcPr>
            <w:tcW w:w="1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14,099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2520" w:type="dxa"/>
            <w:vAlign w:val="bottom"/>
            <w:gridSpan w:val="3"/>
          </w:tcPr>
          <w:p>
            <w:pPr>
              <w:jc w:val="right"/>
              <w:ind w:right="100"/>
              <w:spacing w:after="0"/>
              <w:rPr>
                <w:sz w:val="20"/>
                <w:szCs w:val="20"/>
                <w:color w:val="auto"/>
              </w:rPr>
            </w:pPr>
            <w:r>
              <w:rPr>
                <w:rFonts w:ascii="Arial" w:cs="Arial" w:eastAsia="Arial" w:hAnsi="Arial"/>
                <w:sz w:val="18"/>
                <w:szCs w:val="18"/>
                <w:color w:val="auto"/>
              </w:rPr>
              <w:t>6,485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6,449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20,747</w:t>
            </w:r>
          </w:p>
        </w:tc>
        <w:tc>
          <w:tcPr>
            <w:tcW w:w="160" w:type="dxa"/>
            <w:vAlign w:val="bottom"/>
            <w:vMerge w:val="continue"/>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2520" w:type="dxa"/>
            <w:vAlign w:val="bottom"/>
            <w:gridSpan w:val="3"/>
          </w:tcPr>
          <w:p>
            <w:pPr>
              <w:jc w:val="right"/>
              <w:ind w:right="100"/>
              <w:spacing w:after="0"/>
              <w:rPr>
                <w:sz w:val="20"/>
                <w:szCs w:val="20"/>
                <w:color w:val="auto"/>
              </w:rPr>
            </w:pPr>
            <w:r>
              <w:rPr>
                <w:rFonts w:ascii="Arial" w:cs="Arial" w:eastAsia="Arial" w:hAnsi="Arial"/>
                <w:sz w:val="18"/>
                <w:szCs w:val="18"/>
                <w:color w:val="auto"/>
              </w:rPr>
              <w:t>4,332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4,240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1,284.7%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1720"/>
              <w:spacing w:after="0"/>
              <w:rPr>
                <w:sz w:val="20"/>
                <w:szCs w:val="20"/>
                <w:color w:val="auto"/>
              </w:rPr>
            </w:pPr>
            <w:r>
              <w:rPr>
                <w:rFonts w:ascii="Arial" w:cs="Arial" w:eastAsia="Arial" w:hAnsi="Arial"/>
                <w:sz w:val="18"/>
                <w:szCs w:val="18"/>
                <w:color w:val="auto"/>
              </w:rPr>
              <w:t>Promotional allowances:</w:t>
            </w:r>
          </w:p>
        </w:tc>
        <w:tc>
          <w:tcPr>
            <w:tcW w:w="1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(19,994)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(19,766)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(47,077)</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(32,608)</w:t>
            </w:r>
          </w:p>
        </w:tc>
        <w:tc>
          <w:tcPr>
            <w:tcW w:w="160" w:type="dxa"/>
            <w:vAlign w:val="bottom"/>
            <w:vMerge w:val="continue"/>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20" w:type="dxa"/>
            <w:vAlign w:val="bottom"/>
          </w:tcPr>
          <w:p>
            <w:pPr>
              <w:jc w:val="right"/>
              <w:ind w:right="892"/>
              <w:spacing w:after="0"/>
              <w:rPr>
                <w:sz w:val="20"/>
                <w:szCs w:val="20"/>
                <w:color w:val="auto"/>
              </w:rPr>
            </w:pPr>
            <w:r>
              <w:rPr>
                <w:rFonts w:ascii="Arial" w:cs="Arial" w:eastAsia="Arial" w:hAnsi="Arial"/>
                <w:sz w:val="18"/>
                <w:szCs w:val="18"/>
                <w:color w:val="auto"/>
              </w:rPr>
              <w:t>39</w:t>
            </w: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Casino Revenues. </w:t>
      </w:r>
      <w:r>
        <w:rPr>
          <w:rFonts w:ascii="Arial" w:cs="Arial" w:eastAsia="Arial" w:hAnsi="Arial"/>
          <w:sz w:val="18"/>
          <w:szCs w:val="18"/>
          <w:color w:val="auto"/>
        </w:rPr>
        <w:t>MTR Gaming contributed $316.6 million of casino revenues for the nine months ended September 30, 2015 consisting of net win from</w:t>
      </w:r>
      <w:r>
        <w:rPr>
          <w:rFonts w:ascii="Arial" w:cs="Arial" w:eastAsia="Arial" w:hAnsi="Arial"/>
          <w:sz w:val="18"/>
          <w:szCs w:val="18"/>
          <w:i w:val="1"/>
          <w:iCs w:val="1"/>
          <w:color w:val="auto"/>
        </w:rPr>
        <w:t xml:space="preserve"> </w:t>
      </w:r>
      <w:r>
        <w:rPr>
          <w:rFonts w:ascii="Arial" w:cs="Arial" w:eastAsia="Arial" w:hAnsi="Arial"/>
          <w:sz w:val="18"/>
          <w:szCs w:val="18"/>
          <w:color w:val="auto"/>
        </w:rPr>
        <w:t>slot operations, table games and poker. As a result, consolidated casino revenues increased 194.9% for the nine months ended September 30, 2015 compared to the same prior year period.</w:t>
      </w:r>
    </w:p>
    <w:p>
      <w:pPr>
        <w:spacing w:after="0" w:line="194"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Consolidated casino revenues, excluding MTR Gaming casino revenues, increased 1.6% for the nine months ended September 30, 2015 compared to the same prior year period due to increased casino revenues at both Eldorado Reno and Eldorado Shreveport resulting from higher casino volume.</w:t>
      </w:r>
    </w:p>
    <w:p>
      <w:pPr>
        <w:spacing w:after="0" w:line="139" w:lineRule="exact"/>
        <w:rPr>
          <w:sz w:val="20"/>
          <w:szCs w:val="20"/>
          <w:color w:val="auto"/>
        </w:rPr>
      </w:pPr>
    </w:p>
    <w:p>
      <w:pPr>
        <w:ind w:left="360"/>
        <w:spacing w:after="0"/>
        <w:tabs>
          <w:tab w:leader="none" w:pos="2380" w:val="left"/>
        </w:tabs>
        <w:rPr>
          <w:sz w:val="20"/>
          <w:szCs w:val="20"/>
          <w:color w:val="auto"/>
        </w:rPr>
      </w:pPr>
      <w:r>
        <w:rPr>
          <w:rFonts w:ascii="Arial" w:cs="Arial" w:eastAsia="Arial" w:hAnsi="Arial"/>
          <w:sz w:val="18"/>
          <w:szCs w:val="18"/>
          <w:i w:val="1"/>
          <w:iCs w:val="1"/>
          <w:color w:val="auto"/>
        </w:rPr>
        <w:t>Pari-mutuel Commissions.</w:t>
      </w:r>
      <w:r>
        <w:rPr>
          <w:sz w:val="20"/>
          <w:szCs w:val="20"/>
          <w:color w:val="auto"/>
        </w:rPr>
        <w:tab/>
      </w:r>
      <w:r>
        <w:rPr>
          <w:rFonts w:ascii="Arial" w:cs="Arial" w:eastAsia="Arial" w:hAnsi="Arial"/>
          <w:sz w:val="16"/>
          <w:szCs w:val="16"/>
          <w:color w:val="auto"/>
        </w:rPr>
        <w:t>MTR Gaming contributed $8.0 million of pari-mutuel commissions for the nine months ended September 30, 2015.</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Food and Beverage Revenues. </w:t>
      </w:r>
      <w:r>
        <w:rPr>
          <w:rFonts w:ascii="Arial" w:cs="Arial" w:eastAsia="Arial" w:hAnsi="Arial"/>
          <w:sz w:val="16"/>
          <w:szCs w:val="16"/>
          <w:color w:val="auto"/>
        </w:rPr>
        <w:t>MTR Gaming contributed $25.4 million of food and beverage revenues for the nine months ended September 30, 2015.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consolidated food and beverage revenues increased 53.7% for the nine months ended September 30, 2015 compared to the same prior year period.</w:t>
      </w:r>
    </w:p>
    <w:p>
      <w:pPr>
        <w:spacing w:after="0" w:line="13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Consolidated food and beverage revenues, excluding MTR Gaming food and beverage revenues, increased 0.6% for the nine months ended September 30, 2015 compared to the same prior year period. Food and beverage revenues remained flat at Eldorado Reno during the nine months ended September 30, 2015 compared to the same prior year period mainly due to selective menu price increases offset by declines in restaurant customer counts. Food and beverage revenues increased 1.6% at Eldorado Shreveport for the nine months ended September 30, 2015 compared to the same prior year period due to increased customer counts combined with selective price increases.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Hotel Revenues. </w:t>
      </w:r>
      <w:r>
        <w:rPr>
          <w:rFonts w:ascii="Arial" w:cs="Arial" w:eastAsia="Arial" w:hAnsi="Arial"/>
          <w:sz w:val="18"/>
          <w:szCs w:val="18"/>
          <w:color w:val="auto"/>
        </w:rPr>
        <w:t>MTR Gaming contributed $3.9 million of hotel revenues for the nine months ended September 30, 2015. As a result, consolidated hotel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increased 18.9% for the nine months ended September 30, 2015 compared to the same prior year period.</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Consolidated hotel revenues, excluding MTR Gaming hotel revenues, increased 1.3% for the nine months ended September 30, 2015 compared to the same prior year period. Hotel revenues at Eldorado Reno increased 1.7% primarily due to an increase in the ADR from $76.10 for the nine months ended September 30, 2015 compared to $73.90 for the nine months ended September 30, 2014 resulting from an increase in the resort fee along with yield rate management. Eldorado's hotel occupancy declined from 84.2% for the nine months ended September 30, 2014 to 83.0% for the nine months ended September 30, 2015 and partially offset the growth in revenues associated with a higher ADR. Eldorado Shreveport's occupancy rate and ADR were 92.7% and $63.59, respectively, for the nine months ended September 30, 2015 compared to 90.3% and $64.93, respectively, for the nine months ended September 30, 2014. As a result, hotel revenues at Eldorado Shreveport increased 0.6% for the nine months ended September 30, 2015 compared to the nine months ended September 30, 2014.</w:t>
      </w:r>
    </w:p>
    <w:p>
      <w:pPr>
        <w:spacing w:after="0" w:line="19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are comprised of revenues generated by our retail outlets, entertainment venues and other miscellaneous items. MTR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contributed $10.7 million of other revenues for the nine months ended September 30, 2015. As a result, consolidated other revenues increased 132.4% for the nine months ended September 30, 2015 compared to the same prior year period.</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Consolidated other revenues, excluding MTR Gaming other revenues, remained flat for the nine months ended September 30, 2015 compared to the same prior year period. Other revenues at Eldorado Reno increased 2.2% for the nine months ended September 30, 2015 compared to the same prior year period primarily due to increased entertainment revenues in the Eldorado Reno theatre. Other revenues decreased 3.0% at Eldorado Shreveport for the nine months ended September 30, 2015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prior year period due to lower retail sales, which were partially offset by higher ATM commission revenues.</w:t>
      </w:r>
    </w:p>
    <w:p>
      <w:pPr>
        <w:spacing w:after="0" w:line="225"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i w:val="1"/>
          <w:iCs w:val="1"/>
          <w:color w:val="auto"/>
        </w:rPr>
        <w:t xml:space="preserve">Promotional Allowances. </w:t>
      </w:r>
      <w:r>
        <w:rPr>
          <w:rFonts w:ascii="Arial" w:cs="Arial" w:eastAsia="Arial" w:hAnsi="Arial"/>
          <w:sz w:val="16"/>
          <w:szCs w:val="16"/>
          <w:color w:val="auto"/>
        </w:rPr>
        <w:t>Consolidated promotional allowances, expressed as a percentage of casino revenues, decreased to 10.2%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2015 compared to 20.9% for the same prior year period, and total consolidated promotional allowances incurred increased 44.4%. MTR Gaming's promotional allowances represented 4.7% of its casino revenues for the nine months ended September 30, 2015. Promotional allowances at Eldorado Reno and Eldorado Shreveport increased 1.3% and 1.2%, respectively, for the nine months ended September 30, 2015 compared to the same prior year period resulting from increases in casino volume. Management actively reviews the effectiveness of its promotions and direct mail programs to expand successful promotions while eliminating or reducing less profitable promotions. Promotional activities reflect our efforts to maintain ERI's share of the gaming markets in which it operates in an effort to mitigate the impact of increasing competition.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operating expenses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 Ended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274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27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7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2580" w:type="dxa"/>
            <w:vAlign w:val="bottom"/>
            <w:gridSpan w:val="3"/>
          </w:tcPr>
          <w:p>
            <w:pPr>
              <w:jc w:val="right"/>
              <w:ind w:right="80"/>
              <w:spacing w:after="0"/>
              <w:rPr>
                <w:sz w:val="20"/>
                <w:szCs w:val="20"/>
                <w:color w:val="auto"/>
              </w:rPr>
            </w:pPr>
            <w:r>
              <w:rPr>
                <w:rFonts w:ascii="Arial" w:cs="Arial" w:eastAsia="Arial" w:hAnsi="Arial"/>
                <w:sz w:val="18"/>
                <w:szCs w:val="18"/>
                <w:color w:val="auto"/>
              </w:rPr>
              <w:t>$   20,447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  21,095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53,241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54,123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194,594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8,659</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2,147.3%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1720"/>
              <w:spacing w:after="0"/>
              <w:rPr>
                <w:sz w:val="20"/>
                <w:szCs w:val="20"/>
                <w:color w:val="auto"/>
              </w:rPr>
            </w:pPr>
            <w:r>
              <w:rPr>
                <w:rFonts w:ascii="Arial" w:cs="Arial" w:eastAsia="Arial" w:hAnsi="Arial"/>
                <w:sz w:val="18"/>
                <w:szCs w:val="18"/>
                <w:color w:val="auto"/>
              </w:rPr>
              <w:t>Pari-mutuel commissions—MTR Gaming</w:t>
            </w:r>
          </w:p>
        </w:tc>
        <w:tc>
          <w:tcPr>
            <w:tcW w:w="17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1,518.1%</w:t>
            </w: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2580" w:type="dxa"/>
            <w:vAlign w:val="bottom"/>
            <w:gridSpan w:val="3"/>
          </w:tcPr>
          <w:p>
            <w:pPr>
              <w:jc w:val="right"/>
              <w:ind w:right="80"/>
              <w:spacing w:after="0"/>
              <w:rPr>
                <w:sz w:val="20"/>
                <w:szCs w:val="20"/>
                <w:color w:val="auto"/>
              </w:rPr>
            </w:pPr>
            <w:r>
              <w:rPr>
                <w:rFonts w:ascii="Arial" w:cs="Arial" w:eastAsia="Arial" w:hAnsi="Arial"/>
                <w:sz w:val="18"/>
                <w:szCs w:val="18"/>
                <w:color w:val="auto"/>
              </w:rPr>
              <w:t>16,416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17,580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4,074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4,278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1720"/>
              <w:spacing w:after="0"/>
              <w:rPr>
                <w:sz w:val="20"/>
                <w:szCs w:val="20"/>
                <w:color w:val="auto"/>
              </w:rPr>
            </w:pPr>
            <w:r>
              <w:rPr>
                <w:rFonts w:ascii="Arial" w:cs="Arial" w:eastAsia="Arial" w:hAnsi="Arial"/>
                <w:sz w:val="18"/>
                <w:szCs w:val="18"/>
                <w:color w:val="auto"/>
              </w:rPr>
              <w:t>Hotel:</w:t>
            </w:r>
          </w:p>
        </w:tc>
        <w:tc>
          <w:tcPr>
            <w:tcW w:w="17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4,826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2580" w:type="dxa"/>
            <w:vAlign w:val="bottom"/>
            <w:gridSpan w:val="3"/>
          </w:tcPr>
          <w:p>
            <w:pPr>
              <w:jc w:val="right"/>
              <w:ind w:right="80"/>
              <w:spacing w:after="0"/>
              <w:rPr>
                <w:sz w:val="20"/>
                <w:szCs w:val="20"/>
                <w:color w:val="auto"/>
              </w:rPr>
            </w:pPr>
            <w:r>
              <w:rPr>
                <w:rFonts w:ascii="Arial" w:cs="Arial" w:eastAsia="Arial" w:hAnsi="Arial"/>
                <w:sz w:val="18"/>
                <w:szCs w:val="18"/>
                <w:color w:val="auto"/>
              </w:rPr>
              <w:t>895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905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6,843</w:t>
            </w:r>
          </w:p>
        </w:tc>
        <w:tc>
          <w:tcPr>
            <w:tcW w:w="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5,969</w:t>
            </w:r>
          </w:p>
        </w:tc>
        <w:tc>
          <w:tcPr>
            <w:tcW w:w="160" w:type="dxa"/>
            <w:vAlign w:val="bottom"/>
            <w:vMerge w:val="continue"/>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2580" w:type="dxa"/>
            <w:vAlign w:val="bottom"/>
            <w:gridSpan w:val="3"/>
          </w:tcPr>
          <w:p>
            <w:pPr>
              <w:jc w:val="right"/>
              <w:ind w:right="80"/>
              <w:spacing w:after="0"/>
              <w:rPr>
                <w:sz w:val="20"/>
                <w:szCs w:val="20"/>
                <w:color w:val="auto"/>
              </w:rPr>
            </w:pPr>
            <w:r>
              <w:rPr>
                <w:rFonts w:ascii="Arial" w:cs="Arial" w:eastAsia="Arial" w:hAnsi="Arial"/>
                <w:sz w:val="18"/>
                <w:szCs w:val="18"/>
                <w:color w:val="auto"/>
              </w:rPr>
              <w:t>4,340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4,160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1720"/>
              <w:spacing w:after="0"/>
              <w:rPr>
                <w:sz w:val="20"/>
                <w:szCs w:val="20"/>
                <w:color w:val="auto"/>
              </w:rPr>
            </w:pPr>
            <w:r>
              <w:rPr>
                <w:rFonts w:ascii="Arial" w:cs="Arial" w:eastAsia="Arial" w:hAnsi="Arial"/>
                <w:sz w:val="18"/>
                <w:szCs w:val="18"/>
                <w:color w:val="auto"/>
              </w:rPr>
              <w:t>Marketing and promotions</w:t>
            </w:r>
          </w:p>
        </w:tc>
        <w:tc>
          <w:tcPr>
            <w:tcW w:w="17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22,321</w:t>
            </w:r>
          </w:p>
        </w:tc>
        <w:tc>
          <w:tcPr>
            <w:tcW w:w="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14,148</w:t>
            </w:r>
          </w:p>
        </w:tc>
        <w:tc>
          <w:tcPr>
            <w:tcW w:w="160" w:type="dxa"/>
            <w:vAlign w:val="bottom"/>
            <w:vMerge w:val="continue"/>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81,595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35,566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Management fee</w:t>
            </w:r>
          </w:p>
        </w:tc>
        <w:tc>
          <w:tcPr>
            <w:tcW w:w="17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42,454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13,557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00" w:type="dxa"/>
            <w:vAlign w:val="bottom"/>
          </w:tcPr>
          <w:p>
            <w:pPr>
              <w:jc w:val="right"/>
              <w:ind w:right="972"/>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Casino Expenses. </w:t>
      </w:r>
      <w:r>
        <w:rPr>
          <w:rFonts w:ascii="Arial" w:cs="Arial" w:eastAsia="Arial" w:hAnsi="Arial"/>
          <w:sz w:val="16"/>
          <w:szCs w:val="16"/>
          <w:color w:val="auto"/>
        </w:rPr>
        <w:t>MTR Gaming incurred $194.6 million of casino expenses for the nine months ended September 30, 2015. As a result,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casino expenses increased 219.9% for the nine months ended September 30, 2015 compared to the same prior year period.</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Casino expenses, excluding MTR Gaming casino expenses, decreased 2.0% for the nine months ended September 30, 2015 compared to the same prior year period. Casino expenses at Eldorado Reno decreased 3.1% for the nine months ended September 30, 2015 compared to the same prior year period primarily reflecting a decrease in departmental variable costs, including payroll and bad debt expense, and savings in marketing and promotional expenditures. Despite the increase in casino revenues, casino expenses at Eldorado Shreveport decreased 1.6% for the nine months ended September 30, 2015 compared to the same prior year period primarily due to reductions in promotional and marketing costs.</w:t>
      </w:r>
    </w:p>
    <w:p>
      <w:pPr>
        <w:spacing w:after="0" w:line="170"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Pari-mutuel Expense.</w:t>
      </w:r>
      <w:r>
        <w:rPr>
          <w:sz w:val="20"/>
          <w:szCs w:val="20"/>
          <w:color w:val="auto"/>
        </w:rPr>
        <w:tab/>
      </w:r>
      <w:r>
        <w:rPr>
          <w:rFonts w:ascii="Arial" w:cs="Arial" w:eastAsia="Arial" w:hAnsi="Arial"/>
          <w:sz w:val="16"/>
          <w:szCs w:val="16"/>
          <w:color w:val="auto"/>
        </w:rPr>
        <w:t>MTR Gaming incurred $8.4 million of pari-mutuel expense for the nine months ended September 30, 2015.</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Food and Beverage Expenses. </w:t>
      </w:r>
      <w:r>
        <w:rPr>
          <w:rFonts w:ascii="Arial" w:cs="Arial" w:eastAsia="Arial" w:hAnsi="Arial"/>
          <w:sz w:val="16"/>
          <w:szCs w:val="16"/>
          <w:color w:val="auto"/>
        </w:rPr>
        <w:t>MTR Gaming incurred $15.9 million of food and beverage expenses for the nine months ended September 30, 2015.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consolidated food and beverage expenses increased 59.0% for the nine months ended September 30, 2015 compared to the same prior period.</w:t>
      </w:r>
    </w:p>
    <w:p>
      <w:pPr>
        <w:spacing w:after="0" w:line="13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Food and beverage expenses, excluding MTR Gaming food and beverage expenses, decreased 6.3% for the nine months ended September 30, 2015 compared to the same prior year period. Food and beverage expenses at Eldorado Reno and Eldorado Shreveport decreased 6.6% and 4.8%, respectively, during the current period due to lower cost of sales and payroll expenditures resulting from successful efforts to control costs and improve departmental profits.</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Hotel Expenses. </w:t>
      </w:r>
      <w:r>
        <w:rPr>
          <w:rFonts w:ascii="Arial" w:cs="Arial" w:eastAsia="Arial" w:hAnsi="Arial"/>
          <w:sz w:val="18"/>
          <w:szCs w:val="18"/>
          <w:color w:val="auto"/>
        </w:rPr>
        <w:t>MTR Gaming incurred $1.1 million of hotel expenses for the nine months ended September 30, 2015. As a result, consolidated hotel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14.6% for the nine months ended September 30, 2015 compared to the same prior year period.</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Hotel expenses, excluding MTR Gaming hotel expenses, decreased 2.3% for the nine months ended September 30, 2015 compared to the same prior year period. Hotel expenses at Eldorado Reno decreased 2.5% for the nine months ended September 30, 2015 compared to the same prior year period mainly due to lower hotel occupancy combined with cost savings initiatives. For the nine months ended September 30, 2015 compared to the same prior year period, hotel expenses at Eldorado Shreveport decreased 1.1% despite higher occupancy as a result of lower payroll and other departmental variable costs.</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Other expenses are comprised of expenses associated with sales at our retail outlets, entertainment venues and other miscellaneous items.</w:t>
      </w:r>
      <w:r>
        <w:rPr>
          <w:rFonts w:ascii="Arial" w:cs="Arial" w:eastAsia="Arial" w:hAnsi="Arial"/>
          <w:sz w:val="18"/>
          <w:szCs w:val="18"/>
          <w:i w:val="1"/>
          <w:iCs w:val="1"/>
          <w:color w:val="auto"/>
        </w:rPr>
        <w:t xml:space="preserve"> </w:t>
      </w:r>
      <w:r>
        <w:rPr>
          <w:rFonts w:ascii="Arial" w:cs="Arial" w:eastAsia="Arial" w:hAnsi="Arial"/>
          <w:sz w:val="18"/>
          <w:szCs w:val="18"/>
          <w:color w:val="auto"/>
        </w:rPr>
        <w:t>MTR Gaming incurred $5.0 million of other expenses for the nine months ended September 30, 2015. As a result, consolidated other expenses increased 82.9% for the nine months ended September 30, 2015 compared to the same prior year period.</w:t>
      </w:r>
    </w:p>
    <w:p>
      <w:pPr>
        <w:spacing w:after="0" w:line="19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Other expenses, excluding MTR Gaming other expenses, increased 3.8% for the nine months ended September 30, 2015 compared to the same year period. Other expenses at Eldorado Reno and Eldorado Shreveport increased 4.3% and 1.6% for the nine months ended September 30, 2015 compared to the same prior year period.</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Marketing and Promotional Expenses. </w:t>
      </w:r>
      <w:r>
        <w:rPr>
          <w:rFonts w:ascii="Arial" w:cs="Arial" w:eastAsia="Arial" w:hAnsi="Arial"/>
          <w:sz w:val="18"/>
          <w:szCs w:val="18"/>
          <w:color w:val="auto"/>
        </w:rPr>
        <w:t>MTR Gaming incurred $10.2 million of marketing and promotion expenses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As a result, consolidated marketing and promotion expenses increased 57.8% for the nine months ended September 30, 2015 compared to the same prior year period.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Excluding MTR Gaming, marketing and promotional expenses decreased 8.9% for the nine months ended September 30, 2015 compared to the same period in the prior year due to efforts to reduce advertising spend and promotional offers at both Eldorado Reno and Eldorado Shreveport.</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and Management Fees. </w:t>
      </w:r>
      <w:r>
        <w:rPr>
          <w:rFonts w:ascii="Arial" w:cs="Arial" w:eastAsia="Arial" w:hAnsi="Arial"/>
          <w:sz w:val="18"/>
          <w:szCs w:val="18"/>
          <w:color w:val="auto"/>
        </w:rPr>
        <w:t>MTR Gaming incurred $41.6 million of general and administrative expenses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2015. As a result, consolidated general and administrative expenses increased 129.4% during the nine months ended September 30, 2015 compared to the same prior year period.</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Excluding MTR Gaming, general and administrative expenses increased 21.8% during the nine months ended September 30, 2015 compared to the same prior year period due to increases in professional services and additional payroll associated with the Merger.</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Historically, we paid management fees to REI and HCM, affiliates of the Company. For the nine months ended September 30, 2014, we paid $0.5 million in management fees to REI and HCM.</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MTR Gaming incurred $30.6 million of depreciation expense for the nine months ended September 30, 2015.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depreciation and amortization expense increased 213.2% for nine months ended September 30, 2015 compared to the same prior year period.</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Depreciation and amortization expense decreased 3.8% for the nine months ended September 30, 2015 compared to the same prior year period at Eldorado Reno and Eldorado Shreveport as more assets became fully depreciated.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Charges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the nine months ended September 30, 2015, we incurred $0.7 million in acquisition charges in connection with the Merger and the Circus/Silver Legacy Purchase. For the nine months ended September 30, 2014, we incurred $6.9 million in acquisition charges in connection with the Merger. The amounts were expensed in accordance with the applicable accounting guidance for business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increased $35.5 million for the nine months ended September 30, 2015 primarily due to the incremental interest incurred by MTR Gaming.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partially offset by reductions in interest expense associated with our refinancing in July 2015 (see "Liquidity and Capital Resources").</w:t>
      </w:r>
    </w:p>
    <w:p>
      <w:pPr>
        <w:spacing w:after="0" w:line="236" w:lineRule="exact"/>
        <w:rPr>
          <w:sz w:val="20"/>
          <w:szCs w:val="20"/>
          <w:color w:val="auto"/>
        </w:rPr>
      </w:pPr>
    </w:p>
    <w:p>
      <w:pPr>
        <w:ind w:left="180" w:right="400" w:hanging="179"/>
        <w:spacing w:after="0" w:line="275"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Nine Months Ended September 30, 2015 and 2014</w:t>
      </w:r>
    </w:p>
    <w:p>
      <w:pPr>
        <w:spacing w:after="0" w:line="18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Adjusted EBITDA (defined below), a non US GAAP financial measure, has been presented as a supplemental disclosure because it is a widely used measure of performance and basis for valuation of companies in our industry and we believe that this non US GAAP supplemental information will be helpful in understanding the Company's ongoing operating results. Adjusted EBITDA represents (losses) earnings before interest expense (income), income tax expense (benefit), depreciation and amortization, equity in income of unconsolidated affiliates, (loss) gain on the sale or disposal of property, other regulatory gaming assessment costs, acquisition/strategic transaction costs and stock-based compensation expense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spacing w:after="0" w:line="335" w:lineRule="auto"/>
        <w:rPr>
          <w:sz w:val="20"/>
          <w:szCs w:val="20"/>
          <w:color w:val="auto"/>
        </w:rPr>
      </w:pPr>
      <w:r>
        <w:rPr>
          <w:rFonts w:ascii="Arial" w:cs="Arial" w:eastAsia="Arial" w:hAnsi="Arial"/>
          <w:sz w:val="15"/>
          <w:szCs w:val="15"/>
          <w:color w:val="auto"/>
        </w:rPr>
        <w:t>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4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summarizes our net revenues and Adjusted EBITDA for our operating segments for the three and nine months ended September 30, 2015 and 2014, in addition to reconciling Adjusted EBITDA to net income (loss) in accordance with US GAAP. The combined basis reflects operations of MTR Gaming for periods prior to the Merger combined with the operations of Resorts. Such presentation does not conform with US GAAP or the SEC's rules for pro forma presentation;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however, we have included the combined information because we believe it provides a meaningful comparison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292"/>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49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(unaudited,</w:t>
            </w:r>
          </w:p>
        </w:tc>
        <w:tc>
          <w:tcPr>
            <w:tcW w:w="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in</w:t>
            </w:r>
          </w:p>
        </w:tc>
        <w:tc>
          <w:tcPr>
            <w:tcW w:w="780" w:type="dxa"/>
            <w:vAlign w:val="bottom"/>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Eldorado Reno(1)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29,002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28,009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79,961</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79,295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103,919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102,122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Eldorado Total Net Revenues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63,653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183,880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181,417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MTR Gaming</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119,887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349,744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368,188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Net Revenues</w:t>
            </w:r>
          </w:p>
        </w:tc>
        <w:tc>
          <w:tcPr>
            <w:tcW w:w="1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183,540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533,624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549,605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Eldorado Reno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Shreveport(1)</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Eldorado Total Adjusted EBITDA</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(10,557)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MTR Gaming</w:t>
            </w:r>
          </w:p>
        </w:tc>
        <w:tc>
          <w:tcPr>
            <w:tcW w:w="1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Combined Adjusted EBITDA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100,225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Eldorado Reno:</w:t>
            </w: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for income taxes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of unconsolidated affiliates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Loss on disposal of property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Adjusted Eldorado Reno EBITDA</w:t>
            </w:r>
          </w:p>
        </w:tc>
        <w:tc>
          <w:tcPr>
            <w:tcW w:w="1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Eldorado Shreveport:</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Net income(1)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(Gain) loss on disposal of property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Eldorado Shreveport EBITDA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Corporate:</w:t>
            </w: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(21,835)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(66,170)</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(67,848)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51,590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income taxes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or disposal of property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early retirement of debt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Corporate EBITDA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(10,557)</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612"/>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right"/>
              <w:ind w:right="176"/>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(unaudited,</w:t>
            </w:r>
          </w:p>
        </w:tc>
        <w:tc>
          <w:tcPr>
            <w:tcW w:w="1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in</w:t>
            </w:r>
          </w:p>
        </w:tc>
        <w:tc>
          <w:tcPr>
            <w:tcW w:w="780" w:type="dxa"/>
            <w:vAlign w:val="bottom"/>
            <w:gridSpan w:val="2"/>
          </w:tcPr>
          <w:p>
            <w:pPr>
              <w:jc w:val="right"/>
              <w:ind w:right="58"/>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MTR Gaming:</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16,133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15,686</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50,979</w:t>
            </w:r>
          </w:p>
        </w:tc>
        <w:tc>
          <w:tcPr>
            <w:tcW w:w="1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48,909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Provision (benefit) for income taxes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5,668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regulatory gaming assessments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Loss (gain) on sale or disposal of property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MTR Gaming EBITDA</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78,711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640" w:hanging="531"/>
        <w:spacing w:after="0" w:line="332"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intercompany management fee revenues earned by Eldorado Reno and expensed by Eldorado Shreveport amounting to $0.8 million and $2.3 million, respectively, for the three and nine months ended September 30,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primary sources of liquidity and capital resources have been existing cash, cash flow from operations and proceeds from the issuance of debt securities. We expect that our primary capital requirements for the remainder of 2015 will relate to the operation and maintenance of our properties, servicing our outstanding indebtedness and the payment of the purchase price for the Circus Reno/Silver Legacy Purchase. We expect that cash generated from operations will be sufficient to fund our operations and capital requirements and service our outstanding indebtedness for the foreseeable future; however, we cannot provide assurance that operating cash flows will be sufficient to do so. We expect to apply a portion of the proceeds of the sale of our 7% Senior Notes due 2023 (described below), proceeds from the sale of common stock or borrowings under our revolving credit facility and cash on hand to pay the purchase price for the Circus Reno/Silver Legacy Purchase.</w:t>
      </w:r>
    </w:p>
    <w:p>
      <w:pPr>
        <w:spacing w:after="0" w:line="172"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At September 30, 2015, our consolidated cash and cash equivalents, excluding restricted cash of $1.6 million and escrow cash related to the Circus Reno/Silver Legacy Purchase of $55.5 million, totaled $48.8 million.</w:t>
      </w:r>
    </w:p>
    <w:p>
      <w:pPr>
        <w:spacing w:after="0" w:line="186"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For the nine months ended September 30, 2015, cash flows provided by operating activities totaled $20.5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$20.4 million during the same prior year period. The slight increase in operating cash was primarily due to various changes in balance sheet accounts in conjunction with the Merger and refinancing of our debt along with changes in the balance sheet accounts in the normal course of business.</w:t>
      </w:r>
    </w:p>
    <w:p>
      <w:pPr>
        <w:spacing w:after="0" w:line="161" w:lineRule="exact"/>
        <w:rPr>
          <w:sz w:val="20"/>
          <w:szCs w:val="20"/>
          <w:color w:val="auto"/>
        </w:rPr>
      </w:pPr>
    </w:p>
    <w:p>
      <w:pPr>
        <w:ind w:right="640" w:firstLine="351"/>
        <w:spacing w:after="0" w:line="286" w:lineRule="auto"/>
        <w:rPr>
          <w:sz w:val="20"/>
          <w:szCs w:val="20"/>
          <w:color w:val="auto"/>
        </w:rPr>
      </w:pPr>
      <w:r>
        <w:rPr>
          <w:rFonts w:ascii="Arial" w:cs="Arial" w:eastAsia="Arial" w:hAnsi="Arial"/>
          <w:sz w:val="16"/>
          <w:szCs w:val="16"/>
          <w:i w:val="1"/>
          <w:iCs w:val="1"/>
          <w:color w:val="auto"/>
        </w:rPr>
        <w:t xml:space="preserve">Investing Cash Flow. </w:t>
      </w:r>
      <w:r>
        <w:rPr>
          <w:rFonts w:ascii="Arial" w:cs="Arial" w:eastAsia="Arial" w:hAnsi="Arial"/>
          <w:sz w:val="16"/>
          <w:szCs w:val="16"/>
          <w:color w:val="auto"/>
        </w:rPr>
        <w:t>Net cash flows used in investing activities totaled $78.3 million for the nine months ended September 30, 2015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$49.1 million provided by investing activities for the same prior year period. Net cash flows used in investing activities for 2015 primarily consisted of</w:t>
      </w:r>
    </w:p>
    <w:p>
      <w:pPr>
        <w:ind w:right="100"/>
        <w:spacing w:after="0" w:line="261" w:lineRule="auto"/>
        <w:rPr>
          <w:sz w:val="20"/>
          <w:szCs w:val="20"/>
          <w:color w:val="auto"/>
        </w:rPr>
      </w:pPr>
      <w:r>
        <w:rPr>
          <w:rFonts w:ascii="Arial" w:cs="Arial" w:eastAsia="Arial" w:hAnsi="Arial"/>
          <w:sz w:val="18"/>
          <w:szCs w:val="18"/>
          <w:color w:val="auto"/>
        </w:rPr>
        <w:t>$24.4 million in capital expenditures for various renovation projects and equipment purchases and a $55.5 million escrow deposit related the Circus Reno/Silver Legacy Purchase (see "Pending Acquisition").</w:t>
      </w:r>
    </w:p>
    <w:p>
      <w:pPr>
        <w:spacing w:after="0" w:line="19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Financing Cash Flow. </w:t>
      </w:r>
      <w:r>
        <w:rPr>
          <w:rFonts w:ascii="Arial" w:cs="Arial" w:eastAsia="Arial" w:hAnsi="Arial"/>
          <w:sz w:val="16"/>
          <w:szCs w:val="16"/>
          <w:color w:val="auto"/>
        </w:rPr>
        <w:t>Net cash flows provided by financing activities for the nine months ended September 30, 2015 totaled $18.9 million representing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proceeds and associated costs with the issuance of the Senior Notes and New Credit Facility and the retirement of the Resorts Senior Secured Notes and MTR Second Lien Notes. Net cash used for financing activities for the nine months ended September 30, 2014 totaled $8.2 million and mainly consisted of payments totaling $2.5 million on the Resorts credit facility which was subsequently terminated in May 2014 and a payment of $5.0 million in conjunction with the Merger. Additionally, $0.6 million was distributed representing Louisiana state tax payments in 2014.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the nine months ended September 30, 2015, additions to property and equipment consisting primarily of slot machines, the Brew Brothers in Scioto Downs construction project and other capital projects, aggregated $24.4 million, which included $3.2 million at Eldorado Reno, $2.5 million at Eldorado Shreveport, $0.5 million at corporate and $18.2 million at the MTR Gaming properties.</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Under legislation approved by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nine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Mountaineer did not receive any reimbursements during the nine months ended September 30, 2015. As of September 30, 2015, Mountaineer remains eligible for approximately $6.9 million under annual modernization fund grants that expire in varying dates through June 30, 2016. We can make no assurances we will be able to make qualifying capital expenditures purchases sufficient to receive reimbursement of the available funds prior to their expiration.</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anticipate spending on capital expenditures during the remainder of 2015 to be approximately $4.6 million after anticipated reimbursements from West Virginia on qualified capital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Refinancing Transaction</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July 23, 2015, the Company issued $375 million in aggregate principal amount of 7.0% Senior Notes due 2023 (the "Senior Notes") pursuant to an indenture, dated as of July 23, 2015 (the "Indenture"), at an issue price equal to 100.0% of the aggregate principal amount of the Senior Notes. The Senior Notes are guaranteed by all of the Company's direct and indirect restricted subsidiaries other than immaterial subsidiaries. The Senior Notes will mature on August 1, 2023, with interest payable semi-annually in arrears on February 1 and August 1 of each year.</w:t>
      </w:r>
    </w:p>
    <w:p>
      <w:pPr>
        <w:spacing w:after="0" w:line="167"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Company used, or will use,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equal to</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$50.0 million, plus interest to the latest possible redemption date, were placed in escrow, to be released only if the Circus Reno/Silver Legacy Purchase is consummated on or prior to April 1, 2016; otherwise, $50.0 million in aggregate principal amount of the Senior Notes will be subject to a special mandatory redemption, on a pro rata basis, at a redemption price equal to 100% of the principal amount thereof plus accrued and unpaid interest to, but not including, the redemption date. The Company recognized an $3.6 million loss on the retirement of the Resorts Senior Secured Notes and a $1.8 million gain on the retirement of the MTR Second Lien Notes for a consolidated $1.8 million loss on early extinguishment of debt.</w:t>
      </w:r>
    </w:p>
    <w:p>
      <w:pPr>
        <w:spacing w:after="0" w:line="17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the Senior Notes redeemed, to the applicable redemption date, if redeemed during the twelve month period beginning on August 1 of the years indicated below:</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7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September 30, 2015, Resorts was in compliance with all of the covenants under the indenture relating to the Senior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July 23, 2015, the Company entered into a new $425.0 million seven year term loan (the "New Term Loan") and new $150.0 million five year revolving credit facility (the "New Revolving Credit Facility" and, together with the New Term Loan, the "New Credit Facility"). Also on July 23, 2015, the Company incurred $40.0 million of borrowings under the New Revolving Credit Facility. As of September 30, 2015, the Company had $423.9 million outstanding on the New Term Loan and $18.0 million in borrowings outstanding under the New Revolving Credit Facility. The Company had</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$132.0 million of available borrowing capacity under its New Revolving Credit Facility as of September 30, 2015. At September 30, 2015, the interest rate on the New Term Loan was 4.25% and the interest rate on the New Revolving Credit Facility was 3.25%.</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New Term Loan bears interest at a rate per annum of, at the Company's option, either (x) LIBOR plus 3.25%, with a LIBOR floor of 1.0%, or (y) a base rate plus 2.25%. Borrowing under the New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will pay a commitment fee on the unused portion of the New Revolving Credit Facility not being utilized in the amount of .50% per annum.</w:t>
      </w:r>
    </w:p>
    <w:p>
      <w:pPr>
        <w:spacing w:after="0" w:line="197"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credit agreement governing the New Credit Facility also includes requirements that the Company maintains a maximum total leverage ratio and a minimum interest coverage ratio (adjusting over time). The Company is required to maintain a maximum total leverage ratio of 6.75 to 1.00 from the closing date through December 31, 2015, 6.00 to 1.00 from January 1, 2016 to December 31, 2017 and 5.00 to 1.00 thereafter. In addition , the Company is required to maintain a minimum interest coverage ratio of 2.50 to 1.00 from the closing date through December 31, 2015, and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September 30, 2015, the Company was in compliance with the covenants under the New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Resorts' Senior Secured Notes</w:t>
      </w:r>
    </w:p>
    <w:p>
      <w:pPr>
        <w:spacing w:after="0" w:line="225"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On June 1, 2011, Resorts completed the issuance of the 8.625% Senior Secured Notes due 2019 (the "Resorts Senior Secured Notes"). Interest on the Resorts Senior Secured Notes was payable semiannually each June 15 and December 15 to holders of record on the preceding June 1 or December 1,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refinancing transactions described above, the Company purchased or discharged all of the outstanding Resorts Senior Secured Notes in July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MTR Gaming Second Lien Notes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August 1, 2011, MTR Gaming completed the offering of the MTR Gaming 11.5% Senior Secured Second Lien Notes due August 1, 2019 (the "MTR Second Lien Notes") at an issue price equal to 97% of the aggregate principal amount, with interest payable semi-annually in arrears on February 1 and August 1 of each year.</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refinancing transactions described above, the Company purchased or discharged all of the outstanding MTR Gaming Second Lien Notes in July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There have been no material changes during the nine months ended September 30, 2015 to our contractual obligations as disclosed in our Annual Report on Form 10-K for the year ended December 31,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(i) cumulative gross slot revenue since inception in relation to the combined cumulative gross slot revenue for all licensees and (ii)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approximately $4.1 million and will be paid quarterly over a ten-year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 borrowings and estimated that our total proportionate share of the aggregate $36.1 million to all fourteen gaming facilities will approximate $2.1 million, which has been accrued in our consolidated balance sheets at September 30, 2015 and December 31, 2014.</w:t>
      </w:r>
    </w:p>
    <w:p>
      <w:pPr>
        <w:spacing w:after="0" w:line="178"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The recorded estimate is subject to revision based upon future changes in the revenue assumptions utilized to develop the estimate. Our estimated total obligation at September 30, 2015 and December 31, 2014 was $4.5 million and $5.0 million, respectively, and is accrued in the respective accompanying consolidated balance sheets. The Company paid $0.3 million during the nine months ended September 30, 2015.</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greater detail in "Part II, Item 1. "Legal Proceedings" and Note 10 to our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critical accounting policies disclosures are included in our Annual Report on Form 10-K for the year ended December 31, 2014. Management believes there have been no material changes since December 31, 2014. We have not substantively changed the application of our policies and there have been no material changes in assumptions or estimation techniques used as compared to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party 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Forward-looking statements in this report include, among other things, statements concerning:</w:t>
      </w:r>
    </w:p>
    <w:p>
      <w:pPr>
        <w:spacing w:after="0" w:line="18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expectations regarding our business and results of operations of our existing casino properties and prospects for future development;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and our ability to operate efficiently;</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intention to pursue development opportunities and acquisitions and obtain financing for such development and acquisitions;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impact of regulation on our business and our ability to receive and maintain necessary approvals for our existing properties and future projects.</w:t>
      </w:r>
    </w:p>
    <w:p>
      <w:pPr>
        <w:spacing w:after="0" w:line="260"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Any forward-looking statement is based upon a number of estimates and assumptions that, while considered reasonable by us, is inherently subject to significant business, economic and competitive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uncertainties and contingencies, many of which are beyond our control, and are subject to change. Actual results of operations may vary materially from any forward-looking statement made herein.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is subject include, but are not limited to, the following:</w:t>
      </w:r>
    </w:p>
    <w:p>
      <w:pPr>
        <w:spacing w:after="0" w:line="180" w:lineRule="exact"/>
        <w:rPr>
          <w:sz w:val="20"/>
          <w:szCs w:val="20"/>
          <w:color w:val="auto"/>
        </w:rPr>
      </w:pPr>
    </w:p>
    <w:p>
      <w:pPr>
        <w:ind w:left="1080" w:right="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and limitations in agreements governing our debt could significantly affect our ability to operate our business and our liquidity;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dependence on our Nevada, Louisiana, West Virginia, Pennsylvania and Ohio casinos for substantially all of our revenues and cash flows;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consummate the Circus Reno/Silver Legacy Purchase;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obtain financing for the purchase of Circus Reno and the 50% interest in Silver Legacy on terms that are acceptable to us, or at all;</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the operations of Circus Reno, the Silver Legacy and the MTR Gaming properties and realize the benefits of the Circus Reno/Silver Legacy Purchase, the Merger and other future acquisitions;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gaming taxes and fees in jurisdictions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other factors set forth in Part I, Items 1A. "Risk Factors" included in our Annual Report on Form 10-K for the year ended December 31, 2014.</w:t>
      </w:r>
    </w:p>
    <w:p>
      <w:pPr>
        <w:spacing w:after="0" w:line="248"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light of these and other risks, uncertainties and assumptions, the forward-looking events discussed in this report might not occur. Any forward-looking statement speaks only as of the date on which that statement is made. We do not intend to update publicly any forward-looking statement to</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reflect events or circumstances that occur after the date on which the statement is made, except as may be required by law.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We do not hold any market risk sensitive instruments for trading purposes. Our primary exposure to market risk is interest rate risk, specifically long-term U.S. treasury rates and the applicable spreads in the high-yield investment risk, short-term and long-term LIBOR rates, and short-term Eurodollar rates, and their potential impact on our long-term debt. We attempt to limit our exposure to interest rate risk by managing the mix of our long-term fixed-rate borrowings and short-term borrowings under the New Credit Facility. We do not currently utilize derivative financial instruments for trading or speculative purposes. (See also "Liquidity and Capital Resources" above for additional information related to the recent refinancing of our long-term debt.</w:t>
      </w:r>
    </w:p>
    <w:p>
      <w:pPr>
        <w:spacing w:after="0" w:line="174" w:lineRule="exact"/>
        <w:rPr>
          <w:sz w:val="20"/>
          <w:szCs w:val="20"/>
          <w:color w:val="auto"/>
        </w:rPr>
      </w:pPr>
    </w:p>
    <w:p>
      <w:pPr>
        <w:ind w:right="800" w:firstLine="341"/>
        <w:spacing w:after="0" w:line="268" w:lineRule="auto"/>
        <w:rPr>
          <w:sz w:val="20"/>
          <w:szCs w:val="20"/>
          <w:color w:val="auto"/>
        </w:rPr>
      </w:pPr>
      <w:r>
        <w:rPr>
          <w:rFonts w:ascii="Arial" w:cs="Arial" w:eastAsia="Arial" w:hAnsi="Arial"/>
          <w:sz w:val="18"/>
          <w:szCs w:val="18"/>
          <w:color w:val="auto"/>
        </w:rPr>
        <w:t>As of September 30, 2015, our long-term variable-rate borrowings totaled $442 million comprised of $424 million under the New Term Loan and $18 million under the New Revolving Credit Facility and represented approximately 54% of our long-term debt.</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5"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94"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a material weakness in our annual or interim financial statements will not be prevented or detected on a timely basis.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the quarter ending September 30, 2015, we identified a material weakness in our controls over the accounting for a debt refinancing transaction, as described below. As a result, our Chief Executive Officer and Chief Financial Officer have concluded our disclosure controls and procedures are not effective at a level that provides reasonable assurance as of the last day of the period covered by this report.</w:t>
      </w:r>
    </w:p>
    <w:p>
      <w:pPr>
        <w:spacing w:after="0" w:line="19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The material weakness in internal control over financial reporting resulted from the lack of effective controls which allowed for the misinterpretation of the procedural and assessment calculation guidance in Accounting Standards Codification ("ASC") 470,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Specifically, subsequent to the issuance of our earnings release and as part of completing our financial statement close process for our quarterly report, we determined we did not properly account for a debt transaction which resulted in the reporting of an incorrect amount of loss on the transaction in our earnings release for the quarter. The accounting for the transaction was corrected in the amounts included in this quarterly report. Additionally, we had a design deficiency in our controls as we did not have a sufficiently robust control in place to ensure satisfactory completion of our financial statement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close process prior to the issuance of our earnings release. To remediate the material weakness, management with the oversight of our Audit Committee will formally implement a remediation program. We are actively engaged in identifying the necessary actions to address the material weakness.</w:t>
      </w:r>
    </w:p>
    <w:p>
      <w:pPr>
        <w:spacing w:after="0" w:line="15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Except as noted above, there were no significant changes in our internal control over financial reporting identified in connection with the above evaluation that occurred during the period covered by this Form 10-Q Quarterly Report that have materially affected, or are reasonably likely to materially affect, our internal control over financial reporting.</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Presque Isle Downs, Inc. v Dwayne Cooper Enterprises, Inc. et al; Civil Action No. 10493-2009; Court of Common Pleas of Erie County, Pennsylvania.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17, 2010, Presque Isle Downs, Inc. initiated legal action in the Court of Common Pleas of Erie County, Pennsylvania, against defendants Dwayne Cooper Enterprises, Inc. ("DCE"), Turner Construction Company ("Turner"), and Rectenwald Buehler Architects, Inc. f/k/a Weborg Rectenwald Buehler Architects, Inc. ("RB") to recover damages arising out of failures of the surveillance system installed during the original construction of the casino facilities at Presque Isle Downs. DCE supplied and installed the surveillance system, RB acted as the project architect, and Turner served as the construction manager on the project. Shortly after Presque Isle Downs opened on February 28, 2007, it discovered that certain components of the surveillance system were defective, malfunctioning or missing. After efforts to remediate the deficiencies in the system were unsuccessful, it became necessary to replace certain components of the surveillance system at a cost of $1.9 million, and to write-off approximately $1.5 million related to the net book value of the equipment that was replaced. On April 5, 2011, Presque Isle Downs obtained a default judgment against DCE in the amount of $2.7 million. Efforts to enforce the judgment against DCE are ongoing but the assets of DCE appear to be modest and materially insufficient to pay the judgment. Any proceeds that may be received will be recorded as the amounts are realized. Defendant RB joined five additional vendors/subcontractors as additional defendants in the case. Each of the defendants and all but one of the additional defendants filed motions or objections requesting that the Court dismiss the claims against it. After these motions and objections were denied and the parties engaged in limited discovery, the parties agreed to submit the case to mediation. The mediation occurred on February 10, 2015, and resulted in an agreement under which the sum of $0.7 million would be paid to Presque Isle Downs, Inc. in exchange for a general release of the defendants (except DCE) and the additional defendants. A settlement agreement and release have been entered into by all parties. The case was dismissed August 4, 2015.</w:t>
      </w:r>
    </w:p>
    <w:p>
      <w:pPr>
        <w:spacing w:after="0" w:line="180"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i w:val="1"/>
          <w:iCs w:val="1"/>
          <w:color w:val="auto"/>
        </w:rPr>
        <w:t xml:space="preserve">State ex rel. Walgate v. Kasich; Case No. 11 CV-10-13126; Court of Common Pleas Franklin County, Ohio. </w:t>
      </w:r>
      <w:r>
        <w:rPr>
          <w:rFonts w:ascii="Arial" w:cs="Arial" w:eastAsia="Arial" w:hAnsi="Arial"/>
          <w:sz w:val="15"/>
          <w:szCs w:val="15"/>
          <w:color w:val="auto"/>
        </w:rPr>
        <w:t>On October 21, 2011, the Ohio Roundtable filed</w:t>
      </w:r>
      <w:r>
        <w:rPr>
          <w:rFonts w:ascii="Arial" w:cs="Arial" w:eastAsia="Arial" w:hAnsi="Arial"/>
          <w:sz w:val="15"/>
          <w:szCs w:val="15"/>
          <w:i w:val="1"/>
          <w:iCs w:val="1"/>
          <w:color w:val="auto"/>
        </w:rPr>
        <w:t xml:space="preserve"> </w:t>
      </w:r>
      <w:r>
        <w:rPr>
          <w:rFonts w:ascii="Arial" w:cs="Arial" w:eastAsia="Arial" w:hAnsi="Arial"/>
          <w:sz w:val="15"/>
          <w:szCs w:val="15"/>
          <w:color w:val="auto"/>
        </w:rPr>
        <w:t>a complaint in the Court of 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we, along with four of the other racinos in Ohio, filed motions for judgment on the pleadings to supplement the position of the Racing Commission. In May 2012, the Court of Common Pleas dismissed the case;</w:t>
      </w:r>
    </w:p>
    <w:p>
      <w:pPr>
        <w:spacing w:after="0" w:line="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however, the plaintiffs filed an appeal and oral arguments were held on January 17, 2013 in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but was stayed temporarily stayed until it first ruled on a matter with similar procedural issues. A decision was issued on that case on June 10, 2014. In response to a </w:t>
      </w:r>
      <w:r>
        <w:rPr>
          <w:rFonts w:ascii="Arial" w:cs="Arial" w:eastAsia="Arial" w:hAnsi="Arial"/>
          <w:sz w:val="16"/>
          <w:szCs w:val="16"/>
          <w:i w:val="1"/>
          <w:iCs w:val="1"/>
          <w:color w:val="auto"/>
        </w:rPr>
        <w:t>motion to dismiss as improvidently granted</w:t>
      </w:r>
      <w:r>
        <w:rPr>
          <w:rFonts w:ascii="Arial" w:cs="Arial" w:eastAsia="Arial" w:hAnsi="Arial"/>
          <w:sz w:val="16"/>
          <w:szCs w:val="16"/>
          <w:color w:val="auto"/>
        </w:rPr>
        <w:t xml:space="preserve"> which was filed jointly by Appellees, the remaining propositions of law were briefed by the parties and oral argument before the Ohio Supreme Court was held on June 23, 2015.</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Legal matters are discussed in greater detail in "Part I, Item 3. Legal Proceedings" and Note 15 to our Consolidated Financial statements included in our Annual Report on Form 10-K for the year ended December 31, 2014.</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description of our risk factors can be found in "Part I, Item 1A. Risk Factors" included in our Annual Report on Form 10-K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2014 and in "Part II, Item 1A. Risk Factors" included in our Quarterly Report on Form 10-Q for the quarter ended June 30, 2015. There have been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 material changes to risk factors described in our Form 10-K for the year ended December 31, 2014 and Form 10-Q for the quarter ended June 30, 2015.</w:t>
      </w:r>
    </w:p>
    <w:p>
      <w:pPr>
        <w:sectPr>
          <w:pgSz w:w="11900" w:h="16838" w:orient="portrait"/>
          <w:cols w:equalWidth="0" w:num="1">
            <w:col w:w="11320"/>
          </w:cols>
          <w:pgMar w:left="240" w:top="131" w:right="339" w:bottom="1440" w:gutter="0" w:footer="0" w:header="0"/>
        </w:sectPr>
      </w:pP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9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96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1"/>
              </w:rPr>
              <w:t>Purchase and Sale Agreement, dated as of July 7, 2015, by and among Eldorado</w:t>
            </w:r>
          </w:p>
        </w:tc>
      </w:tr>
      <w:tr>
        <w:trPr>
          <w:trHeight w:val="216"/>
        </w:trPr>
        <w:tc>
          <w:tcPr>
            <w:tcW w:w="64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w w:val="99"/>
              </w:rPr>
              <w:t>Limited Liability Company, CC-RENO LLC, Circus Circus Casinos, Inc. and</w:t>
            </w:r>
          </w:p>
        </w:tc>
      </w:tr>
      <w:tr>
        <w:trPr>
          <w:trHeight w:val="222"/>
        </w:trPr>
        <w:tc>
          <w:tcPr>
            <w:tcW w:w="640" w:type="dxa"/>
            <w:vAlign w:val="bottom"/>
          </w:tcPr>
          <w:p>
            <w:pPr>
              <w:spacing w:after="0"/>
              <w:rPr>
                <w:sz w:val="19"/>
                <w:szCs w:val="19"/>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Galleon, Inc.</w:t>
            </w:r>
          </w:p>
        </w:tc>
      </w:tr>
      <w:tr>
        <w:trPr>
          <w:trHeight w:val="669"/>
        </w:trPr>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w w:val="99"/>
              </w:rPr>
              <w:t>Supplemental Indenture dated as of July 22, 2015, by and among Eldorado</w:t>
            </w:r>
          </w:p>
        </w:tc>
      </w:tr>
      <w:tr>
        <w:trPr>
          <w:trHeight w:val="216"/>
        </w:trPr>
        <w:tc>
          <w:tcPr>
            <w:tcW w:w="64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w w:val="88"/>
              </w:rPr>
              <w:t>Resorts LLC and Eldorado Capital Corp., as co-issuers, the guarantors party thereto,</w:t>
            </w:r>
          </w:p>
        </w:tc>
      </w:tr>
      <w:tr>
        <w:trPr>
          <w:trHeight w:val="216"/>
        </w:trPr>
        <w:tc>
          <w:tcPr>
            <w:tcW w:w="64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w w:val="94"/>
              </w:rPr>
              <w:t>U.S. Bank National Association, as trustee, and Capital One, N.A., as collateral</w:t>
            </w:r>
          </w:p>
        </w:tc>
      </w:tr>
      <w:tr>
        <w:trPr>
          <w:trHeight w:val="222"/>
        </w:trPr>
        <w:tc>
          <w:tcPr>
            <w:tcW w:w="640" w:type="dxa"/>
            <w:vAlign w:val="bottom"/>
          </w:tcPr>
          <w:p>
            <w:pPr>
              <w:spacing w:after="0"/>
              <w:rPr>
                <w:sz w:val="19"/>
                <w:szCs w:val="19"/>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trustee.</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w w:val="94"/>
              </w:rPr>
              <w:t>Supplemental Indenture dated as of July 22, 2015, by and among MTR Gaming</w:t>
            </w:r>
          </w:p>
        </w:tc>
      </w:tr>
      <w:tr>
        <w:trPr>
          <w:trHeight w:val="216"/>
        </w:trPr>
        <w:tc>
          <w:tcPr>
            <w:tcW w:w="64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Group, Inc., the guarantors party thereto, and Wilmington Trust, National</w:t>
            </w:r>
          </w:p>
        </w:tc>
      </w:tr>
      <w:tr>
        <w:trPr>
          <w:trHeight w:val="222"/>
        </w:trPr>
        <w:tc>
          <w:tcPr>
            <w:tcW w:w="640" w:type="dxa"/>
            <w:vAlign w:val="bottom"/>
          </w:tcPr>
          <w:p>
            <w:pPr>
              <w:spacing w:after="0"/>
              <w:rPr>
                <w:sz w:val="19"/>
                <w:szCs w:val="19"/>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Association, as trustee and collateral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w w:val="95"/>
              </w:rPr>
              <w:t>Indenture dated as of July 23, 2015, by and among the Company, certain of its</w:t>
            </w:r>
          </w:p>
        </w:tc>
      </w:tr>
      <w:tr>
        <w:trPr>
          <w:trHeight w:val="222"/>
        </w:trPr>
        <w:tc>
          <w:tcPr>
            <w:tcW w:w="640" w:type="dxa"/>
            <w:vAlign w:val="bottom"/>
          </w:tcPr>
          <w:p>
            <w:pPr>
              <w:spacing w:after="0"/>
              <w:rPr>
                <w:sz w:val="19"/>
                <w:szCs w:val="19"/>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w w:val="93"/>
              </w:rPr>
              <w:t>wholly-owned subsidiaries (as guarantors) and U.S. Bank, National Association.</w:t>
            </w:r>
          </w:p>
        </w:tc>
      </w:tr>
      <w:tr>
        <w:trPr>
          <w:trHeight w:val="648"/>
        </w:trPr>
        <w:tc>
          <w:tcPr>
            <w:tcW w:w="640" w:type="dxa"/>
            <w:vAlign w:val="bottom"/>
          </w:tcPr>
          <w:p>
            <w:pPr>
              <w:spacing w:after="0"/>
              <w:rPr>
                <w:sz w:val="24"/>
                <w:szCs w:val="24"/>
                <w:color w:val="auto"/>
              </w:rPr>
            </w:pPr>
          </w:p>
        </w:tc>
        <w:tc>
          <w:tcPr>
            <w:tcW w:w="6120" w:type="dxa"/>
            <w:vAlign w:val="bottom"/>
            <w:gridSpan w:val="2"/>
          </w:tcPr>
          <w:p>
            <w:pPr>
              <w:ind w:left="3820"/>
              <w:spacing w:after="0"/>
              <w:rPr>
                <w:sz w:val="20"/>
                <w:szCs w:val="20"/>
                <w:color w:val="auto"/>
              </w:rPr>
            </w:pPr>
            <w:r>
              <w:rPr>
                <w:rFonts w:ascii="Arial" w:cs="Arial" w:eastAsia="Arial" w:hAnsi="Arial"/>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3976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right="1220"/>
        <w:spacing w:after="0" w:line="295" w:lineRule="auto"/>
        <w:rPr>
          <w:sz w:val="20"/>
          <w:szCs w:val="20"/>
          <w:color w:val="auto"/>
        </w:rPr>
      </w:pPr>
      <w:r>
        <w:rPr>
          <w:rFonts w:ascii="Arial" w:cs="Arial" w:eastAsia="Arial" w:hAnsi="Arial"/>
          <w:sz w:val="16"/>
          <w:szCs w:val="16"/>
          <w:color w:val="auto"/>
        </w:rPr>
        <w:t>Incorporated by reference to our registration statement on Form S-1 filed on July 14, 2015.</w:t>
      </w:r>
    </w:p>
    <w:p>
      <w:pPr>
        <w:spacing w:after="0" w:line="195" w:lineRule="exact"/>
        <w:rPr>
          <w:sz w:val="20"/>
          <w:szCs w:val="20"/>
          <w:color w:val="auto"/>
        </w:rPr>
      </w:pPr>
    </w:p>
    <w:p>
      <w:pPr>
        <w:ind w:right="1080"/>
        <w:spacing w:after="0" w:line="306" w:lineRule="auto"/>
        <w:rPr>
          <w:sz w:val="20"/>
          <w:szCs w:val="20"/>
          <w:color w:val="auto"/>
        </w:rPr>
      </w:pPr>
      <w:r>
        <w:rPr>
          <w:rFonts w:ascii="Arial" w:cs="Arial" w:eastAsia="Arial" w:hAnsi="Arial"/>
          <w:sz w:val="16"/>
          <w:szCs w:val="16"/>
          <w:color w:val="auto"/>
        </w:rPr>
        <w:t>Incorporated by reference to our Current Report on Form 8-K filed on July 23, 2015.</w:t>
      </w:r>
    </w:p>
    <w:p>
      <w:pPr>
        <w:spacing w:after="0" w:line="200" w:lineRule="exact"/>
        <w:rPr>
          <w:sz w:val="20"/>
          <w:szCs w:val="20"/>
          <w:color w:val="auto"/>
        </w:rPr>
      </w:pPr>
    </w:p>
    <w:p>
      <w:pPr>
        <w:spacing w:after="0" w:line="204" w:lineRule="exact"/>
        <w:rPr>
          <w:sz w:val="20"/>
          <w:szCs w:val="20"/>
          <w:color w:val="auto"/>
        </w:rPr>
      </w:pPr>
    </w:p>
    <w:p>
      <w:pPr>
        <w:ind w:right="1080"/>
        <w:spacing w:after="0" w:line="306" w:lineRule="auto"/>
        <w:rPr>
          <w:sz w:val="20"/>
          <w:szCs w:val="20"/>
          <w:color w:val="auto"/>
        </w:rPr>
      </w:pPr>
      <w:r>
        <w:rPr>
          <w:rFonts w:ascii="Arial" w:cs="Arial" w:eastAsia="Arial" w:hAnsi="Arial"/>
          <w:sz w:val="16"/>
          <w:szCs w:val="16"/>
          <w:color w:val="auto"/>
        </w:rPr>
        <w:t>Incorporated by reference to our Current Report on Form 8-K filed on July 23, 2015.</w:t>
      </w:r>
    </w:p>
    <w:p>
      <w:pPr>
        <w:spacing w:after="0" w:line="188" w:lineRule="exact"/>
        <w:rPr>
          <w:sz w:val="20"/>
          <w:szCs w:val="20"/>
          <w:color w:val="auto"/>
        </w:rPr>
      </w:pPr>
    </w:p>
    <w:p>
      <w:pPr>
        <w:ind w:right="1080"/>
        <w:spacing w:after="0" w:line="306" w:lineRule="auto"/>
        <w:rPr>
          <w:sz w:val="20"/>
          <w:szCs w:val="20"/>
          <w:color w:val="auto"/>
        </w:rPr>
      </w:pPr>
      <w:r>
        <w:rPr>
          <w:rFonts w:ascii="Arial" w:cs="Arial" w:eastAsia="Arial" w:hAnsi="Arial"/>
          <w:sz w:val="16"/>
          <w:szCs w:val="16"/>
          <w:color w:val="auto"/>
        </w:rPr>
        <w:t>Incorporated by reference to our Current Report on Form 8-K filed on July 23, 2015.</w:t>
      </w:r>
    </w:p>
    <w:p>
      <w:pPr>
        <w:sectPr>
          <w:pgSz w:w="11900" w:h="16838" w:orient="portrait"/>
          <w:cols w:equalWidth="0" w:num="2">
            <w:col w:w="7920" w:space="160"/>
            <w:col w:w="3240"/>
          </w:cols>
          <w:pgMar w:left="240" w:top="131"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88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688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1"/>
              </w:rPr>
              <w:t>Credit Agreement dated as of July 23, 2015, by and among the Company, certain of its wholly-</w:t>
            </w:r>
          </w:p>
        </w:tc>
      </w:tr>
      <w:tr>
        <w:trPr>
          <w:trHeight w:val="216"/>
        </w:trPr>
        <w:tc>
          <w:tcPr>
            <w:tcW w:w="64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w w:val="95"/>
              </w:rPr>
              <w:t>owned subsidiaries (as guarantors), JPMorgan Chase Bank, N.A., as administrative agent,</w:t>
            </w:r>
          </w:p>
        </w:tc>
      </w:tr>
      <w:tr>
        <w:trPr>
          <w:trHeight w:val="216"/>
        </w:trPr>
        <w:tc>
          <w:tcPr>
            <w:tcW w:w="64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w w:val="99"/>
              </w:rPr>
              <w:t>swingline lender and issuing lender and J.P. Morgan Securities LLC, Macquarie Capital</w:t>
            </w:r>
          </w:p>
        </w:tc>
      </w:tr>
      <w:tr>
        <w:trPr>
          <w:trHeight w:val="216"/>
        </w:trPr>
        <w:tc>
          <w:tcPr>
            <w:tcW w:w="64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w w:val="92"/>
              </w:rPr>
              <w:t>(USA) Inc., Credit Suisse Securities (USA) LLC, U.S. Bank National Association and KeyBank</w:t>
            </w:r>
          </w:p>
        </w:tc>
      </w:tr>
      <w:tr>
        <w:trPr>
          <w:trHeight w:val="222"/>
        </w:trPr>
        <w:tc>
          <w:tcPr>
            <w:tcW w:w="640" w:type="dxa"/>
            <w:vAlign w:val="bottom"/>
          </w:tcPr>
          <w:p>
            <w:pPr>
              <w:spacing w:after="0"/>
              <w:rPr>
                <w:sz w:val="19"/>
                <w:szCs w:val="19"/>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w w:val="96"/>
              </w:rPr>
              <w:t>National Association as joint lead arrangers, joint bookrunners and co-syndication agents.</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Certification of Gary L. Carano pursuant to Rule 13a-14a and Rule 15d-14(a)</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Certification of Robert M. Jones pursuant to Rule 13a-14a and Rule 15d-14(a)</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Certification of Gary L. Carano in accordance with 18 U.S.C. Section 1350</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Certification of Robert M. Jones in accordance with 18 U.S.C. Section 1350</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101.1</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XBRL Instance Document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101.2</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101.3</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101.4</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101.6</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640" w:type="dxa"/>
            <w:vAlign w:val="bottom"/>
          </w:tcPr>
          <w:p>
            <w:pPr>
              <w:spacing w:after="0"/>
              <w:rPr>
                <w:sz w:val="24"/>
                <w:szCs w:val="24"/>
                <w:color w:val="auto"/>
              </w:rPr>
            </w:pPr>
          </w:p>
        </w:tc>
        <w:tc>
          <w:tcPr>
            <w:tcW w:w="7040" w:type="dxa"/>
            <w:vAlign w:val="bottom"/>
            <w:gridSpan w:val="2"/>
          </w:tcPr>
          <w:p>
            <w:pPr>
              <w:ind w:left="3820"/>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8147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Incorporated by reference to our Current Report on Form 8-K filed on July 23, 2015.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840" w:space="160"/>
            <w:col w:w="1280"/>
          </w:cols>
          <w:pgMar w:left="240" w:top="131" w:right="1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ELDORADO RESORTS, INC.</w:t>
      </w:r>
    </w:p>
    <w:p>
      <w:pPr>
        <w:spacing w:after="0" w:line="258" w:lineRule="exact"/>
        <w:rPr>
          <w:sz w:val="20"/>
          <w:szCs w:val="20"/>
          <w:color w:val="auto"/>
        </w:rPr>
      </w:pPr>
    </w:p>
    <w:p>
      <w:pPr>
        <w:ind w:left="1140"/>
        <w:spacing w:after="0"/>
        <w:tabs>
          <w:tab w:leader="none" w:pos="724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46" w:lineRule="exact"/>
        <w:rPr>
          <w:sz w:val="20"/>
          <w:szCs w:val="20"/>
          <w:color w:val="auto"/>
        </w:rPr>
      </w:pPr>
    </w:p>
    <w:p>
      <w:pPr>
        <w:ind w:left="1140"/>
        <w:spacing w:after="0"/>
        <w:tabs>
          <w:tab w:leader="none" w:pos="722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131" w:right="979" w:bottom="1440" w:gutter="0" w:footer="0" w:header="0"/>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spacing w:after="0"/>
        <w:rPr>
          <w:rFonts w:ascii="Arial" w:cs="Arial" w:eastAsia="Arial" w:hAnsi="Arial"/>
          <w:sz w:val="22"/>
          <w:szCs w:val="22"/>
          <w:color w:val="0000EE"/>
        </w:rPr>
      </w:pPr>
      <w:hyperlink w:anchor="page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23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Eldorado Resorts, Inc.;</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60" w:hanging="532"/>
        <w:spacing w:after="0" w:line="370" w:lineRule="auto"/>
        <w:tabs>
          <w:tab w:leader="none" w:pos="10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CERTIFICATION PURSUANT TO RULE 13a-14(a) AND 15d-14(a) OF THE SECURITIES EXCHANGE ACT OF 1934</w:t>
        </w:r>
      </w:hyperlink>
    </w:p>
    <w:p>
      <w:pPr>
        <w:sectPr>
          <w:pgSz w:w="11900" w:h="16838" w:orient="portrait"/>
          <w:cols w:equalWidth="0" w:num="1">
            <w:col w:w="10219"/>
          </w:cols>
          <w:pgMar w:left="240" w:top="820" w:right="1440" w:bottom="1440" w:gutter="0" w:footer="0" w:header="0"/>
        </w:sectPr>
      </w:pPr>
    </w:p>
    <w:bookmarkStart w:id="62" w:name="page63"/>
    <w:bookmarkEnd w:id="62"/>
    <w:p>
      <w:pPr>
        <w:spacing w:after="0"/>
        <w:rPr>
          <w:rFonts w:ascii="Arial" w:cs="Arial" w:eastAsia="Arial" w:hAnsi="Arial"/>
          <w:sz w:val="22"/>
          <w:szCs w:val="22"/>
          <w:color w:val="0000EE"/>
        </w:rPr>
      </w:pPr>
      <w:hyperlink w:anchor="page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Robert M. Jones, certify that:</w:t>
      </w:r>
    </w:p>
    <w:p>
      <w:pPr>
        <w:spacing w:after="0" w:line="239"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Eldorado Resorts, Inc.;</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60" w:hanging="532"/>
        <w:spacing w:after="0" w:line="370" w:lineRule="auto"/>
        <w:tabs>
          <w:tab w:leader="none" w:pos="10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CERTIFICATION PURSUANT TO RULE 13a-14(a) AND 15d-14(a) OF THE SECURITIES EXCHANGE ACT OF 1934</w:t>
        </w:r>
      </w:hyperlink>
    </w:p>
    <w:p>
      <w:pPr>
        <w:sectPr>
          <w:pgSz w:w="11900" w:h="16838" w:orient="portrait"/>
          <w:cols w:equalWidth="0" w:num="1">
            <w:col w:w="10219"/>
          </w:cols>
          <w:pgMar w:left="240" w:top="820" w:right="1440" w:bottom="1440"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Gary L. Carano, Chief Executive Officer and Chairman of the Board of Eldorado Resorts, Inc. (the "Company"), do hereby certify in accordance with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Section 906 of the Sarbanes-Oxley Act of 2002, that, to my knowledge:</w:t>
      </w:r>
    </w:p>
    <w:p>
      <w:pPr>
        <w:spacing w:after="0" w:line="232" w:lineRule="exact"/>
        <w:rPr>
          <w:sz w:val="20"/>
          <w:szCs w:val="20"/>
          <w:color w:val="auto"/>
        </w:rPr>
      </w:pPr>
    </w:p>
    <w:p>
      <w:pPr>
        <w:ind w:left="1080" w:right="30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2015 (the "Periodic Report")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CERTIFICATION of Gary L. Carano Chief Executive Officer and Chairman of the Board</w:t>
        </w:r>
      </w:hyperlink>
    </w:p>
    <w:p>
      <w:pPr>
        <w:sectPr>
          <w:pgSz w:w="11900" w:h="16838" w:orient="portrait"/>
          <w:cols w:equalWidth="0" w:num="1">
            <w:col w:w="10219"/>
          </w:cols>
          <w:pgMar w:left="240" w:top="820" w:right="1440" w:bottom="1440" w:gutter="0" w:footer="0" w:header="0"/>
        </w:sectPr>
      </w:pPr>
    </w:p>
    <w:bookmarkStart w:id="66" w:name="page67"/>
    <w:bookmarkEnd w:id="66"/>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Robert M. Jones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Robert M. Jones, Executive Vice President and Chief Financial Officer of Eldorado Resorts, Inc. (the "Company"), do hereby certify in accordance with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Section 906 of the Sarbanes-Oxley Act of 2002, that, to my knowledge:</w:t>
      </w:r>
    </w:p>
    <w:p>
      <w:pPr>
        <w:spacing w:after="0" w:line="232" w:lineRule="exact"/>
        <w:rPr>
          <w:sz w:val="20"/>
          <w:szCs w:val="20"/>
          <w:color w:val="auto"/>
        </w:rPr>
      </w:pPr>
    </w:p>
    <w:p>
      <w:pPr>
        <w:ind w:left="1080" w:right="3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2015 (the "Periodic Report")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CERTIFICATION of Robert M. Jones Executive Vice President and Chief Financial Officer</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2020-01-25T05:09:43Z</dcterms:created>
  <dcterms:modified xsi:type="dcterms:W3CDTF">2020-01-25T05:09:43Z</dcterms:modified>
</cp:coreProperties>
</file>