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7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7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9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ELDORADO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544" w:right="259" w:bottom="1440" w:gutter="0" w:footer="0" w:header="0"/>
        </w:sectPr>
      </w:pPr>
    </w:p>
    <w:p>
      <w:pPr>
        <w:spacing w:after="0" w:line="124"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3657681</w:t>
      </w:r>
    </w:p>
    <w:p>
      <w:pPr>
        <w:spacing w:after="0" w:line="31" w:lineRule="exact"/>
        <w:rPr>
          <w:sz w:val="24"/>
          <w:szCs w:val="24"/>
          <w:color w:val="auto"/>
        </w:rPr>
      </w:pPr>
    </w:p>
    <w:p>
      <w:pPr>
        <w:sectPr>
          <w:pgSz w:w="11900" w:h="16838" w:orient="portrait"/>
          <w:cols w:equalWidth="0" w:num="2">
            <w:col w:w="7420" w:space="720"/>
            <w:col w:w="3260"/>
          </w:cols>
          <w:pgMar w:left="240" w:top="544" w:right="259" w:bottom="144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280" w:space="720"/>
            <w:col w:w="3400"/>
          </w:cols>
          <w:pgMar w:left="240" w:top="54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100 West Liberty Street, Suite 1150, Reno, Nevada 89501</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400"/>
          </w:cols>
          <w:pgMar w:left="240" w:top="544" w:right="259" w:bottom="1440" w:gutter="0" w:footer="0" w:header="0"/>
          <w:type w:val="continuous"/>
        </w:sectPr>
      </w:pPr>
    </w:p>
    <w:p>
      <w:pPr>
        <w:spacing w:after="0" w:line="115"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8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490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01"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3" w:lineRule="exact"/>
        <w:rPr>
          <w:sz w:val="24"/>
          <w:szCs w:val="24"/>
          <w:color w:val="auto"/>
        </w:rPr>
      </w:pPr>
    </w:p>
    <w:p>
      <w:pPr>
        <w:ind w:left="520"/>
        <w:spacing w:after="0"/>
        <w:rPr>
          <w:sz w:val="20"/>
          <w:szCs w:val="20"/>
          <w:color w:val="auto"/>
        </w:rPr>
      </w:pPr>
      <w:r>
        <w:rPr>
          <w:rFonts w:ascii="Arial" w:cs="Arial" w:eastAsia="Arial" w:hAnsi="Arial"/>
          <w:sz w:val="17"/>
          <w:szCs w:val="17"/>
          <w:color w:val="auto"/>
        </w:rPr>
        <w:t>The number of shares of the Registrant’s Common Stock, $0.00001 par value per share, outstanding as of November 6, 2018 was 77,391,244.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822325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FOR THE THREE AND NINE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223"/>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900" w:type="dxa"/>
            <w:vAlign w:val="bottom"/>
            <w:gridSpan w:val="12"/>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FINANCIAL STATEMENTS</w:t>
              </w:r>
            </w:hyperlink>
          </w:p>
        </w:tc>
        <w:tc>
          <w:tcPr>
            <w:tcW w:w="7900" w:type="dxa"/>
            <w:vAlign w:val="bottom"/>
            <w:gridSpan w:val="1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64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at September 30, 2018 (unaudited) and December 31, 2017</w:t>
              </w:r>
            </w:hyperlink>
          </w:p>
        </w:tc>
        <w:tc>
          <w:tcPr>
            <w:tcW w:w="3660" w:type="dxa"/>
            <w:vAlign w:val="bottom"/>
            <w:gridSpan w:val="5"/>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86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and Nine months Ended September 30, 2018 and 2017 (unaudited)</w:t>
              </w:r>
            </w:hyperlink>
          </w:p>
        </w:tc>
        <w:tc>
          <w:tcPr>
            <w:tcW w:w="1400" w:type="dxa"/>
            <w:vAlign w:val="bottom"/>
            <w:gridSpan w:val="3"/>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50"/>
        </w:trPr>
        <w:tc>
          <w:tcPr>
            <w:tcW w:w="920" w:type="dxa"/>
            <w:vAlign w:val="bottom"/>
          </w:tcPr>
          <w:p>
            <w:pPr>
              <w:spacing w:after="0"/>
              <w:rPr>
                <w:sz w:val="21"/>
                <w:szCs w:val="21"/>
                <w:color w:val="auto"/>
              </w:rPr>
            </w:pPr>
          </w:p>
        </w:tc>
        <w:tc>
          <w:tcPr>
            <w:tcW w:w="92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(Loss) for the Three and Nine months Ended September 30, 2018 and 2017</w:t>
              </w:r>
            </w:hyperlink>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900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1"/>
                <w:szCs w:val="21"/>
                <w:color w:val="auto"/>
              </w:rPr>
            </w:pPr>
          </w:p>
        </w:tc>
        <w:tc>
          <w:tcPr>
            <w:tcW w:w="1006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Nine months Ended September 30, 2018 and 2017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1"/>
                <w:szCs w:val="21"/>
                <w:color w:val="auto"/>
              </w:rPr>
            </w:pPr>
          </w:p>
        </w:tc>
        <w:tc>
          <w:tcPr>
            <w:tcW w:w="56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Notes to Unaudited Consolidated Financial Statements (unaudited)</w:t>
              </w:r>
            </w:hyperlink>
          </w:p>
        </w:tc>
        <w:tc>
          <w:tcPr>
            <w:tcW w:w="2260" w:type="dxa"/>
            <w:vAlign w:val="bottom"/>
            <w:tcBorders>
              <w:top w:val="single" w:sz="8" w:color="0000EE"/>
            </w:tcBorders>
            <w:gridSpan w:val="4"/>
          </w:tcPr>
          <w:p>
            <w:pPr>
              <w:spacing w:after="0"/>
              <w:rPr>
                <w:sz w:val="21"/>
                <w:szCs w:val="21"/>
                <w:color w:val="auto"/>
              </w:rPr>
            </w:pPr>
          </w:p>
        </w:tc>
        <w:tc>
          <w:tcPr>
            <w:tcW w:w="2120" w:type="dxa"/>
            <w:vAlign w:val="bottom"/>
            <w:gridSpan w:val="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20" w:type="dxa"/>
            <w:vAlign w:val="bottom"/>
            <w:tcBorders>
              <w:top w:val="single" w:sz="8" w:color="0000EE"/>
            </w:tcBorders>
            <w:gridSpan w:val="1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1140" w:type="dxa"/>
            <w:vAlign w:val="bottom"/>
            <w:gridSpan w:val="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3920" w:type="dxa"/>
            <w:vAlign w:val="bottom"/>
            <w:gridSpan w:val="6"/>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0"/>
        </w:trPr>
        <w:tc>
          <w:tcPr>
            <w:tcW w:w="9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 OTHER INFORMATION</w:t>
              </w:r>
            </w:hyperlink>
          </w:p>
        </w:tc>
        <w:tc>
          <w:tcPr>
            <w:tcW w:w="8200" w:type="dxa"/>
            <w:vAlign w:val="bottom"/>
            <w:gridSpan w:val="15"/>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RISK FACTORS</w:t>
              </w:r>
            </w:hyperlink>
          </w:p>
        </w:tc>
        <w:tc>
          <w:tcPr>
            <w:tcW w:w="620" w:type="dxa"/>
            <w:vAlign w:val="bottom"/>
            <w:tcBorders>
              <w:top w:val="single" w:sz="8" w:color="0000EE"/>
            </w:tcBorders>
            <w:gridSpan w:val="2"/>
          </w:tcPr>
          <w:p>
            <w:pPr>
              <w:spacing w:after="0"/>
              <w:rPr>
                <w:sz w:val="21"/>
                <w:szCs w:val="21"/>
                <w:color w:val="auto"/>
              </w:rPr>
            </w:pPr>
          </w:p>
        </w:tc>
        <w:tc>
          <w:tcPr>
            <w:tcW w:w="8180" w:type="dxa"/>
            <w:vAlign w:val="bottom"/>
            <w:gridSpan w:val="1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UNREGISTERED SALES OF EQUITY SECURITIES AND USE OF PROCEEDS</w:t>
              </w:r>
            </w:hyperlink>
          </w:p>
        </w:tc>
        <w:tc>
          <w:tcPr>
            <w:tcW w:w="3980" w:type="dxa"/>
            <w:vAlign w:val="bottom"/>
            <w:gridSpan w:val="7"/>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DEFAULTS UPON SENIOR SECURITIES</w:t>
              </w:r>
            </w:hyperlink>
          </w:p>
        </w:tc>
        <w:tc>
          <w:tcPr>
            <w:tcW w:w="6860" w:type="dxa"/>
            <w:vAlign w:val="bottom"/>
            <w:gridSpan w:val="9"/>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OTHER INFORMATION</w:t>
              </w:r>
            </w:hyperlink>
          </w:p>
        </w:tc>
        <w:tc>
          <w:tcPr>
            <w:tcW w:w="540" w:type="dxa"/>
            <w:vAlign w:val="bottom"/>
            <w:tcBorders>
              <w:top w:val="single" w:sz="8" w:color="0000EE"/>
            </w:tcBorders>
            <w:gridSpan w:val="2"/>
          </w:tcPr>
          <w:p>
            <w:pPr>
              <w:spacing w:after="0"/>
              <w:rPr>
                <w:sz w:val="21"/>
                <w:szCs w:val="21"/>
                <w:color w:val="auto"/>
              </w:rPr>
            </w:pPr>
          </w:p>
        </w:tc>
        <w:tc>
          <w:tcPr>
            <w:tcW w:w="7620" w:type="dxa"/>
            <w:vAlign w:val="bottom"/>
            <w:gridSpan w:val="11"/>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006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0"/>
        </w:trPr>
        <w:tc>
          <w:tcPr>
            <w:tcW w:w="9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4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10980" w:type="dxa"/>
            <w:vAlign w:val="bottom"/>
            <w:gridSpan w:val="22"/>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SIGNATURES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669"/>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gridSpan w:val="2"/>
          </w:tcPr>
          <w:p>
            <w:pPr>
              <w:spacing w:after="0"/>
              <w:rPr>
                <w:sz w:val="24"/>
                <w:szCs w:val="24"/>
                <w:color w:val="auto"/>
              </w:rPr>
            </w:pPr>
          </w:p>
        </w:tc>
        <w:tc>
          <w:tcPr>
            <w:tcW w:w="5440" w:type="dxa"/>
            <w:vAlign w:val="bottom"/>
            <w:gridSpan w:val="11"/>
          </w:tcPr>
          <w:p>
            <w:pPr>
              <w:jc w:val="right"/>
              <w:ind w:right="84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480" w:type="dxa"/>
            <w:vAlign w:val="bottom"/>
            <w:gridSpan w:val="3"/>
          </w:tcPr>
          <w:p>
            <w:pPr>
              <w:jc w:val="center"/>
              <w:ind w:left="2870"/>
              <w:spacing w:after="0"/>
              <w:rPr>
                <w:sz w:val="20"/>
                <w:szCs w:val="20"/>
                <w:color w:val="auto"/>
              </w:rPr>
            </w:pPr>
            <w:r>
              <w:rPr>
                <w:rFonts w:ascii="Arial" w:cs="Arial" w:eastAsia="Arial" w:hAnsi="Arial"/>
                <w:sz w:val="18"/>
                <w:szCs w:val="18"/>
                <w:b w:val="1"/>
                <w:bCs w:val="1"/>
                <w:color w:val="auto"/>
              </w:rPr>
              <w:t>PART I-FINANCIAL INFORMATION</w:t>
            </w: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4"/>
        </w:trPr>
        <w:tc>
          <w:tcPr>
            <w:tcW w:w="5160" w:type="dxa"/>
            <w:vAlign w:val="bottom"/>
          </w:tcPr>
          <w:p>
            <w:pPr>
              <w:ind w:left="4560"/>
              <w:spacing w:after="0"/>
              <w:rPr>
                <w:sz w:val="20"/>
                <w:szCs w:val="20"/>
                <w:color w:val="auto"/>
              </w:rPr>
            </w:pPr>
            <w:r>
              <w:rPr>
                <w:rFonts w:ascii="Arial" w:cs="Arial" w:eastAsia="Arial" w:hAnsi="Arial"/>
                <w:sz w:val="18"/>
                <w:szCs w:val="18"/>
                <w:b w:val="1"/>
                <w:bCs w:val="1"/>
                <w:color w:val="auto"/>
              </w:rPr>
              <w:t>Item 1.</w:t>
            </w:r>
          </w:p>
        </w:tc>
        <w:tc>
          <w:tcPr>
            <w:tcW w:w="332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w w:val="90"/>
              </w:rPr>
              <w:t>Financial Statements.</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8480" w:type="dxa"/>
            <w:vAlign w:val="bottom"/>
            <w:gridSpan w:val="3"/>
          </w:tcPr>
          <w:p>
            <w:pPr>
              <w:jc w:val="center"/>
              <w:ind w:left="2850"/>
              <w:spacing w:after="0"/>
              <w:rPr>
                <w:sz w:val="20"/>
                <w:szCs w:val="20"/>
                <w:color w:val="auto"/>
              </w:rPr>
            </w:pPr>
            <w:r>
              <w:rPr>
                <w:rFonts w:ascii="Arial" w:cs="Arial" w:eastAsia="Arial" w:hAnsi="Arial"/>
                <w:sz w:val="18"/>
                <w:szCs w:val="18"/>
                <w:b w:val="1"/>
                <w:bCs w:val="1"/>
                <w:color w:val="auto"/>
                <w:w w:val="98"/>
              </w:rPr>
              <w:t>ELDORADO RESORTS, INC.</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gridSpan w:val="3"/>
          </w:tcPr>
          <w:p>
            <w:pPr>
              <w:jc w:val="center"/>
              <w:ind w:left="2870"/>
              <w:spacing w:after="0"/>
              <w:rPr>
                <w:sz w:val="20"/>
                <w:szCs w:val="20"/>
                <w:color w:val="auto"/>
              </w:rPr>
            </w:pPr>
            <w:r>
              <w:rPr>
                <w:rFonts w:ascii="Arial" w:cs="Arial" w:eastAsia="Arial" w:hAnsi="Arial"/>
                <w:sz w:val="18"/>
                <w:szCs w:val="18"/>
                <w:b w:val="1"/>
                <w:bCs w:val="1"/>
                <w:color w:val="auto"/>
                <w:w w:val="99"/>
              </w:rPr>
              <w:t>CONSOLIDATED BALANCE SHEETS</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480" w:type="dxa"/>
            <w:vAlign w:val="bottom"/>
            <w:gridSpan w:val="3"/>
          </w:tcPr>
          <w:p>
            <w:pPr>
              <w:jc w:val="center"/>
              <w:ind w:left="2850"/>
              <w:spacing w:after="0"/>
              <w:rPr>
                <w:sz w:val="20"/>
                <w:szCs w:val="20"/>
                <w:color w:val="auto"/>
              </w:rPr>
            </w:pPr>
            <w:r>
              <w:rPr>
                <w:rFonts w:ascii="Arial" w:cs="Arial" w:eastAsia="Arial" w:hAnsi="Arial"/>
                <w:sz w:val="18"/>
                <w:szCs w:val="18"/>
                <w:b w:val="1"/>
                <w:bCs w:val="1"/>
                <w:color w:val="auto"/>
                <w:w w:val="88"/>
              </w:rPr>
              <w:t>(dollars in thousands)</w:t>
            </w: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8"/>
        </w:trPr>
        <w:tc>
          <w:tcPr>
            <w:tcW w:w="5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160" w:type="dxa"/>
            <w:vAlign w:val="bottom"/>
            <w:shd w:val="clear" w:color="auto" w:fill="CFF0FC"/>
          </w:tcPr>
          <w:p>
            <w:pPr>
              <w:ind w:left="3680"/>
              <w:spacing w:after="0"/>
              <w:rPr>
                <w:sz w:val="20"/>
                <w:szCs w:val="20"/>
                <w:color w:val="auto"/>
              </w:rPr>
            </w:pPr>
            <w:r>
              <w:rPr>
                <w:rFonts w:ascii="Arial" w:cs="Arial" w:eastAsia="Arial" w:hAnsi="Arial"/>
                <w:sz w:val="18"/>
                <w:szCs w:val="18"/>
                <w:b w:val="1"/>
                <w:bCs w:val="1"/>
                <w:color w:val="auto"/>
              </w:rPr>
              <w:t>ASSETS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164,086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134,596</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17,057</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17,631</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42,002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45,797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affiliates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15,258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16,870</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29,578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27,823</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155,914</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426,208</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251,032</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Escrow cash</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604,100</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1,488,866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1,502,817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 and other intangibles, net</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1,121,573</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996,816</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788,146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747,106</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Non-operating real property</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17,880</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18,069</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net</w:t>
            </w:r>
          </w:p>
        </w:tc>
        <w:tc>
          <w:tcPr>
            <w:tcW w:w="3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30,401</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30,632</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4,477,174</w:t>
            </w: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3,546,472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340" w:type="dxa"/>
            <w:vAlign w:val="bottom"/>
            <w:gridSpan w:val="2"/>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33,307</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34,778</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Due to affiliates</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property, gaming and other taxes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43,339</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43,212</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Accrued payroll and related</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58,567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53,330</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37,626</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25,607</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other liabilities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77,495</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66,038</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Liabilities related to assets held for sale</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10,868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261,936</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2,967,434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2,189,578</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194,490</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162,967</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28,579</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3,441,023</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2,604,875</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8480" w:type="dxa"/>
            <w:vAlign w:val="bottom"/>
            <w:gridSpan w:val="3"/>
          </w:tcPr>
          <w:p>
            <w:pPr>
              <w:ind w:left="260"/>
              <w:spacing w:after="0"/>
              <w:rPr>
                <w:sz w:val="20"/>
                <w:szCs w:val="20"/>
                <w:color w:val="auto"/>
              </w:rPr>
            </w:pPr>
            <w:r>
              <w:rPr>
                <w:rFonts w:ascii="Arial" w:cs="Arial" w:eastAsia="Arial" w:hAnsi="Arial"/>
                <w:sz w:val="18"/>
                <w:szCs w:val="18"/>
                <w:color w:val="auto"/>
              </w:rPr>
              <w:t>Common stock, 200,000,000 and 100,000,000 shares authorized, 77,391,244</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gridSpan w:val="3"/>
          </w:tcPr>
          <w:p>
            <w:pPr>
              <w:ind w:left="380"/>
              <w:spacing w:after="0"/>
              <w:rPr>
                <w:sz w:val="20"/>
                <w:szCs w:val="20"/>
                <w:color w:val="auto"/>
              </w:rPr>
            </w:pPr>
            <w:r>
              <w:rPr>
                <w:rFonts w:ascii="Arial" w:cs="Arial" w:eastAsia="Arial" w:hAnsi="Arial"/>
                <w:sz w:val="18"/>
                <w:szCs w:val="18"/>
                <w:color w:val="auto"/>
              </w:rPr>
              <w:t>and 76,825,966 issued and outstanding, par value $0.00001 as of September 30,</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2018 and December 31, 2017, respectively</w:t>
            </w: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745,745</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746,547</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290,326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194,971</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3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1,036,151</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941,597</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4,477,174</w:t>
            </w: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3,546,472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Casino</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362,877</w:t>
            </w:r>
          </w:p>
        </w:tc>
        <w:tc>
          <w:tcPr>
            <w:tcW w:w="3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347,537</w:t>
            </w: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1,046,010</w:t>
            </w:r>
          </w:p>
        </w:tc>
        <w:tc>
          <w:tcPr>
            <w:tcW w:w="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764,684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Pari-mutuel commissions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58,153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164,644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Hotel</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16,151</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487,253</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1,384,247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Casino</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175,333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169,322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Pari-mutuel commissions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45,381</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134,927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9,217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35,760</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396,220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389,273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1,155,318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(Loss) gain on sale or disposal of property and equipment</w:t>
            </w:r>
          </w:p>
        </w:tc>
        <w:tc>
          <w:tcPr>
            <w:tcW w:w="1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terminated sale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Transaction expenses</w:t>
            </w:r>
          </w:p>
        </w:tc>
        <w:tc>
          <w:tcPr>
            <w:tcW w:w="1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(4,091)</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(10,043)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(89,172)</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unconsolidated affiliates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91,769</w:t>
            </w:r>
          </w:p>
        </w:tc>
        <w:tc>
          <w:tcPr>
            <w:tcW w:w="3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81,492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223,377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(34,085)</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(29,183)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(96,579)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(69,380)</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early retirement of debt, net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(10,030)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(37,347)</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(34,085)</w:t>
            </w:r>
          </w:p>
        </w:tc>
        <w:tc>
          <w:tcPr>
            <w:tcW w:w="3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(96,741)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before income taxes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57,684</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(19,980)</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(12,592)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(31,281)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Net income (loss) per share of common stock:</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3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basic shares outstanding</w:t>
            </w: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77,522,664</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76,902,070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77,445,611</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63,821,705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78,283,588</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77,959,689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78,208,040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63,821,705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(15,558)</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37,704</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29,687</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(15,558)</w:t>
            </w:r>
          </w:p>
        </w:tc>
        <w:tc>
          <w:tcPr>
            <w:tcW w:w="1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4"/>
          </w:tcPr>
          <w:p>
            <w:pPr>
              <w:jc w:val="right"/>
              <w:ind w:right="73"/>
              <w:spacing w:after="0"/>
              <w:rPr>
                <w:sz w:val="20"/>
                <w:szCs w:val="20"/>
                <w:color w:val="auto"/>
              </w:rPr>
            </w:pPr>
            <w:r>
              <w:rPr>
                <w:rFonts w:ascii="Arial" w:cs="Arial" w:eastAsia="Arial" w:hAnsi="Arial"/>
                <w:sz w:val="13"/>
                <w:szCs w:val="13"/>
                <w:b w:val="1"/>
                <w:bCs w:val="1"/>
                <w:color w:val="auto"/>
              </w:rPr>
              <w:t>Nine Months Ended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3"/>
                <w:szCs w:val="13"/>
                <w:b w:val="1"/>
                <w:bCs w:val="1"/>
                <w:color w:val="auto"/>
              </w:rPr>
              <w:t>September 30,</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10"/>
              <w:spacing w:after="0" w:line="143" w:lineRule="exact"/>
              <w:rPr>
                <w:sz w:val="20"/>
                <w:szCs w:val="20"/>
                <w:color w:val="auto"/>
              </w:rPr>
            </w:pPr>
            <w:r>
              <w:rPr>
                <w:rFonts w:ascii="Arial" w:cs="Arial" w:eastAsia="Arial" w:hAnsi="Arial"/>
                <w:sz w:val="13"/>
                <w:szCs w:val="13"/>
                <w:b w:val="1"/>
                <w:bCs w:val="1"/>
                <w:color w:val="auto"/>
              </w:rPr>
              <w:t>2018</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7"/>
              <w:spacing w:after="0" w:line="143"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OPERATING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20"/>
                <w:szCs w:val="20"/>
                <w:color w:val="auto"/>
              </w:rPr>
            </w:pPr>
            <w:r>
              <w:rPr>
                <w:rFonts w:ascii="Arial" w:cs="Arial" w:eastAsia="Arial" w:hAnsi="Arial"/>
                <w:sz w:val="13"/>
                <w:szCs w:val="13"/>
                <w:color w:val="auto"/>
              </w:rPr>
              <w:t>Net income (loss)</w:t>
            </w:r>
          </w:p>
        </w:tc>
        <w:tc>
          <w:tcPr>
            <w:tcW w:w="880" w:type="dxa"/>
            <w:vAlign w:val="bottom"/>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95,355</w:t>
            </w:r>
          </w:p>
        </w:tc>
        <w:tc>
          <w:tcPr>
            <w:tcW w:w="240" w:type="dxa"/>
            <w:vAlign w:val="bottom"/>
          </w:tcPr>
          <w:p>
            <w:pPr>
              <w:spacing w:after="0"/>
              <w:rPr>
                <w:sz w:val="12"/>
                <w:szCs w:val="12"/>
                <w:color w:val="auto"/>
              </w:rPr>
            </w:pPr>
          </w:p>
        </w:tc>
        <w:tc>
          <w:tcPr>
            <w:tcW w:w="640" w:type="dxa"/>
            <w:vAlign w:val="bottom"/>
            <w:gridSpan w:val="2"/>
          </w:tcPr>
          <w:p>
            <w:pPr>
              <w:jc w:val="right"/>
              <w:ind w:right="333"/>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(15,558)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Adjustments to reconcile net income (loss) to net cash provided by operating</w:t>
            </w:r>
          </w:p>
        </w:tc>
        <w:tc>
          <w:tcPr>
            <w:tcW w:w="8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80"/>
              <w:spacing w:after="0"/>
              <w:rPr>
                <w:sz w:val="20"/>
                <w:szCs w:val="20"/>
                <w:color w:val="auto"/>
              </w:rPr>
            </w:pPr>
            <w:r>
              <w:rPr>
                <w:rFonts w:ascii="Arial" w:cs="Arial" w:eastAsia="Arial" w:hAnsi="Arial"/>
                <w:sz w:val="13"/>
                <w:szCs w:val="13"/>
                <w:color w:val="auto"/>
              </w:rPr>
              <w:t>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99,204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69,635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Amortization of deferred financing costs, discount and debt premium</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3,753</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Loss on early retirement of debt</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37,347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 compensation expense</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9,645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Impairment charges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13,602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Provision (benefit) for deferred income taxes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28,345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Other</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1,626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spacing w:after="0"/>
              <w:rPr>
                <w:sz w:val="20"/>
                <w:szCs w:val="20"/>
                <w:color w:val="auto"/>
              </w:rPr>
            </w:pPr>
            <w:r>
              <w:rPr>
                <w:rFonts w:ascii="Arial" w:cs="Arial" w:eastAsia="Arial" w:hAnsi="Arial"/>
                <w:sz w:val="13"/>
                <w:szCs w:val="13"/>
                <w:color w:val="auto"/>
              </w:rPr>
              <w:t>Change in operating assets and liabilities: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Sale of trading securities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Accounts receivable</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(441)</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Prepaid expenses and other assets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649</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Interest payable</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(6,563)</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Income taxes payable</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4,398</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Accounts payable and accrued liabilities</w:t>
            </w: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12,760</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8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263,448</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71,631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gridSpan w:val="2"/>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Purchase of property and equipment, net</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(89,082)</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(52,930)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Proceeds from sale of property and equipment</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920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cash used in business combinations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6"/>
              </w:rPr>
              <w:t>(306,274)</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(1,313,052)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Investment in and loans to unconsolidated affiliate</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(698)</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top w:val="single" w:sz="8" w:color="CFF0FC"/>
            </w:tcBorders>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used in investing activities</w:t>
            </w:r>
          </w:p>
        </w:tc>
        <w:tc>
          <w:tcPr>
            <w:tcW w:w="88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9"/>
              </w:rPr>
              <w:t>(395,134)</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(1,365,982)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gridSpan w:val="2"/>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issuance of Term Loan</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Proceeds from issuance of 6% Senior Notes due 2025</w:t>
            </w:r>
          </w:p>
        </w:tc>
        <w:tc>
          <w:tcPr>
            <w:tcW w:w="88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875,000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issuance of 6% Senior Notes due 2026</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Borrowings under Revolving Credit Facility</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215,358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207,953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under Term Loan</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(866,750)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Payments under Revolving Credit Facility</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(35,358)</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(236,953)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Debt premium proceeds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Debt issuance costs</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(5,401)</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(51,338)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Taxes paid related to net share settlement of equity awards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(10,601)</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Proceeds from exercise of stock options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on other long-term payables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(501)</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tcPr>
          <w:p>
            <w:pPr>
              <w:ind w:left="480"/>
              <w:spacing w:after="0" w:line="143" w:lineRule="exact"/>
              <w:rPr>
                <w:sz w:val="20"/>
                <w:szCs w:val="20"/>
                <w:color w:val="auto"/>
              </w:rPr>
            </w:pPr>
            <w:r>
              <w:rPr>
                <w:rFonts w:ascii="Arial" w:cs="Arial" w:eastAsia="Arial" w:hAnsi="Arial"/>
                <w:sz w:val="13"/>
                <w:szCs w:val="13"/>
                <w:color w:val="auto"/>
              </w:rPr>
              <w:t>Net cash provided by financing activities</w:t>
            </w:r>
          </w:p>
        </w:tc>
        <w:tc>
          <w:tcPr>
            <w:tcW w:w="8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763,651</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1,397,015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Increase in cash, cash equivalents and restricted cash</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631,965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102,664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cash equivalents and restricted cash, beginning of period</w:t>
            </w:r>
          </w:p>
        </w:tc>
        <w:tc>
          <w:tcPr>
            <w:tcW w:w="8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147,749</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63,444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40" w:type="dxa"/>
            <w:vAlign w:val="bottom"/>
            <w:tcBorders>
              <w:bottom w:val="single" w:sz="8" w:color="CFF0FC"/>
            </w:tcBorders>
          </w:tcPr>
          <w:p>
            <w:pPr>
              <w:ind w:left="240"/>
              <w:spacing w:after="0" w:line="143" w:lineRule="exact"/>
              <w:rPr>
                <w:sz w:val="20"/>
                <w:szCs w:val="20"/>
                <w:color w:val="auto"/>
              </w:rPr>
            </w:pPr>
            <w:r>
              <w:rPr>
                <w:rFonts w:ascii="Arial" w:cs="Arial" w:eastAsia="Arial" w:hAnsi="Arial"/>
                <w:sz w:val="13"/>
                <w:szCs w:val="13"/>
                <w:color w:val="auto"/>
              </w:rPr>
              <w:t>Cash, cash equivalents and restricted cash, end of period</w:t>
            </w: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779,714</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jc w:val="right"/>
              <w:ind w:right="333"/>
              <w:spacing w:after="0"/>
              <w:rPr>
                <w:sz w:val="20"/>
                <w:szCs w:val="20"/>
                <w:color w:val="auto"/>
              </w:rPr>
            </w:pPr>
            <w:r>
              <w:rPr>
                <w:rFonts w:ascii="Arial" w:cs="Arial" w:eastAsia="Arial" w:hAnsi="Arial"/>
                <w:sz w:val="9"/>
                <w:szCs w:val="9"/>
                <w:color w:val="auto"/>
                <w:w w:val="78"/>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166,108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8040" w:type="dxa"/>
            <w:vAlign w:val="bottom"/>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 TO</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80"/>
              <w:spacing w:after="0"/>
              <w:rPr>
                <w:sz w:val="20"/>
                <w:szCs w:val="20"/>
                <w:color w:val="auto"/>
              </w:rPr>
            </w:pPr>
            <w:r>
              <w:rPr>
                <w:rFonts w:ascii="Arial" w:cs="Arial" w:eastAsia="Arial" w:hAnsi="Arial"/>
                <w:sz w:val="13"/>
                <w:szCs w:val="13"/>
                <w:color w:val="auto"/>
              </w:rPr>
              <w:t>AMOUNTS REPORTED WITHIN THE CONDENSED CONSOLIDATED BALANCE SHEETS: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and cash equivalents</w:t>
            </w:r>
          </w:p>
        </w:tc>
        <w:tc>
          <w:tcPr>
            <w:tcW w:w="880" w:type="dxa"/>
            <w:vAlign w:val="bottom"/>
            <w:shd w:val="clear" w:color="auto" w:fill="CFF0FC"/>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164,086</w:t>
            </w:r>
          </w:p>
        </w:tc>
        <w:tc>
          <w:tcPr>
            <w:tcW w:w="2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3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134,903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Restricted cash</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1,622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21,308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Restricted and escrow cash included in other noncurrent assets</w:t>
            </w:r>
          </w:p>
        </w:tc>
        <w:tc>
          <w:tcPr>
            <w:tcW w:w="8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614,006</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9,897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60" w:type="dxa"/>
            <w:vAlign w:val="bottom"/>
            <w:gridSpan w:val="2"/>
          </w:tcPr>
          <w:p>
            <w:pPr>
              <w:spacing w:after="0" w:line="143" w:lineRule="exact"/>
              <w:rPr>
                <w:sz w:val="20"/>
                <w:szCs w:val="20"/>
                <w:color w:val="auto"/>
              </w:rPr>
            </w:pPr>
            <w:r>
              <w:rPr>
                <w:rFonts w:ascii="Arial" w:cs="Arial" w:eastAsia="Arial" w:hAnsi="Arial"/>
                <w:sz w:val="13"/>
                <w:szCs w:val="13"/>
                <w:color w:val="auto"/>
              </w:rPr>
              <w:t>Total cash, cash equivalents and restricted cash</w:t>
            </w: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779,714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ind w:right="333"/>
              <w:spacing w:after="0"/>
              <w:rPr>
                <w:sz w:val="20"/>
                <w:szCs w:val="20"/>
                <w:color w:val="auto"/>
              </w:rPr>
            </w:pPr>
            <w:r>
              <w:rPr>
                <w:rFonts w:ascii="Arial" w:cs="Arial" w:eastAsia="Arial" w:hAnsi="Arial"/>
                <w:sz w:val="9"/>
                <w:szCs w:val="9"/>
                <w:color w:val="auto"/>
                <w:w w:val="78"/>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166,108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40" w:type="dxa"/>
            <w:vAlign w:val="bottom"/>
          </w:tcPr>
          <w:p>
            <w:pPr>
              <w:spacing w:after="0"/>
              <w:rPr>
                <w:sz w:val="20"/>
                <w:szCs w:val="20"/>
                <w:color w:val="auto"/>
              </w:rPr>
            </w:pPr>
            <w:r>
              <w:rPr>
                <w:rFonts w:ascii="Arial" w:cs="Arial" w:eastAsia="Arial" w:hAnsi="Arial"/>
                <w:sz w:val="13"/>
                <w:szCs w:val="13"/>
                <w:color w:val="auto"/>
              </w:rPr>
              <w:t>SUPPLEMENTAL DISCLOSURE OF CASH FLOW INFORMATION:</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Interest paid</w:t>
            </w:r>
          </w:p>
        </w:tc>
        <w:tc>
          <w:tcPr>
            <w:tcW w:w="880" w:type="dxa"/>
            <w:vAlign w:val="bottom"/>
            <w:shd w:val="clear" w:color="auto" w:fill="CFF0FC"/>
          </w:tcPr>
          <w:p>
            <w:pPr>
              <w:jc w:val="right"/>
              <w:ind w:right="770"/>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(86,964)</w:t>
            </w:r>
          </w:p>
        </w:tc>
        <w:tc>
          <w:tcPr>
            <w:tcW w:w="640" w:type="dxa"/>
            <w:vAlign w:val="bottom"/>
            <w:gridSpan w:val="2"/>
            <w:shd w:val="clear" w:color="auto" w:fill="CFF0FC"/>
          </w:tcPr>
          <w:p>
            <w:pPr>
              <w:jc w:val="right"/>
              <w:ind w:right="333"/>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(67,840)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Income taxes refunded (paid)</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3,953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spacing w:after="0"/>
              <w:rPr>
                <w:sz w:val="20"/>
                <w:szCs w:val="20"/>
                <w:color w:val="auto"/>
              </w:rPr>
            </w:pPr>
            <w:r>
              <w:rPr>
                <w:rFonts w:ascii="Arial" w:cs="Arial" w:eastAsia="Arial" w:hAnsi="Arial"/>
                <w:sz w:val="13"/>
                <w:szCs w:val="13"/>
                <w:color w:val="auto"/>
              </w:rPr>
              <w:t>NON-CASH FINANCING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Net change in payables for capital expenditures</w:t>
            </w:r>
          </w:p>
        </w:tc>
        <w:tc>
          <w:tcPr>
            <w:tcW w:w="8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(5,914)</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2,286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The accompanying unaudited consolidated financial statements include the accounts of Eldorado Resorts, Inc. (“ERI” or the “Company”), a Nevada corporation formed in September 2013, and its consolidated subsidiaries. The Company acquired Mountaineer, Presque Isle Downs and Scioto Downs in September 2014 pursuant to a merger with MTR Gaming Group, Inc. (“MTR Gaming”) and in November 2015 it acquired Circus Reno and the interests in the Silver Legacy that it did not own prior to such date.</w:t>
      </w:r>
    </w:p>
    <w:p>
      <w:pPr>
        <w:spacing w:after="0" w:line="187" w:lineRule="exact"/>
        <w:rPr>
          <w:sz w:val="20"/>
          <w:szCs w:val="20"/>
          <w:color w:val="auto"/>
        </w:rPr>
      </w:pPr>
    </w:p>
    <w:p>
      <w:pPr>
        <w:ind w:right="60" w:firstLine="555"/>
        <w:spacing w:after="0" w:line="342" w:lineRule="auto"/>
        <w:rPr>
          <w:sz w:val="20"/>
          <w:szCs w:val="20"/>
          <w:color w:val="auto"/>
        </w:rPr>
      </w:pPr>
      <w:r>
        <w:rPr>
          <w:rFonts w:ascii="Arial" w:cs="Arial" w:eastAsia="Arial" w:hAnsi="Arial"/>
          <w:sz w:val="16"/>
          <w:szCs w:val="16"/>
          <w:color w:val="auto"/>
        </w:rPr>
        <w:t>On May 1, 2017, the Company completed its acquisition of Isle of Capri Casinos, Inc. pursuant to the Agreement and Plan of Merger dated as of September 19, 2016 with Isle of Capri Casinos, Inc. (“Isle” or “Isle of Capri”). As a result of the Isle Merger, Isle became a wholly-owned subsidiary of ERI.</w:t>
      </w:r>
    </w:p>
    <w:p>
      <w:pPr>
        <w:spacing w:after="0" w:line="124"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On August 7, 2018, the Company completed its previously announced acquisition of the outstanding partnership interests of Elgin Riverboat Resort – Riverboat Casino d/b/a Grand Victoria Casino, an Illinois partnership (“Elgin”), the owner of Grand Victoria Casino, located in Elgin, Illinois (the “Elgin Acquisition”).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2018, ERI owned and operated the following properties:</w:t>
      </w:r>
    </w:p>
    <w:p>
      <w:pPr>
        <w:spacing w:after="0" w:line="117" w:lineRule="exact"/>
        <w:rPr>
          <w:sz w:val="20"/>
          <w:szCs w:val="20"/>
          <w:color w:val="auto"/>
        </w:rPr>
      </w:pPr>
    </w:p>
    <w:p>
      <w:pPr>
        <w:ind w:left="1120" w:right="40" w:hanging="558"/>
        <w:spacing w:after="0" w:line="308"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1,128 slot machines and 36 table games;</w:t>
      </w:r>
    </w:p>
    <w:p>
      <w:pPr>
        <w:spacing w:after="0" w:line="38" w:lineRule="exact"/>
        <w:rPr>
          <w:rFonts w:ascii="Arial" w:cs="Arial" w:eastAsia="Arial" w:hAnsi="Arial"/>
          <w:sz w:val="17"/>
          <w:szCs w:val="17"/>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Legacy Resort Casino (“Silver Legacy”)—A 1,685-room themed hotel and casino connected via an enclosed skywalk to Eldorado Reno and Circus Reno that includes 1,208 slot machines, 58 table games and a 13 table poker room;</w:t>
      </w:r>
    </w:p>
    <w:p>
      <w:pPr>
        <w:spacing w:after="0" w:line="62"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706 slot machines and 24 table games;</w:t>
      </w:r>
    </w:p>
    <w:p>
      <w:pPr>
        <w:spacing w:after="0" w:line="62" w:lineRule="exact"/>
        <w:rPr>
          <w:rFonts w:ascii="Arial" w:cs="Arial" w:eastAsia="Arial" w:hAnsi="Arial"/>
          <w:sz w:val="18"/>
          <w:szCs w:val="18"/>
          <w:color w:val="auto"/>
        </w:rPr>
      </w:pPr>
    </w:p>
    <w:p>
      <w:pPr>
        <w:ind w:left="1120" w:right="260" w:hanging="558"/>
        <w:spacing w:after="0" w:line="342"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1,388 slot machines, 52 table games and an eight table poker room;</w:t>
      </w:r>
    </w:p>
    <w:p>
      <w:pPr>
        <w:spacing w:after="0" w:line="15" w:lineRule="exact"/>
        <w:rPr>
          <w:rFonts w:ascii="Arial" w:cs="Arial" w:eastAsia="Arial" w:hAnsi="Arial"/>
          <w:sz w:val="16"/>
          <w:szCs w:val="16"/>
          <w:color w:val="auto"/>
        </w:rPr>
      </w:pPr>
    </w:p>
    <w:p>
      <w:pPr>
        <w:ind w:left="1120" w:right="4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1,487 slot machines and 36 table games, including a 10 table poker room;</w:t>
      </w:r>
    </w:p>
    <w:p>
      <w:pPr>
        <w:spacing w:after="0" w:line="73" w:lineRule="exact"/>
        <w:rPr>
          <w:rFonts w:ascii="Arial" w:cs="Arial" w:eastAsia="Arial" w:hAnsi="Arial"/>
          <w:sz w:val="18"/>
          <w:szCs w:val="18"/>
          <w:color w:val="auto"/>
        </w:rPr>
      </w:pPr>
    </w:p>
    <w:p>
      <w:pPr>
        <w:ind w:left="1120" w:right="30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1,596 slot machines, 32 table games and a seven table poker room located in Erie, Pennsylvania;</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2,237 video lottery terminals (“VLTs”),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1,005 slot machines, 30 table games, a nine table poker room and a 238-room hotel;</w:t>
      </w:r>
    </w:p>
    <w:p>
      <w:pPr>
        <w:spacing w:after="0" w:line="62" w:lineRule="exact"/>
        <w:rPr>
          <w:rFonts w:ascii="Arial" w:cs="Arial" w:eastAsia="Arial" w:hAnsi="Arial"/>
          <w:sz w:val="18"/>
          <w:szCs w:val="18"/>
          <w:color w:val="auto"/>
        </w:rPr>
      </w:pPr>
    </w:p>
    <w:p>
      <w:pPr>
        <w:ind w:left="1120" w:right="18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472 slot machines, eleven table games and a 164-room hotel with a parking structure connecting Isle Casino Hotel-Black Hawk and Lady Luck Casino-Black Hawk;</w:t>
      </w:r>
    </w:p>
    <w:p>
      <w:pPr>
        <w:spacing w:after="0" w:line="73" w:lineRule="exact"/>
        <w:rPr>
          <w:rFonts w:ascii="Arial" w:cs="Arial" w:eastAsia="Arial" w:hAnsi="Arial"/>
          <w:sz w:val="18"/>
          <w:szCs w:val="18"/>
          <w:color w:val="auto"/>
        </w:rPr>
      </w:pPr>
    </w:p>
    <w:p>
      <w:pPr>
        <w:ind w:left="1120" w:right="100" w:hanging="558"/>
        <w:spacing w:after="0" w:line="259"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1,461 slot machines and a 45 table poker room. In April 2018, the Company announced the formation of a joint venture with the Cordish Companies to master plan and develop a mixed-use entertainment and hospitality destination expected to be located on unused land adjacent to the casino and racetrack;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 w:name="page9"/>
    <w:bookmarkEnd w:id="8"/>
    <w:p>
      <w:pPr>
        <w:ind w:left="1120" w:right="2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974 slot machines and 20 table games with two hotel towers with 509 hotel rooms;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936 slot machines, 25 table games, and a 194-room hotel;</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1,173 slot machines, 45 table games, including 13 poker tables, and two hotels offering 493 rooms;</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871 slot machines and 19 table games, two on-site hotels with a total of 486 rooms and a 28-space RV Park;</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603 slot machines, eight table games and a hotel with a total of 89 rooms;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885 slot machines, 20 table games and a 140-room hotel;</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870 slot machines and 24 table games, including four poker tables;</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512 slot machines and nine table games;</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969 slot machines and 13 table games; and</w:t>
      </w:r>
    </w:p>
    <w:p>
      <w:pPr>
        <w:spacing w:after="0" w:line="62" w:lineRule="exact"/>
        <w:rPr>
          <w:rFonts w:ascii="Arial" w:cs="Arial" w:eastAsia="Arial" w:hAnsi="Arial"/>
          <w:sz w:val="18"/>
          <w:szCs w:val="18"/>
          <w:color w:val="auto"/>
        </w:rPr>
      </w:pPr>
    </w:p>
    <w:p>
      <w:pPr>
        <w:ind w:left="1120" w:right="6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27 table games.</w:t>
      </w:r>
    </w:p>
    <w:p>
      <w:pPr>
        <w:spacing w:after="0" w:line="62" w:lineRule="exact"/>
        <w:rPr>
          <w:rFonts w:ascii="Arial" w:cs="Arial" w:eastAsia="Arial" w:hAnsi="Arial"/>
          <w:sz w:val="18"/>
          <w:szCs w:val="18"/>
          <w:color w:val="auto"/>
        </w:rPr>
      </w:pPr>
    </w:p>
    <w:p>
      <w:pPr>
        <w:ind w:left="1120" w:right="14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Grand Victoria Casino (“Elgin”)—A riverboat casino 40 miles west of downtown Chicago along the banks of the Fox River in Elgin, Illinois that includes 1,088 slot machines, 30 table games and 12 poker tables.</w:t>
      </w:r>
    </w:p>
    <w:p>
      <w:pPr>
        <w:spacing w:after="0" w:line="170"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entered into definitive agreements to sell Presque Isle Downs and Lady Luck Nemacolin.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Elgin Acquisition</w:t>
      </w:r>
    </w:p>
    <w:p>
      <w:pPr>
        <w:spacing w:after="0" w:line="117"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The Elgin Acquisition was made pursuant to a purchase agreement dated as of April 15, 2018, by and among the Company, Elgin Holdings I LLC, a Delaware limited liability company and a direct wholly owned subsidiary of the Company, Elgin Holdings II LLC, a Delaware limited liability company and an indirect wholly owned subsidiary of the Company, MGM Elgin Sub, Inc., a Nevada corporation, Illinois RBG, L.L.C., a Delaware limited liability company and Elgin. As a result of the Elgin Acquisition, Elgin became an indirect wholly-owned subsidiary of the Company. The Company purchased Elgin for $327.5 million and an estimated $1.4 million working capital adjustment subject to finalization within 100 days of the Elgin Acquisition date. The Elgin Acquisition was financed using cash on hand and borrowings under the Company’s revolving credit facility.</w:t>
      </w:r>
    </w:p>
    <w:p>
      <w:pPr>
        <w:spacing w:after="0" w:line="178" w:lineRule="exact"/>
        <w:rPr>
          <w:sz w:val="20"/>
          <w:szCs w:val="20"/>
          <w:color w:val="auto"/>
        </w:rPr>
      </w:pPr>
    </w:p>
    <w:p>
      <w:pPr>
        <w:jc w:val="both"/>
        <w:ind w:right="120" w:firstLine="555"/>
        <w:spacing w:after="0" w:line="286" w:lineRule="auto"/>
        <w:rPr>
          <w:sz w:val="20"/>
          <w:szCs w:val="20"/>
          <w:color w:val="auto"/>
        </w:rPr>
      </w:pPr>
      <w:r>
        <w:rPr>
          <w:rFonts w:ascii="Arial" w:cs="Arial" w:eastAsia="Arial" w:hAnsi="Arial"/>
          <w:sz w:val="17"/>
          <w:szCs w:val="17"/>
          <w:color w:val="auto"/>
        </w:rPr>
        <w:t>Transaction expenses attributed to the Elgin Acquisition are reported on the accompanying statement of operations and totaled $2.1 million and $3.4 million for the three and nine months ended September 30, 2018, respectively. As of September 30, 2018, $0.2 million of accrued costs and expenses related to the Elgin Acquisition are included in accrued other liabilities on the accompanying consolidated balance sheet.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93" w:lineRule="exact"/>
        <w:rPr>
          <w:sz w:val="20"/>
          <w:szCs w:val="20"/>
          <w:color w:val="auto"/>
        </w:rPr>
      </w:pPr>
    </w:p>
    <w:p>
      <w:pPr>
        <w:ind w:right="100" w:firstLine="555"/>
        <w:spacing w:after="0" w:line="254" w:lineRule="auto"/>
        <w:rPr>
          <w:sz w:val="20"/>
          <w:szCs w:val="20"/>
          <w:color w:val="auto"/>
        </w:rPr>
      </w:pPr>
      <w:r>
        <w:rPr>
          <w:rFonts w:ascii="Arial" w:cs="Arial" w:eastAsia="Arial" w:hAnsi="Arial"/>
          <w:sz w:val="18"/>
          <w:szCs w:val="18"/>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Elgin Acquisition, the Company’s principal operating activities occurred in four geographic regions and reportable segments. Following the Elgin Acquisition and in anticipation of the acquisition of Tropicana (see Note 3), a fifth segment, Central, has been added. As of and for the three and nine months ended September 30, 2018, the Central segment only contains Elgin. The reportable segments are based on the similar characteristics of the operating segments within the regions in which they operate: West, Midwest, South, East, and Central (See Note 13 for a listing of properties included in each segment).</w:t>
      </w:r>
    </w:p>
    <w:p>
      <w:pPr>
        <w:spacing w:after="0" w:line="192" w:lineRule="exact"/>
        <w:rPr>
          <w:sz w:val="20"/>
          <w:szCs w:val="20"/>
          <w:color w:val="auto"/>
        </w:rPr>
      </w:pPr>
    </w:p>
    <w:p>
      <w:pPr>
        <w:jc w:val="both"/>
        <w:ind w:right="380" w:firstLine="555"/>
        <w:spacing w:after="0" w:line="264" w:lineRule="auto"/>
        <w:rPr>
          <w:sz w:val="20"/>
          <w:szCs w:val="20"/>
          <w:color w:val="auto"/>
        </w:rPr>
      </w:pPr>
      <w:r>
        <w:rPr>
          <w:rFonts w:ascii="Arial" w:cs="Arial" w:eastAsia="Arial" w:hAnsi="Arial"/>
          <w:sz w:val="18"/>
          <w:szCs w:val="18"/>
          <w:color w:val="auto"/>
        </w:rPr>
        <w:t>The financial information included for periods prior to our acquisitions of Isle and Elgin are those of ERI and its subsidiaries. The presentation of information herein for periods prior to our acquisitions of Isle and Elgin and after our acquisitions of Isle and Elgin are not fully comparable because the results of operations for Isle and Elgin are not included for periods prior to our acquisitions of Isle and Elgin.</w:t>
      </w:r>
    </w:p>
    <w:p>
      <w:pPr>
        <w:spacing w:after="0" w:line="18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2017 and Form 8-K filed on September 5, 2018, which recast the Company’s form 10-K for the year ended December 31, 2017 for adoption of the new revenue recognition standard.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New Developments and Adoptions of New Accounting Standards</w:t>
      </w:r>
    </w:p>
    <w:p>
      <w:pPr>
        <w:spacing w:after="0" w:line="117"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In May 2014 (amended January 2017), the Financial Accounting Standards Board (“FASB”) issued Accounting Standard Update (“ASU”) No. 2014-09, “Revenue from Contracts with Customers,” (ASC Topic 606) which provides a single comprehensive model for entities to use in accounting for revenue arising from contracts with customers and eliminates existing industry guidance, including revenue recognition guidance specific to the gaming industry. The core principle of the revenue model indicates that an entity should recognize revenue to depict the transfer of promised goods or services to customers in an amount that reflects the consideration to which the entity expects to be entitled in exchange for those goods or services.</w:t>
      </w:r>
    </w:p>
    <w:p>
      <w:pPr>
        <w:spacing w:after="0" w:line="173"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The Company adopted this standard effective January 1, 2018, and elected to apply the full retrospective adoption method. The most significant impacts of the adoption are summarized below in Note 2.</w:t>
      </w:r>
    </w:p>
    <w:p>
      <w:pPr>
        <w:spacing w:after="0" w:line="170"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In November 2016, ASU No. 2016-18 was issued related to the inclusion of restricted cash in the statement of cash flows. This new guidance requires that a statement of cash flows present the change during the period in the total of cash, cash equivalents and amounts generally described as restricted cash or restricted cash equivalent. This update is effective in fiscal years, including interim periods, beginning after December 15, 2017. The Company retrospectively adopted this guidance on December 31, 2017. Upon adoption, the Company included a reconciliation of Cash and cash equivalents and restricted cash reported within the Consolidated Balance Sheets to the total shown in the Consolidated Statements of Cash Flows. Adoptions of this guidance had no other impact on the Consolidated Financial Statements or disclosures.</w:t>
      </w:r>
    </w:p>
    <w:p>
      <w:pPr>
        <w:spacing w:after="0" w:line="178" w:lineRule="exact"/>
        <w:rPr>
          <w:sz w:val="20"/>
          <w:szCs w:val="20"/>
          <w:color w:val="auto"/>
        </w:rPr>
      </w:pPr>
    </w:p>
    <w:p>
      <w:pPr>
        <w:ind w:right="460" w:firstLine="555"/>
        <w:spacing w:after="0" w:line="342" w:lineRule="auto"/>
        <w:rPr>
          <w:sz w:val="20"/>
          <w:szCs w:val="20"/>
          <w:color w:val="auto"/>
        </w:rPr>
      </w:pPr>
      <w:r>
        <w:rPr>
          <w:rFonts w:ascii="Arial" w:cs="Arial" w:eastAsia="Arial" w:hAnsi="Arial"/>
          <w:sz w:val="16"/>
          <w:szCs w:val="16"/>
          <w:color w:val="auto"/>
        </w:rPr>
        <w:t>Certain amounts have been retrospectively reclassified for the three and nine months ended September 30, 2017 to conform to the current period presentation and reflect the change in the Company’s Consolidated Statements of Cash Flows required with the adoption of ASU No. 2016-15.</w:t>
      </w:r>
    </w:p>
    <w:p>
      <w:pPr>
        <w:spacing w:after="0" w:line="124"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In January 2017, the FASB issued ASU No. 2017-01, “Business Combinations – Clarifying the Definition of a Business.” This amendment is intended to clarify the definition of a business with the objective of adding guidance to assist 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for interim and annual periods beginning after December 15,</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ind w:right="40"/>
        <w:spacing w:after="0" w:line="273" w:lineRule="auto"/>
        <w:rPr>
          <w:sz w:val="20"/>
          <w:szCs w:val="20"/>
          <w:color w:val="auto"/>
        </w:rPr>
      </w:pPr>
      <w:r>
        <w:rPr>
          <w:rFonts w:ascii="Arial" w:cs="Arial" w:eastAsia="Arial" w:hAnsi="Arial"/>
          <w:sz w:val="17"/>
          <w:szCs w:val="17"/>
          <w:color w:val="auto"/>
        </w:rPr>
        <w:t>2017, with early adoption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The Company adopted this accounting standard during the first quarter of 2018, which did not have an impact on our consolidated financial statements, and will result in future acquisitions which do not involve substantive processes being accounted for as asset acquisitions.</w:t>
      </w:r>
    </w:p>
    <w:p>
      <w:pPr>
        <w:spacing w:after="0" w:line="17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February 2016, the FASB issued ASU No. 2016-02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(“ROU”)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This ASU requires a transition adoption election using either 1) a modified retrospective approach with periods prior to the adoption date being recast or 2) a prospective adoption approach with a cumulative-effect adjustment recognized to the opening balance of retained earnings on the adoption date with prior periods not recast. The Company anticipates adopting this standard on January 1, 2019 using the prospective adoption approach and electing the practical expedients allowed under the standard.</w:t>
      </w:r>
    </w:p>
    <w:p>
      <w:pPr>
        <w:spacing w:after="0" w:line="178" w:lineRule="exact"/>
        <w:rPr>
          <w:sz w:val="20"/>
          <w:szCs w:val="20"/>
          <w:color w:val="auto"/>
        </w:rPr>
      </w:pPr>
    </w:p>
    <w:p>
      <w:pPr>
        <w:ind w:right="260" w:firstLine="555"/>
        <w:spacing w:after="0" w:line="255" w:lineRule="auto"/>
        <w:rPr>
          <w:sz w:val="20"/>
          <w:szCs w:val="20"/>
          <w:color w:val="auto"/>
        </w:rPr>
      </w:pPr>
      <w:r>
        <w:rPr>
          <w:rFonts w:ascii="Arial" w:cs="Arial" w:eastAsia="Arial" w:hAnsi="Arial"/>
          <w:sz w:val="18"/>
          <w:szCs w:val="18"/>
          <w:color w:val="auto"/>
        </w:rPr>
        <w:t>Currently, the Company does not have any material capital leases nor any material operating leases where the Company is the lessor. Our operating leases, primarily relating to certain ground leases and slot machines or VLTs, will be recorded on the balance sheet as an ROU asset with a corresponding lease liability, which will be amortized using the effective interest rate method as payments are made. The ROU asset will be depreciated on a straight-line basis and recognized as lease expense. The qualitative and quantitative effects of adoption of ASU 2016-02 are still being analyzed, and the Company is in the process of evaluating the full effect, including the total amount of both capital and operating leases, the new guidance will have on our consolidated financial statements.</w:t>
      </w:r>
    </w:p>
    <w:p>
      <w:pPr>
        <w:spacing w:after="0" w:line="193"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This amendment modifies the disclosure requirements on fair value measurements and is effective for annual and interim periods beginning after December 15, 2019, with early adoption allowed. The Company is still evaluating the qualitative and quantitative effect of the new guidance will have on our consolidated financial statements.</w:t>
      </w:r>
    </w:p>
    <w:p>
      <w:pPr>
        <w:spacing w:after="0" w:line="227"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The amendment is effective for annual and interim periods beginning after December 15, 2019, with early adoption allowed. The Company is still evaluating the qualitative and quantitative effect of the new guidance will have on our consolidated financial statements.</w:t>
      </w:r>
    </w:p>
    <w:p>
      <w:pPr>
        <w:spacing w:after="0" w:line="182"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In August 2018, the Securities and Exchange Commission issued a final rule “Disclosure Update and Simplification”. The final rule is intended to update existing disclosure requirements that have become redundant, duplicative, overlapping, outdate or superseded and to facilitate the disclosure of information to investors and simplify compliance without significantly altering the total mix of information provided to investors. Included in the final rule is a requirement to present changes in stockholders equity in the Company’s 10-Q filings. The final rule is effective for annual filings on November 5, 2018 and for interim periods beginning after the effective date, and will be included in the Company’s 2019 first quarter filing.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adoption of ASC Topic 606 on January 1, 2018 principally affected the presentation of promotional allowances and how the Company measured the liability associated with our customer loyalty programs. The presentation of gross revenues for complimentary goods and services provided to guests with a corresponding offsetting amount included in promotional allowances was eliminated. This adjustment in presentation of promotional allowances did not have an impact on the Company’s historically reported net operating revenues. The majority of such amounts previously included in promotional allowances now offset casino revenues based on an allocation of revenues to performance obligations using stand-alone selling price. Food, beverage, lodging and other services furnished to our guests on a complimentary basis are measured at the respective estimated standalone selling prices and included as revenues within food and beverage, lodging, and retail, entertainment and other, which generally resulted in a corresponding decrease in gaming revenues. The costs of providing such complimentary goods and services are included as expenses within food and beverage, lodging, and retail, entertainment and other.</w:t>
      </w:r>
    </w:p>
    <w:p>
      <w:pPr>
        <w:spacing w:after="0" w:line="166"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Additionally, as a result of the adoption of the new standard, certain adjustments and other reclassifications to and between revenue categories and to and between expense categories were required; however, the amounts associated with such adjustments did not have a significant impact on the Company’s previously reported operating income or net income.</w:t>
      </w:r>
    </w:p>
    <w:p>
      <w:pPr>
        <w:spacing w:after="0" w:line="181" w:lineRule="exact"/>
        <w:rPr>
          <w:sz w:val="20"/>
          <w:szCs w:val="20"/>
          <w:color w:val="auto"/>
        </w:rPr>
      </w:pPr>
    </w:p>
    <w:p>
      <w:pPr>
        <w:ind w:right="360" w:firstLine="555"/>
        <w:spacing w:after="0" w:line="257" w:lineRule="auto"/>
        <w:rPr>
          <w:sz w:val="20"/>
          <w:szCs w:val="20"/>
          <w:color w:val="auto"/>
        </w:rPr>
      </w:pPr>
      <w:r>
        <w:rPr>
          <w:rFonts w:ascii="Arial" w:cs="Arial" w:eastAsia="Arial" w:hAnsi="Arial"/>
          <w:sz w:val="18"/>
          <w:szCs w:val="18"/>
          <w:color w:val="auto"/>
        </w:rPr>
        <w:t>Liabilities associated with our customer loyalty programs are no longer valued at cost; rather a deferred revenue model is used to account for the classification and timing of revenue to be recognized related to the redemption of loyalty program liabilities by our customers. Points earned under the Company’s loyalty programs are deemed to be separate performance obligations, and recorded as a reduction of casino revenues when earned at the retail value of such benefits owed to the customer and recognized as departmental revenue based on where such points are redeemed, upon fulfillment of the performance obligation.</w:t>
      </w:r>
    </w:p>
    <w:p>
      <w:pPr>
        <w:spacing w:after="0" w:line="188" w:lineRule="exact"/>
        <w:rPr>
          <w:sz w:val="20"/>
          <w:szCs w:val="20"/>
          <w:color w:val="auto"/>
        </w:rPr>
      </w:pPr>
    </w:p>
    <w:p>
      <w:pPr>
        <w:jc w:val="both"/>
        <w:ind w:right="180" w:firstLine="555"/>
        <w:spacing w:after="0" w:line="259" w:lineRule="auto"/>
        <w:rPr>
          <w:sz w:val="20"/>
          <w:szCs w:val="20"/>
          <w:color w:val="auto"/>
        </w:rPr>
      </w:pPr>
      <w:r>
        <w:rPr>
          <w:rFonts w:ascii="Arial" w:cs="Arial" w:eastAsia="Arial" w:hAnsi="Arial"/>
          <w:sz w:val="18"/>
          <w:szCs w:val="18"/>
          <w:color w:val="auto"/>
        </w:rPr>
        <w:t>The Company elected to adopt the full retrospective method to apply the new guidance to each prior reporting period presented as if it had been in effect since January 1, 2015, with a pre-tax cumulative effect adjustment to our retained earnings upon adoption of $4.7 million. Net of tax, the cumulative effect adjustment to our retained earnings upon adoption was $3.5 million. This was primarily related to our loyalty program point liability, which increased from an estimated incremental cost model to a deferred revenue model at retail value.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Adoption of the new standard did not have a significant impact on our previously reported net revenue, expenses, operating income, and net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adoption of the new standard to previously reported selected financial statement information was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Three Months Ended September 30, 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Reported</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ASC 606 Adjustments</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9"/>
              </w:rPr>
              <w:t>Other Reclassifications</w:t>
            </w:r>
            <w:r>
              <w:rPr>
                <w:rFonts w:ascii="Arial" w:cs="Arial" w:eastAsia="Arial" w:hAnsi="Arial"/>
                <w:sz w:val="12"/>
                <w:szCs w:val="12"/>
                <w:b w:val="1"/>
                <w:bCs w:val="1"/>
                <w:color w:val="auto"/>
                <w:w w:val="99"/>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revenues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483,036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(39,651)</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Promotional allowances</w:t>
            </w:r>
          </w:p>
        </w:tc>
        <w:tc>
          <w:tcPr>
            <w:tcW w:w="18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(38,162)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41,785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444,874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vMerge w:val="continue"/>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78,924</w:t>
            </w:r>
          </w:p>
        </w:tc>
        <w:tc>
          <w:tcPr>
            <w:tcW w:w="2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81,492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 2017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2"/>
                <w:szCs w:val="12"/>
                <w:color w:val="auto"/>
              </w:rPr>
            </w:pP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ASC 606</w:t>
            </w:r>
          </w:p>
        </w:tc>
        <w:tc>
          <w:tcPr>
            <w:tcW w:w="14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Reclassifications</w:t>
            </w:r>
            <w:r>
              <w:rPr>
                <w:rFonts w:ascii="Arial" w:cs="Arial" w:eastAsia="Arial" w:hAnsi="Arial"/>
                <w:sz w:val="12"/>
                <w:szCs w:val="12"/>
                <w:b w:val="1"/>
                <w:bCs w:val="1"/>
                <w:color w:val="auto"/>
                <w:w w:val="91"/>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revenues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1,088,754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(88,225)</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1,050,897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Promotional allowances</w:t>
            </w:r>
          </w:p>
        </w:tc>
        <w:tc>
          <w:tcPr>
            <w:tcW w:w="18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(87,776)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93,838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1,000,978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44,306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1,050,897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vMerge w:val="continue"/>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60,955</w:t>
            </w:r>
          </w:p>
        </w:tc>
        <w:tc>
          <w:tcPr>
            <w:tcW w:w="2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60" w:hanging="552"/>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reclassifications are comprised of the reversal of our Lake Charles property from discontinued operations and other reclassifications to conform to current period presentations.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ind w:right="40" w:firstLine="555"/>
        <w:spacing w:after="0" w:line="259" w:lineRule="auto"/>
        <w:rPr>
          <w:sz w:val="20"/>
          <w:szCs w:val="20"/>
          <w:color w:val="auto"/>
        </w:rPr>
      </w:pPr>
      <w:r>
        <w:rPr>
          <w:rFonts w:ascii="Arial" w:cs="Arial" w:eastAsia="Arial" w:hAnsi="Arial"/>
          <w:sz w:val="18"/>
          <w:szCs w:val="18"/>
          <w:color w:val="auto"/>
        </w:rPr>
        <w:t>Additionally, adoption of the new standard resulted in a basic earnings per share adjustment from the as reported $0.38 per share to $0.39 per share for the three months ended September 30, 2017. There was no adjustment for the diluted earnings per share for the three months ended September 30, 2017. Adoption of the new standard resulted in a net loss per share adjustment from the as reported $0.25 per share to $0.24 per share for the nine months ended September 30 2018 for both basic and diluted earnings per share.</w:t>
      </w:r>
    </w:p>
    <w:p>
      <w:pPr>
        <w:spacing w:after="0" w:line="187"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The Company’s consolidated statement of operations presents net revenue disaggregated by type or nature of the good or service (i.e., casino, pari-mutuel, food and beverage, hotel and other). A summary of net revenues disaggregated by type of revenue and reportable segment is presented below (amounts in thousands). Refer to Note 13 for a discussion of the Company’s reportable segments.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7"/>
          </w:tcPr>
          <w:p>
            <w:pPr>
              <w:ind w:left="60"/>
              <w:spacing w:after="0"/>
              <w:rPr>
                <w:sz w:val="20"/>
                <w:szCs w:val="20"/>
                <w:color w:val="auto"/>
              </w:rPr>
            </w:pPr>
            <w:r>
              <w:rPr>
                <w:rFonts w:ascii="Arial" w:cs="Arial" w:eastAsia="Arial" w:hAnsi="Arial"/>
                <w:sz w:val="14"/>
                <w:szCs w:val="14"/>
                <w:b w:val="1"/>
                <w:bCs w:val="1"/>
                <w:color w:val="auto"/>
                <w:w w:val="96"/>
              </w:rPr>
              <w:t>Three Months Ended September 30, 2018</w:t>
            </w:r>
          </w:p>
        </w:tc>
        <w:tc>
          <w:tcPr>
            <w:tcW w:w="220" w:type="dxa"/>
            <w:vAlign w:val="bottom"/>
          </w:tcPr>
          <w:p>
            <w:pPr>
              <w:spacing w:after="0"/>
              <w:rPr>
                <w:sz w:val="16"/>
                <w:szCs w:val="16"/>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Midwest</w:t>
            </w:r>
          </w:p>
        </w:tc>
        <w:tc>
          <w:tcPr>
            <w:tcW w:w="16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East</w:t>
            </w:r>
          </w:p>
        </w:tc>
        <w:tc>
          <w:tcPr>
            <w:tcW w:w="140" w:type="dxa"/>
            <w:vAlign w:val="bottom"/>
          </w:tcPr>
          <w:p>
            <w:pPr>
              <w:spacing w:after="0"/>
              <w:rPr>
                <w:sz w:val="10"/>
                <w:szCs w:val="10"/>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86,331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84,299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109,637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129,092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99,834</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106,569</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127,722</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23,897</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7"/>
          </w:tcPr>
          <w:p>
            <w:pPr>
              <w:ind w:left="60"/>
              <w:spacing w:after="0"/>
              <w:rPr>
                <w:sz w:val="20"/>
                <w:szCs w:val="20"/>
                <w:color w:val="auto"/>
              </w:rPr>
            </w:pPr>
            <w:r>
              <w:rPr>
                <w:rFonts w:ascii="Arial" w:cs="Arial" w:eastAsia="Arial" w:hAnsi="Arial"/>
                <w:sz w:val="14"/>
                <w:szCs w:val="14"/>
                <w:b w:val="1"/>
                <w:bCs w:val="1"/>
                <w:color w:val="auto"/>
                <w:w w:val="96"/>
              </w:rPr>
              <w:t>Three Months Ended September 30, 2017</w:t>
            </w:r>
          </w:p>
        </w:tc>
        <w:tc>
          <w:tcPr>
            <w:tcW w:w="220" w:type="dxa"/>
            <w:vAlign w:val="bottom"/>
          </w:tcPr>
          <w:p>
            <w:pPr>
              <w:spacing w:after="0"/>
              <w:rPr>
                <w:sz w:val="24"/>
                <w:szCs w:val="2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Midwest</w:t>
            </w:r>
          </w:p>
        </w:tc>
        <w:tc>
          <w:tcPr>
            <w:tcW w:w="16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East</w:t>
            </w:r>
          </w:p>
        </w:tc>
        <w:tc>
          <w:tcPr>
            <w:tcW w:w="140" w:type="dxa"/>
            <w:vAlign w:val="bottom"/>
          </w:tcPr>
          <w:p>
            <w:pPr>
              <w:spacing w:after="0"/>
              <w:rPr>
                <w:sz w:val="10"/>
                <w:szCs w:val="10"/>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63,501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89,482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84,447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110,107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347,537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134,324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103,651</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107,934</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126,796</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7"/>
          </w:tcPr>
          <w:p>
            <w:pPr>
              <w:jc w:val="right"/>
              <w:ind w:right="73"/>
              <w:spacing w:after="0"/>
              <w:rPr>
                <w:sz w:val="20"/>
                <w:szCs w:val="20"/>
                <w:color w:val="auto"/>
              </w:rPr>
            </w:pPr>
            <w:r>
              <w:rPr>
                <w:rFonts w:ascii="Arial" w:cs="Arial" w:eastAsia="Arial" w:hAnsi="Arial"/>
                <w:sz w:val="14"/>
                <w:szCs w:val="14"/>
                <w:b w:val="1"/>
                <w:bCs w:val="1"/>
                <w:color w:val="auto"/>
                <w:w w:val="95"/>
              </w:rPr>
              <w:t>Nine Months Ended September 30, 2018</w:t>
            </w:r>
          </w:p>
        </w:tc>
        <w:tc>
          <w:tcPr>
            <w:tcW w:w="220" w:type="dxa"/>
            <w:vAlign w:val="bottom"/>
          </w:tcPr>
          <w:p>
            <w:pPr>
              <w:spacing w:after="0"/>
              <w:rPr>
                <w:sz w:val="24"/>
                <w:szCs w:val="2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Midwest</w:t>
            </w:r>
          </w:p>
        </w:tc>
        <w:tc>
          <w:tcPr>
            <w:tcW w:w="16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East</w:t>
            </w:r>
          </w:p>
        </w:tc>
        <w:tc>
          <w:tcPr>
            <w:tcW w:w="140" w:type="dxa"/>
            <w:vAlign w:val="bottom"/>
          </w:tcPr>
          <w:p>
            <w:pPr>
              <w:spacing w:after="0"/>
              <w:rPr>
                <w:sz w:val="10"/>
                <w:szCs w:val="10"/>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168,342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262,138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270,802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323,030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1,046,010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164,644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5,795</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346,550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301,235</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341,612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370,576</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23,897</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1,384,247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7"/>
          </w:tcPr>
          <w:p>
            <w:pPr>
              <w:jc w:val="right"/>
              <w:ind w:right="73"/>
              <w:spacing w:after="0"/>
              <w:rPr>
                <w:sz w:val="20"/>
                <w:szCs w:val="20"/>
                <w:color w:val="auto"/>
              </w:rPr>
            </w:pPr>
            <w:r>
              <w:rPr>
                <w:rFonts w:ascii="Arial" w:cs="Arial" w:eastAsia="Arial" w:hAnsi="Arial"/>
                <w:sz w:val="14"/>
                <w:szCs w:val="14"/>
                <w:b w:val="1"/>
                <w:bCs w:val="1"/>
                <w:color w:val="auto"/>
                <w:w w:val="95"/>
              </w:rPr>
              <w:t>Nine Months Ended September 30, 2017</w:t>
            </w:r>
          </w:p>
        </w:tc>
        <w:tc>
          <w:tcPr>
            <w:tcW w:w="220" w:type="dxa"/>
            <w:vAlign w:val="bottom"/>
          </w:tcPr>
          <w:p>
            <w:pPr>
              <w:spacing w:after="0"/>
              <w:rPr>
                <w:sz w:val="24"/>
                <w:szCs w:val="2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Midwest</w:t>
            </w:r>
          </w:p>
        </w:tc>
        <w:tc>
          <w:tcPr>
            <w:tcW w:w="16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East</w:t>
            </w:r>
          </w:p>
        </w:tc>
        <w:tc>
          <w:tcPr>
            <w:tcW w:w="140" w:type="dxa"/>
            <w:vAlign w:val="bottom"/>
          </w:tcPr>
          <w:p>
            <w:pPr>
              <w:spacing w:after="0"/>
              <w:rPr>
                <w:sz w:val="10"/>
                <w:szCs w:val="10"/>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132,563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147,469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176,616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308,036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764,684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69,596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297,564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171,292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228,954</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352,721</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1,050,897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3" w:name="page14"/>
    <w:bookmarkEnd w:id="13"/>
    <w:p>
      <w:pPr>
        <w:ind w:right="4620"/>
        <w:spacing w:after="0" w:line="378" w:lineRule="auto"/>
        <w:rPr>
          <w:sz w:val="20"/>
          <w:szCs w:val="20"/>
          <w:color w:val="auto"/>
        </w:rPr>
      </w:pPr>
      <w:r>
        <w:rPr>
          <w:rFonts w:ascii="Arial" w:cs="Arial" w:eastAsia="Arial" w:hAnsi="Arial"/>
          <w:sz w:val="18"/>
          <w:szCs w:val="18"/>
          <w:b w:val="1"/>
          <w:bCs w:val="1"/>
          <w:color w:val="auto"/>
        </w:rPr>
        <w:t xml:space="preserve">Note 3. Acquisitions, Preliminary Purchase Price Accounting and Proforma Information </w:t>
      </w:r>
      <w:r>
        <w:rPr>
          <w:rFonts w:ascii="Arial" w:cs="Arial" w:eastAsia="Arial" w:hAnsi="Arial"/>
          <w:sz w:val="18"/>
          <w:szCs w:val="18"/>
          <w:b w:val="1"/>
          <w:bCs w:val="1"/>
          <w:i w:val="1"/>
          <w:iCs w:val="1"/>
          <w:color w:val="auto"/>
        </w:rPr>
        <w:t>Preliminary Purchase Price Accounting – Elgin</w:t>
      </w:r>
    </w:p>
    <w:p>
      <w:pPr>
        <w:ind w:right="420" w:firstLine="555"/>
        <w:spacing w:after="0" w:line="264" w:lineRule="auto"/>
        <w:rPr>
          <w:sz w:val="20"/>
          <w:szCs w:val="20"/>
          <w:color w:val="auto"/>
        </w:rPr>
      </w:pPr>
      <w:r>
        <w:rPr>
          <w:rFonts w:ascii="Arial" w:cs="Arial" w:eastAsia="Arial" w:hAnsi="Arial"/>
          <w:sz w:val="18"/>
          <w:szCs w:val="18"/>
          <w:color w:val="auto"/>
        </w:rPr>
        <w:t>On August 7, 2018, the Company completed its acquisition of one hundred percent of the partnership interests in Elgin. The total purchase consideration for the Elgin Acquisition was $328.9 million. The estimated purchase consideration in the acquisition was determined with reference to its acquisition date fair value.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3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 paid</w:t>
            </w:r>
          </w:p>
        </w:tc>
        <w:tc>
          <w:tcPr>
            <w:tcW w:w="92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327,500</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Working capital and other adjustments</w:t>
            </w:r>
          </w:p>
        </w:tc>
        <w:tc>
          <w:tcPr>
            <w:tcW w:w="3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FF0FC"/>
            </w:tcBorders>
          </w:tcPr>
          <w:p>
            <w:pPr>
              <w:spacing w:after="0"/>
              <w:rPr>
                <w:sz w:val="19"/>
                <w:szCs w:val="19"/>
                <w:color w:val="auto"/>
              </w:rPr>
            </w:pPr>
          </w:p>
        </w:tc>
      </w:tr>
      <w:tr>
        <w:trPr>
          <w:trHeight w:val="223"/>
        </w:trPr>
        <w:tc>
          <w:tcPr>
            <w:tcW w:w="9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Purchase consideration</w:t>
            </w:r>
          </w:p>
        </w:tc>
        <w:tc>
          <w:tcPr>
            <w:tcW w:w="3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firstLine="555"/>
        <w:spacing w:after="0" w:line="277" w:lineRule="auto"/>
        <w:rPr>
          <w:sz w:val="20"/>
          <w:szCs w:val="20"/>
          <w:color w:val="auto"/>
        </w:rPr>
      </w:pPr>
      <w:r>
        <w:rPr>
          <w:rFonts w:ascii="Arial" w:cs="Arial" w:eastAsia="Arial" w:hAnsi="Arial"/>
          <w:sz w:val="18"/>
          <w:szCs w:val="18"/>
          <w:color w:val="auto"/>
        </w:rPr>
        <w:t>The working capital adjustment is subject to finalization within 100 days of the Elgin Acquisition date pursuant to the terms of the purchase agreement; however, no material adjustments are anticipated.</w:t>
      </w:r>
    </w:p>
    <w:p>
      <w:pPr>
        <w:spacing w:after="0" w:line="170" w:lineRule="exact"/>
        <w:rPr>
          <w:sz w:val="20"/>
          <w:szCs w:val="20"/>
          <w:color w:val="auto"/>
        </w:rPr>
      </w:pPr>
    </w:p>
    <w:p>
      <w:pPr>
        <w:ind w:right="240" w:firstLine="555"/>
        <w:spacing w:after="0" w:line="259" w:lineRule="auto"/>
        <w:rPr>
          <w:sz w:val="20"/>
          <w:szCs w:val="20"/>
          <w:color w:val="auto"/>
        </w:rPr>
      </w:pPr>
      <w:r>
        <w:rPr>
          <w:rFonts w:ascii="Arial" w:cs="Arial" w:eastAsia="Arial" w:hAnsi="Arial"/>
          <w:sz w:val="18"/>
          <w:szCs w:val="18"/>
          <w:color w:val="auto"/>
        </w:rPr>
        <w:t>The fair values are based on management’s analysis including preliminary work performed by third party valuation specialists, which are subject to finalization and review. The purchase price accounting for Elgin is preliminary and is subject to change. The following table summarizes the preliminary allocation of the purchase consideration to the identifiable assets acquired and liabilities assumed of Elgin, with the excess recorded as goodwill as of September 30, 2018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22,612</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Other current assets</w:t>
            </w:r>
          </w:p>
        </w:tc>
        <w:tc>
          <w:tcPr>
            <w:tcW w:w="3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60,812</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Goodwill</w:t>
            </w:r>
          </w:p>
        </w:tc>
        <w:tc>
          <w:tcPr>
            <w:tcW w:w="3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60,086</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(i)</w:t>
            </w:r>
          </w:p>
        </w:tc>
        <w:tc>
          <w:tcPr>
            <w:tcW w:w="3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205,296</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38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FF0FC"/>
            </w:tcBorders>
          </w:tcPr>
          <w:p>
            <w:pPr>
              <w:spacing w:after="0"/>
              <w:rPr>
                <w:sz w:val="19"/>
                <w:szCs w:val="19"/>
                <w:color w:val="auto"/>
              </w:rPr>
            </w:pPr>
          </w:p>
        </w:tc>
      </w:tr>
      <w:tr>
        <w:trPr>
          <w:trHeight w:val="223"/>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3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351,958</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(21,322)</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8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(1,750)</w:t>
            </w:r>
          </w:p>
        </w:tc>
      </w:tr>
      <w:tr>
        <w:trPr>
          <w:trHeight w:val="223"/>
        </w:trPr>
        <w:tc>
          <w:tcPr>
            <w:tcW w:w="5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384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(23,072)</w:t>
            </w:r>
          </w:p>
        </w:tc>
        <w:tc>
          <w:tcPr>
            <w:tcW w:w="120" w:type="dxa"/>
            <w:vAlign w:val="bottom"/>
            <w:tcBorders>
              <w:bottom w:val="single" w:sz="8" w:color="CFF0FC"/>
            </w:tcBorders>
          </w:tcPr>
          <w:p>
            <w:pPr>
              <w:spacing w:after="0"/>
              <w:rPr>
                <w:sz w:val="19"/>
                <w:szCs w:val="19"/>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38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hanging="547"/>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Intangible assets consist of gaming license valued at $163.9 million, trade names valued at $12.6 million and player relationships valued at $28.8 million.</w:t>
      </w:r>
    </w:p>
    <w:p>
      <w:pPr>
        <w:spacing w:after="0" w:line="170"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Elgin Acquisition make use of Level 3 inputs including discounted cash flows.</w:t>
      </w:r>
    </w:p>
    <w:p>
      <w:pPr>
        <w:spacing w:after="0" w:line="170"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Trade receivables and payables, inventory and other current and noncurrent assets and liabilities were valued at the existing carrying values as they represented the estimated fair value of those items at the Elgin Acquisition date.</w:t>
      </w:r>
    </w:p>
    <w:p>
      <w:pPr>
        <w:spacing w:after="0" w:line="170"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With respect to personal property components of the assets,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89"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ind w:right="20" w:firstLine="555"/>
        <w:spacing w:after="0" w:line="270" w:lineRule="auto"/>
        <w:rPr>
          <w:sz w:val="20"/>
          <w:szCs w:val="20"/>
          <w:color w:val="auto"/>
        </w:rPr>
      </w:pPr>
      <w:r>
        <w:rPr>
          <w:rFonts w:ascii="Arial" w:cs="Arial" w:eastAsia="Arial" w:hAnsi="Arial"/>
          <w:sz w:val="17"/>
          <w:szCs w:val="17"/>
          <w:color w:val="auto"/>
        </w:rPr>
        <w:t>The fair value of the gaming license was determined using the multi period excess earnings method. The excess earnings methodology, which is an income approach methodology that allocates the projected cash flows of the business to the gaming license intangible assets less charges for the use of other identifiable assets of Elgin including working capital, fixed assets and other intangible assets. This methodology was considered appropriate as the gaming license is the primary asset of Elgin. The property’s estimated future cash flows were the primary assumption in the respective valuations. Cash flow estimates included net gaming revenue, gaming operating expenses, general and administrative expenses, and tax expense. The renewal of the gaming license depends on a number of factors, including payment of certain fees and taxes, providing certain information to the state’s gaming regulator, and meeting certain inspection requirements. However, ERI’s historical experience has not indicated, nor does ERI expect, any limitations regarding its ability to continue to renew the license. No other competitive, contractual, or economic factor limits the useful lives of this asset. Accordingly, ERI has concluded that the useful life of this license is indefinite.</w:t>
      </w:r>
    </w:p>
    <w:p>
      <w:pPr>
        <w:spacing w:after="0" w:line="182"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Player relationships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w:t>
      </w:r>
    </w:p>
    <w:p>
      <w:pPr>
        <w:spacing w:after="0" w:line="171" w:lineRule="exact"/>
        <w:rPr>
          <w:sz w:val="20"/>
          <w:szCs w:val="20"/>
          <w:color w:val="auto"/>
        </w:rPr>
      </w:pPr>
    </w:p>
    <w:p>
      <w:pPr>
        <w:ind w:right="20" w:firstLine="555"/>
        <w:spacing w:after="0" w:line="219" w:lineRule="exact"/>
        <w:rPr>
          <w:sz w:val="20"/>
          <w:szCs w:val="20"/>
          <w:color w:val="auto"/>
        </w:rPr>
      </w:pPr>
      <w:r>
        <w:rPr>
          <w:rFonts w:ascii="Arial" w:cs="Arial" w:eastAsia="Arial" w:hAnsi="Arial"/>
          <w:sz w:val="18"/>
          <w:szCs w:val="18"/>
          <w:color w:val="auto"/>
        </w:rPr>
        <w:t>The trade name was valued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royalty method. The loyalty program was valued using a comparative business valuation method. Management has assigned the trade name an indefinite useful life after considering, among other things, the expected use of the asset, the expected useful life of other related asset or asset group,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w:t>
      </w:r>
    </w:p>
    <w:p>
      <w:pPr>
        <w:spacing w:after="0" w:line="203"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70"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For the period from the Elgin acquisition date through September 30, 2018, Elgin generated net revenues of $23.9 million and net income of $2.2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Tropicana</w:t>
      </w:r>
    </w:p>
    <w:p>
      <w:pPr>
        <w:spacing w:after="0" w:line="117"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On April 15, 2018 the Company announced that it entered into a definitive agreement to acquire Tropicana Entertainment Inc. (“Tropicana”) in a cash transaction valued at $1.85 billion. At the closing of the transaction on October 1, 2018, a subsidiary of the Company merged into Tropicana and Tropicana became a wholly owned subsidiary of the Company. Immediately prior to the merger, Tropicana sold Tropicana Aruba Resort and Casino and Gaming and Leisure Properties (“GLPI”) acquired substantially all of Tropicana’s real estate, other than the real estate underlying MontBleu Casino Resort &amp; Spa and Lumière Place Casino and Hotel (“Lumière Place”), for approximately $964 million and the Company acquired the real estate underlying Lumière Place for $246 million. The Company also entered into a 15-year master lease with GLPI pursuant to which the Company will lease the Tropicana real estate acquired by GLPI. The Company funded the purchase of the real estate underlying Lumière Place with the proceeds of a $246 million loan from GLPI and funded the $640 million of consideration payable by the Company and the repayment of amounts outstanding under the Tropicana credit facility with cash on hand at the Company and Tropicana, borrowings under the Company’s revolving credit facility and proceeds from the Company’s offering of $600 million of 6% senior notes due 2026. In addition, the Company’s borrowing capacity on its revolving credit facility increased from $300 million to $500 million effective October 1, 2018 and the maturity of the revolving credit facility was extended to October 1, 2023.</w:t>
      </w:r>
    </w:p>
    <w:p>
      <w:pPr>
        <w:spacing w:after="0" w:line="183"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Transaction expenses related to the Tropicana Acquisition for the three and nine months ended September 30, 2018 totaled $2.0 million and $5.5 million, respectively. As of September 30, 2018, $1.2 million of accrued costs and expenses related to the Tropicana Acquisition are included in accrued other liabilities.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Master Lease</w:t>
      </w:r>
    </w:p>
    <w:p>
      <w:pPr>
        <w:spacing w:after="0" w:line="131"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Following the acquisition of the real estate portfolio by GLPI, the Company entered into a triple net master lease for the Tropicana properties acquired by GLPI with an initial term of 15 years, with renewals of up to 20 years at the Company’s option (“Master Lease”). Under the Master Lease, the Company is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 The initial annual rent under the terms of the lease is expected to be approximately $87.6 million. The Company does not have the ability to terminate the obligations under the Master Lease prior to its expiration without GLPI’s consent.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In connection with the purchase of the real estate related to Lumière Place, GLPI, Tropicana St. Louis RE LLC, a wholly-owned subsidiary of the Company (“Tropicana St. Louis RE”), and the Company entered into a loan agreement, dated as of October 1, 2018 (the “Lumière Loan”), relating to a loan of $246 million by GLPI to Tropicana St. Louis RE to fund the entire purchase price of the real estate underlying Lumière Place and a guaranty by the Company of the amounts owed by Tropicana St. Louis RE. The Lumière Loan bears interest at a rate equal to (i) 9.09% until October 1, 2019 and (ii) 9.27% until October 1, 2020, and matures on October 1, 2020. The Lumière Loan is secured by a first priority mortgage on the Lumière Real Property until October 1, 2019. In connection with the issuance of the Lumière Loan, the Company agreed to use its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Tropicana St. Louis RE and GLPI, provided that the aggregate value of such property, individually or collectively, is at least $246 million (the “Replacement Property”), to GLPI with a simultaneous leaseback to the Company of such Replacement Property. In connection with such Replacement Property sale, (i) the Company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the obligations of Tropicana St. Louis RE and the Company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outstanding obligations of Tropicana St. Louis RE under the Lumière Loan, GLPI will pay Tropicana St. Louis RE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Due to the closing of the transaction in October, preliminary purchase accounting has not been reflected herein.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nine months ended September 30, 2017, as if the Isle Acquisition had occurred on January 1, 2016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2"/>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9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2017</w:t>
            </w:r>
          </w:p>
        </w:tc>
      </w:tr>
      <w:tr>
        <w:trPr>
          <w:trHeight w:val="223"/>
        </w:trPr>
        <w:tc>
          <w:tcPr>
            <w:tcW w:w="9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1,379,466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84,134</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acquisition had taken place on January 1, 2016, nor are they indicative of the results of operations for future periods. The pro forma amounts include the historical operating results of the Company and Isle prior to the Isle Acquisition with adjustments directly attributable to the Isle Acquisition.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Elgin</w:t>
      </w:r>
    </w:p>
    <w:p>
      <w:pPr>
        <w:spacing w:after="0" w:line="11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nine months ended September 30, 2018 and 2017, as if the Elgin Acquisition had occurred on January 1, 2017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19"/>
              <w:spacing w:after="0"/>
              <w:rPr>
                <w:sz w:val="20"/>
                <w:szCs w:val="20"/>
                <w:color w:val="auto"/>
              </w:rPr>
            </w:pPr>
            <w:r>
              <w:rPr>
                <w:rFonts w:ascii="Arial" w:cs="Arial" w:eastAsia="Arial" w:hAnsi="Arial"/>
                <w:sz w:val="14"/>
                <w:szCs w:val="14"/>
                <w:b w:val="1"/>
                <w:bCs w:val="1"/>
                <w:color w:val="auto"/>
                <w:w w:val="99"/>
              </w:rPr>
              <w:t>Nine Months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39"/>
              <w:spacing w:after="0"/>
              <w:rPr>
                <w:sz w:val="20"/>
                <w:szCs w:val="20"/>
                <w:color w:val="auto"/>
              </w:rPr>
            </w:pPr>
            <w:r>
              <w:rPr>
                <w:rFonts w:ascii="Arial" w:cs="Arial" w:eastAsia="Arial" w:hAnsi="Arial"/>
                <w:sz w:val="14"/>
                <w:szCs w:val="14"/>
                <w:b w:val="1"/>
                <w:bCs w:val="1"/>
                <w:color w:val="auto"/>
                <w:w w:val="97"/>
              </w:rPr>
              <w:t>September 30, 2018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September 30, 2017</w:t>
            </w:r>
          </w:p>
        </w:tc>
      </w:tr>
      <w:tr>
        <w:trPr>
          <w:trHeight w:val="22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1,481,188</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1,177,247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108,461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(7,095)</w:t>
            </w:r>
          </w:p>
        </w:tc>
      </w:tr>
    </w:tbl>
    <w:p>
      <w:pPr>
        <w:spacing w:after="0" w:line="201" w:lineRule="exact"/>
        <w:rPr>
          <w:sz w:val="20"/>
          <w:szCs w:val="20"/>
          <w:color w:val="auto"/>
        </w:rPr>
      </w:pPr>
    </w:p>
    <w:p>
      <w:pPr>
        <w:ind w:right="260" w:firstLine="555"/>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Elgin prior to the Elgin Acquisition with adjustments directly attributable to the Elgin Acquisition.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Assets Held for Sale</w:t>
      </w:r>
    </w:p>
    <w:p>
      <w:pPr>
        <w:spacing w:after="0" w:line="121"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On February 28, 2018, the Company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conjunction with the classification of Vicksburg’s operations as assets held for sale at March 31, 2018 as a result of the announced sale to CDI, an impairment charge totaling $9.8 million was recorded due to the carrying value exceeding the estimated net sales proceeds.</w:t>
      </w:r>
    </w:p>
    <w:p>
      <w:pPr>
        <w:spacing w:after="0" w:line="158" w:lineRule="exact"/>
        <w:rPr>
          <w:sz w:val="20"/>
          <w:szCs w:val="20"/>
          <w:color w:val="auto"/>
        </w:rPr>
      </w:pPr>
    </w:p>
    <w:p>
      <w:pPr>
        <w:ind w:right="300" w:firstLine="555"/>
        <w:spacing w:after="0" w:line="257" w:lineRule="auto"/>
        <w:rPr>
          <w:sz w:val="20"/>
          <w:szCs w:val="20"/>
          <w:color w:val="auto"/>
        </w:rPr>
      </w:pPr>
      <w:r>
        <w:rPr>
          <w:rFonts w:ascii="Arial" w:cs="Arial" w:eastAsia="Arial" w:hAnsi="Arial"/>
          <w:sz w:val="18"/>
          <w:szCs w:val="18"/>
          <w:color w:val="auto"/>
        </w:rPr>
        <w:t>The definitive agreements provided that the dispositions were subject to receipt of required regulatory approvals, termination of the waiting period under the Hart-Scott-Rodino Act and other customary closing conditions, including, in the case of Presque Isle 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in connection with its review of the Vicksburg acquisition.</w:t>
      </w:r>
    </w:p>
    <w:p>
      <w:pPr>
        <w:spacing w:after="0" w:line="188"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the Company a $5.0 million termination fee upon execution of a definitive agreement with respect to the Nemacolin transaction. On August 10, 2018, the Company entered into a definitive agreement to sell substantially all of the assets and liabilities of Nemacolin to CDI. Under the terms of the agreement, CDI agreed to purchase Nemacolin for cash consideration of approximately $0.1 million, subject to a customary working capital adjustment.</w:t>
      </w:r>
    </w:p>
    <w:p>
      <w:pPr>
        <w:spacing w:after="0" w:line="178"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As a result of the agreement to sell Nemacolin, an impairment charge of $3.8 million for the three and nine months ended September 30, 2018 was recorded due to the carrying of the net property and equipment being sold exceeding the estimated net sales proceeds.</w:t>
      </w:r>
    </w:p>
    <w:p>
      <w:pPr>
        <w:spacing w:after="0" w:line="170"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Both transactions are expected to close in the fourth quarter of 2018 or first quarter of 2019, subject to satisfaction of closing conditions, including receipt of Pennsylvania regulatory approvals.</w:t>
      </w:r>
    </w:p>
    <w:p>
      <w:pPr>
        <w:spacing w:after="0" w:line="170"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The dispositions of Nemacolin and Presque Isle Downs, both of which are reported in the East segment, met the requirements for presentation as assets held for sale under generally accepted accounting principles as of September 30, 2018. Due to the termination of the Vicksburg sale, Vicksburg is no longer presented as an asset held for sale as of September 30,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left="560"/>
        <w:spacing w:after="0"/>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 2018</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Nemacolin</w:t>
            </w:r>
          </w:p>
        </w:tc>
        <w:tc>
          <w:tcPr>
            <w:tcW w:w="180" w:type="dxa"/>
            <w:vAlign w:val="bottom"/>
          </w:tcPr>
          <w:p>
            <w:pPr>
              <w:spacing w:after="0"/>
              <w:rPr>
                <w:sz w:val="11"/>
                <w:szCs w:val="11"/>
                <w:color w:val="auto"/>
              </w:rPr>
            </w:pPr>
          </w:p>
        </w:tc>
        <w:tc>
          <w:tcPr>
            <w:tcW w:w="13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9"/>
              </w:rPr>
              <w:t>Presque Isle</w:t>
            </w:r>
          </w:p>
        </w:tc>
        <w:tc>
          <w:tcPr>
            <w:tcW w:w="30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Downs</w:t>
            </w: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3,261</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69,782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intangibles, net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153,955</w:t>
            </w:r>
          </w:p>
        </w:tc>
        <w:tc>
          <w:tcPr>
            <w:tcW w:w="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155,914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Accrued payroll and related</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property and other taxes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Accrued other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long term liabilities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Long term obligation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related to assets held for sale</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information presents the net operating revenues and net income (loss)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tcPr>
          <w:p>
            <w:pPr>
              <w:spacing w:after="0"/>
              <w:rPr>
                <w:sz w:val="14"/>
                <w:szCs w:val="14"/>
                <w:color w:val="auto"/>
              </w:rPr>
            </w:pPr>
          </w:p>
        </w:tc>
        <w:tc>
          <w:tcPr>
            <w:tcW w:w="32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 September 30, 2018</w:t>
            </w:r>
          </w:p>
        </w:tc>
      </w:tr>
      <w:tr>
        <w:trPr>
          <w:trHeight w:val="171"/>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Presque Isle Downs</w:t>
            </w:r>
          </w:p>
        </w:tc>
        <w:tc>
          <w:tcPr>
            <w:tcW w:w="260" w:type="dxa"/>
            <w:vAlign w:val="bottom"/>
          </w:tcPr>
          <w:p>
            <w:pPr>
              <w:spacing w:after="0"/>
              <w:rPr>
                <w:sz w:val="14"/>
                <w:szCs w:val="1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Nemacolin</w:t>
            </w:r>
          </w:p>
        </w:tc>
        <w:tc>
          <w:tcPr>
            <w:tcW w:w="12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Presque Isle Downs</w:t>
            </w:r>
          </w:p>
        </w:tc>
        <w:tc>
          <w:tcPr>
            <w:tcW w:w="26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Nemacolin</w:t>
            </w: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37,685</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8,866</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107,738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(3,213)</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amounts include historical operating results, adjusted to eliminate the internal allocation of interest expense that will not be assumed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buyer. .</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Common Stock and 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Awards</w:t>
      </w:r>
    </w:p>
    <w:p>
      <w:pPr>
        <w:spacing w:after="0" w:line="117"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The Company has authorized common stock of 200,000,000 shares, par value $0.00001 per share. In June 2018 the Company amended its certificate of incorporation to increase the total number of authorized shares of common stock from 100,000,000 shares to 200,000,000 shares.</w:t>
      </w:r>
    </w:p>
    <w:p>
      <w:pPr>
        <w:spacing w:after="0" w:line="3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On November 8, 2018, the Company issued a press release announcing that its Board of Directors has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80"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Total stock-based compensation expense in the accompanying consolidated statements of operations totaled $2.5 million and $1.4 million during the three months ended September 30, 2018 and 2017, respectively, and $9.6 million and $4.5 million during the nine months ended September 30, 2018 and 2017,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left="560"/>
        <w:spacing w:after="0"/>
        <w:rPr>
          <w:sz w:val="20"/>
          <w:szCs w:val="20"/>
          <w:color w:val="auto"/>
        </w:rPr>
      </w:pPr>
      <w:r>
        <w:rPr>
          <w:rFonts w:ascii="Arial" w:cs="Arial" w:eastAsia="Arial" w:hAnsi="Arial"/>
          <w:sz w:val="18"/>
          <w:szCs w:val="18"/>
          <w:color w:val="auto"/>
        </w:rPr>
        <w:t>A summary of the RSU and RSA activity for the nine months ended September 30, 2018 is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3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Restricted Stock Units</w:t>
            </w:r>
          </w:p>
        </w:tc>
        <w:tc>
          <w:tcPr>
            <w:tcW w:w="2840" w:type="dxa"/>
            <w:vAlign w:val="bottom"/>
            <w:gridSpan w:val="6"/>
          </w:tcPr>
          <w:p>
            <w:pPr>
              <w:ind w:left="600"/>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9"/>
              <w:spacing w:after="0" w:line="133" w:lineRule="exact"/>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Date</w:t>
            </w: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55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December 31, 2017</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1,579,499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317,904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32.97</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(783,672)</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(10,809)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(9,885)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19.13</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as of September 30,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1,103,846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ERI Stock Option activity for the nine months ended September 30, 2018 is presented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340"/>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340"/>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340"/>
              <w:spacing w:after="0"/>
              <w:rPr>
                <w:sz w:val="20"/>
                <w:szCs w:val="20"/>
                <w:color w:val="auto"/>
              </w:rPr>
            </w:pPr>
            <w:r>
              <w:rPr>
                <w:rFonts w:ascii="Arial" w:cs="Arial" w:eastAsia="Arial" w:hAnsi="Arial"/>
                <w:sz w:val="14"/>
                <w:szCs w:val="14"/>
                <w:b w:val="1"/>
                <w:bCs w:val="1"/>
                <w:color w:val="auto"/>
                <w:w w:val="86"/>
              </w:rPr>
              <w:t>Exercise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080" w:type="dxa"/>
            <w:vAlign w:val="bottom"/>
          </w:tcPr>
          <w:p>
            <w:pPr>
              <w:jc w:val="center"/>
              <w:ind w:left="320"/>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271,852</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Expired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5"/>
          </w:tcPr>
          <w:p>
            <w:pPr>
              <w:jc w:val="right"/>
              <w:ind w:right="220"/>
              <w:spacing w:after="0"/>
              <w:rPr>
                <w:sz w:val="20"/>
                <w:szCs w:val="20"/>
                <w:color w:val="auto"/>
              </w:rPr>
            </w:pPr>
            <w:r>
              <w:rPr>
                <w:rFonts w:ascii="Arial" w:cs="Arial" w:eastAsia="Arial" w:hAnsi="Arial"/>
                <w:sz w:val="18"/>
                <w:szCs w:val="18"/>
                <w:color w:val="auto"/>
              </w:rPr>
              <w:t>(15,776)</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80" w:type="dxa"/>
            <w:vAlign w:val="bottom"/>
            <w:gridSpan w:val="5"/>
            <w:shd w:val="clear" w:color="auto" w:fill="CFF0FC"/>
          </w:tcPr>
          <w:p>
            <w:pPr>
              <w:jc w:val="right"/>
              <w:ind w:right="220"/>
              <w:spacing w:after="0"/>
              <w:rPr>
                <w:sz w:val="20"/>
                <w:szCs w:val="20"/>
                <w:color w:val="auto"/>
              </w:rPr>
            </w:pPr>
            <w:r>
              <w:rPr>
                <w:rFonts w:ascii="Arial" w:cs="Arial" w:eastAsia="Arial" w:hAnsi="Arial"/>
                <w:sz w:val="18"/>
                <w:szCs w:val="18"/>
                <w:color w:val="auto"/>
              </w:rPr>
              <w:t>(120,120)</w:t>
            </w: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Outstanding as of September 30, 2018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135,956</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540"/>
              <w:spacing w:after="0"/>
              <w:rPr>
                <w:sz w:val="20"/>
                <w:szCs w:val="20"/>
                <w:color w:val="auto"/>
              </w:rPr>
            </w:pPr>
            <w:r>
              <w:rPr>
                <w:rFonts w:ascii="Arial" w:cs="Arial" w:eastAsia="Arial" w:hAnsi="Arial"/>
                <w:sz w:val="18"/>
                <w:szCs w:val="18"/>
                <w:color w:val="auto"/>
                <w:w w:val="95"/>
              </w:rPr>
              <w:t>As of September 30, 2018, 119,505 options were exercisable.</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Note 6. Other and Intangible Assets, net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120" w:type="dxa"/>
            <w:vAlign w:val="bottom"/>
            <w:gridSpan w:val="5"/>
          </w:tcPr>
          <w:p>
            <w:pPr>
              <w:ind w:left="540"/>
              <w:spacing w:after="0"/>
              <w:rPr>
                <w:sz w:val="20"/>
                <w:szCs w:val="20"/>
                <w:color w:val="auto"/>
              </w:rPr>
            </w:pPr>
            <w:r>
              <w:rPr>
                <w:rFonts w:ascii="Arial" w:cs="Arial" w:eastAsia="Arial" w:hAnsi="Arial"/>
                <w:sz w:val="18"/>
                <w:szCs w:val="18"/>
                <w:color w:val="auto"/>
              </w:rPr>
              <w:t>Other and intangible assets, net, include the following amounts (in thousands):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w w:val="96"/>
              </w:rPr>
              <w:t>December 31,</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788,146</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747,106</w:t>
            </w:r>
          </w:p>
        </w:tc>
        <w:tc>
          <w:tcPr>
            <w:tcW w:w="3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center"/>
              <w:ind w:right="100"/>
              <w:spacing w:after="0"/>
              <w:rPr>
                <w:sz w:val="20"/>
                <w:szCs w:val="20"/>
                <w:color w:val="auto"/>
              </w:rPr>
            </w:pPr>
            <w:r>
              <w:rPr>
                <w:rFonts w:ascii="Arial" w:cs="Arial" w:eastAsia="Arial" w:hAnsi="Arial"/>
                <w:sz w:val="18"/>
                <w:szCs w:val="18"/>
                <w:color w:val="auto"/>
                <w:w w:val="95"/>
              </w:rPr>
              <w:t>Indefinite</w:t>
            </w: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965,706</w:t>
            </w:r>
          </w:p>
        </w:tc>
        <w:tc>
          <w:tcPr>
            <w:tcW w:w="3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877,174</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center"/>
              <w:ind w:right="100"/>
              <w:spacing w:after="0"/>
              <w:rPr>
                <w:sz w:val="20"/>
                <w:szCs w:val="20"/>
                <w:color w:val="auto"/>
              </w:rPr>
            </w:pPr>
            <w:r>
              <w:rPr>
                <w:rFonts w:ascii="Arial" w:cs="Arial" w:eastAsia="Arial" w:hAnsi="Arial"/>
                <w:sz w:val="18"/>
                <w:szCs w:val="18"/>
                <w:color w:val="auto"/>
                <w:w w:val="95"/>
              </w:rPr>
              <w:t>Indefinite</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120,829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108,250</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right="100"/>
              <w:spacing w:after="0"/>
              <w:rPr>
                <w:sz w:val="20"/>
                <w:szCs w:val="20"/>
                <w:color w:val="auto"/>
              </w:rPr>
            </w:pPr>
            <w:r>
              <w:rPr>
                <w:rFonts w:ascii="Arial" w:cs="Arial" w:eastAsia="Arial" w:hAnsi="Arial"/>
                <w:sz w:val="18"/>
                <w:szCs w:val="18"/>
                <w:color w:val="auto"/>
                <w:w w:val="95"/>
              </w:rPr>
              <w:t>Indefinite</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center"/>
              <w:ind w:right="100"/>
              <w:spacing w:after="0"/>
              <w:rPr>
                <w:sz w:val="20"/>
                <w:szCs w:val="20"/>
                <w:color w:val="auto"/>
              </w:rPr>
            </w:pPr>
            <w:r>
              <w:rPr>
                <w:rFonts w:ascii="Arial" w:cs="Arial" w:eastAsia="Arial" w:hAnsi="Arial"/>
                <w:sz w:val="18"/>
                <w:szCs w:val="18"/>
                <w:color w:val="auto"/>
                <w:w w:val="89"/>
              </w:rPr>
              <w:t>1 - 3.5 years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Loyalty programs</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49,005</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21,820</w:t>
            </w:r>
          </w:p>
        </w:tc>
        <w:tc>
          <w:tcPr>
            <w:tcW w:w="3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center"/>
              <w:ind w:right="100"/>
              <w:spacing w:after="0"/>
              <w:rPr>
                <w:sz w:val="20"/>
                <w:szCs w:val="20"/>
                <w:color w:val="auto"/>
              </w:rPr>
            </w:pPr>
            <w:r>
              <w:rPr>
                <w:rFonts w:ascii="Arial" w:cs="Arial" w:eastAsia="Arial" w:hAnsi="Arial"/>
                <w:sz w:val="18"/>
                <w:szCs w:val="18"/>
                <w:color w:val="auto"/>
                <w:w w:val="86"/>
              </w:rPr>
              <w:t>1 - 4 years</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1,140,640</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1,013,944</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(5,100)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(6,290)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loyalty programs</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(13,967)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(10,838)</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gaming licenses and other intangible assets</w:t>
            </w:r>
          </w:p>
        </w:tc>
        <w:tc>
          <w:tcPr>
            <w:tcW w:w="2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1,121,573</w:t>
            </w:r>
          </w:p>
        </w:tc>
        <w:tc>
          <w:tcPr>
            <w:tcW w:w="36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996,816</w:t>
            </w:r>
          </w:p>
        </w:tc>
        <w:tc>
          <w:tcPr>
            <w:tcW w:w="360" w:type="dxa"/>
            <w:vAlign w:val="bottom"/>
            <w:tcBorders>
              <w:bottom w:val="single" w:sz="8" w:color="CFF0FC"/>
            </w:tcBorders>
          </w:tcPr>
          <w:p>
            <w:pPr>
              <w:spacing w:after="0"/>
              <w:rPr>
                <w:sz w:val="22"/>
                <w:szCs w:val="22"/>
                <w:color w:val="auto"/>
              </w:rPr>
            </w:pPr>
          </w:p>
        </w:tc>
        <w:tc>
          <w:tcPr>
            <w:tcW w:w="44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1080" w:type="dxa"/>
            <w:vAlign w:val="bottom"/>
            <w:tcBorders>
              <w:bottom w:val="single" w:sz="8" w:color="CFF0FC"/>
            </w:tcBorders>
          </w:tcPr>
          <w:p>
            <w:pPr>
              <w:spacing w:after="0"/>
              <w:rPr>
                <w:sz w:val="22"/>
                <w:szCs w:val="22"/>
                <w:color w:val="auto"/>
              </w:rPr>
            </w:pPr>
          </w:p>
        </w:tc>
        <w:tc>
          <w:tcPr>
            <w:tcW w:w="4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Non-operating real property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17,880</w:t>
            </w:r>
          </w:p>
        </w:tc>
        <w:tc>
          <w:tcPr>
            <w:tcW w:w="3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18,069</w:t>
            </w: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Unamortized debt issuance costs - Revolving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Credit Facility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8,292</w:t>
            </w:r>
          </w:p>
        </w:tc>
        <w:tc>
          <w:tcPr>
            <w:tcW w:w="3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8,616</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9,906</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12,203</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12,130</w:t>
            </w:r>
          </w:p>
        </w:tc>
        <w:tc>
          <w:tcPr>
            <w:tcW w:w="3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assets, net</w:t>
            </w:r>
          </w:p>
        </w:tc>
        <w:tc>
          <w:tcPr>
            <w:tcW w:w="2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30,401</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30,632</w:t>
            </w:r>
          </w:p>
        </w:tc>
        <w:tc>
          <w:tcPr>
            <w:tcW w:w="3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ind w:right="892"/>
              <w:spacing w:after="0"/>
              <w:rPr>
                <w:sz w:val="20"/>
                <w:szCs w:val="20"/>
                <w:color w:val="auto"/>
              </w:rPr>
            </w:pPr>
            <w:r>
              <w:rPr>
                <w:rFonts w:ascii="Arial" w:cs="Arial" w:eastAsia="Arial" w:hAnsi="Arial"/>
                <w:sz w:val="18"/>
                <w:szCs w:val="18"/>
                <w:color w:val="auto"/>
                <w:w w:val="79"/>
              </w:rPr>
              <w:t>17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9" w:name="page20"/>
    <w:bookmarkEnd w:id="19"/>
    <w:p>
      <w:pPr>
        <w:ind w:firstLine="555"/>
        <w:spacing w:after="0" w:line="259" w:lineRule="auto"/>
        <w:rPr>
          <w:sz w:val="20"/>
          <w:szCs w:val="20"/>
          <w:color w:val="auto"/>
        </w:rPr>
      </w:pPr>
      <w:r>
        <w:rPr>
          <w:rFonts w:ascii="Arial" w:cs="Arial" w:eastAsia="Arial" w:hAnsi="Arial"/>
          <w:sz w:val="18"/>
          <w:szCs w:val="18"/>
          <w:color w:val="auto"/>
        </w:rPr>
        <w:t>Goodwill represents the excess of the purchase prices of acquiring MTR Gaming, Isle and Elgin over the fair market value of the net assets acquired. In conjunction with the classification of Vicksburg’s operations as assets held for sale at March 31, 2018 (see Note 4) as a result of the announced sale to CDI, an impairment charge totaling $9.8 million was recorded due to the carrying value exceeding the estimated net sales proceeds. The impairment reduced the value of goodwill in the South segment.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changes to goodwill for the nine months ended September 30, 2018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2"/>
              </w:rPr>
              <w:t>Finalization of Isle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Balance at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Purchase Price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7"/>
              </w:rPr>
              <w:t>Assets Held</w:t>
            </w:r>
          </w:p>
        </w:tc>
        <w:tc>
          <w:tcPr>
            <w:tcW w:w="20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 at</w:t>
            </w:r>
          </w:p>
        </w:tc>
      </w:tr>
      <w:tr>
        <w:trPr>
          <w:trHeight w:val="213"/>
        </w:trPr>
        <w:tc>
          <w:tcPr>
            <w:tcW w:w="3340" w:type="dxa"/>
            <w:vAlign w:val="bottom"/>
          </w:tcPr>
          <w:p>
            <w:pPr>
              <w:spacing w:after="0"/>
              <w:rPr>
                <w:sz w:val="18"/>
                <w:szCs w:val="18"/>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0"/>
              </w:rPr>
              <w:t>January 1, 2018</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7"/>
              </w:rPr>
              <w:t>Acquisitions</w:t>
            </w:r>
          </w:p>
        </w:tc>
        <w:tc>
          <w:tcPr>
            <w:tcW w:w="22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Impairments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Accounting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for Sale</w:t>
            </w:r>
          </w:p>
        </w:tc>
        <w:tc>
          <w:tcPr>
            <w:tcW w:w="220" w:type="dxa"/>
            <w:vAlign w:val="bottom"/>
          </w:tcPr>
          <w:p>
            <w:pPr>
              <w:spacing w:after="0"/>
              <w:rPr>
                <w:sz w:val="18"/>
                <w:szCs w:val="18"/>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September 30, 2018</w:t>
            </w:r>
          </w:p>
        </w:tc>
        <w:tc>
          <w:tcPr>
            <w:tcW w:w="100" w:type="dxa"/>
            <w:vAlign w:val="bottom"/>
          </w:tcPr>
          <w:p>
            <w:pPr>
              <w:spacing w:after="0"/>
              <w:rPr>
                <w:sz w:val="18"/>
                <w:szCs w:val="18"/>
                <w:color w:val="auto"/>
              </w:rPr>
            </w:pPr>
          </w:p>
        </w:tc>
      </w:t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Goodwill by reportable</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segment: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West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152,775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152,761</w:t>
            </w:r>
          </w:p>
        </w:tc>
        <w:tc>
          <w:tcPr>
            <w:tcW w:w="100" w:type="dxa"/>
            <w:vAlign w:val="bottom"/>
          </w:tcPr>
          <w:p>
            <w:pPr>
              <w:spacing w:after="0"/>
              <w:rPr>
                <w:sz w:val="18"/>
                <w:szCs w:val="18"/>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327,088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(4,343)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322,745</w:t>
            </w:r>
          </w:p>
        </w:tc>
        <w:tc>
          <w:tcPr>
            <w:tcW w:w="100" w:type="dxa"/>
            <w:vAlign w:val="bottom"/>
            <w:shd w:val="clear" w:color="auto" w:fill="CFF0FC"/>
          </w:tcPr>
          <w:p>
            <w:pPr>
              <w:spacing w:after="0"/>
              <w:rPr>
                <w:sz w:val="19"/>
                <w:szCs w:val="19"/>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200,417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(9,815)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188,850</w:t>
            </w:r>
          </w:p>
        </w:tc>
        <w:tc>
          <w:tcPr>
            <w:tcW w:w="100" w:type="dxa"/>
            <w:vAlign w:val="bottom"/>
          </w:tcPr>
          <w:p>
            <w:pPr>
              <w:spacing w:after="0"/>
              <w:rPr>
                <w:sz w:val="18"/>
                <w:szCs w:val="18"/>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(3,122)</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63,704</w:t>
            </w:r>
          </w:p>
        </w:tc>
        <w:tc>
          <w:tcPr>
            <w:tcW w:w="100" w:type="dxa"/>
            <w:vAlign w:val="bottom"/>
            <w:shd w:val="clear" w:color="auto" w:fill="CFF0FC"/>
          </w:tcPr>
          <w:p>
            <w:pPr>
              <w:spacing w:after="0"/>
              <w:rPr>
                <w:sz w:val="19"/>
                <w:szCs w:val="19"/>
                <w:color w:val="auto"/>
              </w:rPr>
            </w:pPr>
          </w:p>
        </w:tc>
      </w:tr>
      <w:tr>
        <w:trPr>
          <w:trHeight w:val="213"/>
        </w:trPr>
        <w:tc>
          <w:tcPr>
            <w:tcW w:w="33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Central</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60,086</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60,086</w:t>
            </w:r>
          </w:p>
        </w:tc>
        <w:tc>
          <w:tcPr>
            <w:tcW w:w="100" w:type="dxa"/>
            <w:vAlign w:val="bottom"/>
            <w:tcBorders>
              <w:bottom w:val="single" w:sz="8" w:color="CFF0FC"/>
            </w:tcBorders>
          </w:tcPr>
          <w:p>
            <w:pPr>
              <w:spacing w:after="0"/>
              <w:rPr>
                <w:sz w:val="18"/>
                <w:szCs w:val="18"/>
                <w:color w:val="auto"/>
              </w:rPr>
            </w:pPr>
          </w:p>
        </w:tc>
      </w:tr>
      <w:tr>
        <w:trPr>
          <w:trHeight w:val="210"/>
        </w:trPr>
        <w:tc>
          <w:tcPr>
            <w:tcW w:w="3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Goodwill</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747,106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60,086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2"/>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(9,815)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(6,109)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(3,122)</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788,146</w:t>
            </w:r>
          </w:p>
        </w:tc>
        <w:tc>
          <w:tcPr>
            <w:tcW w:w="100" w:type="dxa"/>
            <w:vAlign w:val="bottom"/>
            <w:shd w:val="clear" w:color="auto" w:fill="CFF0FC"/>
          </w:tcPr>
          <w:p>
            <w:pPr>
              <w:spacing w:after="0"/>
              <w:rPr>
                <w:sz w:val="18"/>
                <w:szCs w:val="18"/>
                <w:color w:val="auto"/>
              </w:rPr>
            </w:pPr>
          </w:p>
        </w:tc>
      </w:tr>
      <w:tr>
        <w:trPr>
          <w:trHeight w:val="20"/>
        </w:trPr>
        <w:tc>
          <w:tcPr>
            <w:tcW w:w="3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380" w:firstLine="555"/>
        <w:spacing w:after="0" w:line="264"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an indefinite useful lives.</w:t>
      </w:r>
    </w:p>
    <w:p>
      <w:pPr>
        <w:spacing w:after="0" w:line="181" w:lineRule="exact"/>
        <w:rPr>
          <w:sz w:val="20"/>
          <w:szCs w:val="20"/>
          <w:color w:val="auto"/>
        </w:rPr>
      </w:pPr>
    </w:p>
    <w:p>
      <w:pPr>
        <w:ind w:right="120" w:firstLine="555"/>
        <w:spacing w:after="0" w:line="302" w:lineRule="auto"/>
        <w:rPr>
          <w:sz w:val="20"/>
          <w:szCs w:val="20"/>
          <w:color w:val="auto"/>
        </w:rPr>
      </w:pPr>
      <w:r>
        <w:rPr>
          <w:rFonts w:ascii="Arial" w:cs="Arial" w:eastAsia="Arial" w:hAnsi="Arial"/>
          <w:sz w:val="16"/>
          <w:szCs w:val="16"/>
          <w:color w:val="auto"/>
        </w:rPr>
        <w:t>Amortization expense related to trade names and loyalty programs for the three months ended September 30, 2018 and 2017 totaled $2.4 million and $1.7 million, respectively, and $5.1 million and $3.3 million for the nine months ended September 30, 2018 and 2017, respectively, which is included in depreciation and amortization expense in the consolidated statements of operations. Such amortization expense is expected to be $3.0 million for the remainder of 2018 and $11.9 million, $8.8 million, $7.2 million and $4.2 million for the years ended December 31, 2019, 2020, 2021 and 2022,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SEC staff issued Staff Accounting Bulletin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Through the quarter ended September 30, 2018, the Company recognized no adjustments to the provisional amounts recorded at December 31, 2017. Additionally, the Company has not completed its accounting for all of the tax effects of the Tax Act that became effective January 1, 2018, but has recognized provisional amounts in its income tax provision. The Company is awaiting further guidance from U.S. federal and state regulatory bodies with regards to the final accounting and reporting of these items in the several jurisdictions where the Company files tax returns. In all cases, the Company will continue to make and refine its calculations as additional analysis is completed. Its estimates may also be affected as the Company gains a more thorough understanding of the tax law.</w:t>
      </w:r>
    </w:p>
    <w:p>
      <w:pPr>
        <w:spacing w:after="0" w:line="193"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firstLine="555"/>
        <w:spacing w:after="0" w:line="271" w:lineRule="auto"/>
        <w:rPr>
          <w:sz w:val="20"/>
          <w:szCs w:val="20"/>
          <w:color w:val="auto"/>
        </w:rPr>
      </w:pPr>
      <w:r>
        <w:rPr>
          <w:rFonts w:ascii="Arial" w:cs="Arial" w:eastAsia="Arial" w:hAnsi="Arial"/>
          <w:sz w:val="17"/>
          <w:szCs w:val="17"/>
          <w:color w:val="auto"/>
        </w:rPr>
        <w:t>For the three and nine months ended September 30, 2018, the Company’s tax expense was $20.0 million and $31.3 million, respectively. For the three months ended September 30, 2017, the Company’s tax expense was $12.6 million and for the nine months ended September 30, 2017, the Company’s tax benefit was $26.1 million. For the three and nine months ended September 30, 2018, the difference between the effective rate and the statutory rate is attributed primarily to non-deductible expenses and state and local income taxes. For the three and nine months ended September 30, 2017, the difference between the effective rate and the statutory rate is attributed primarily to non-deductible transaction costs incurred and changes in the effective state tax rate associated with the Isle acquisition, state and local income taxes and the release of the valuation allowance against certain Pennsylvania deferred tax assets. As of September 30, 2018 and 2017, there were no unrecognized tax benefits and the Company does not expect a significant increase or decrease to the total amounts of unrecognized tax benefits within the next twelve months.</w:t>
      </w:r>
    </w:p>
    <w:p>
      <w:pPr>
        <w:spacing w:after="0" w:line="179"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2012.</w:t>
      </w:r>
    </w:p>
    <w:p>
      <w:pPr>
        <w:spacing w:after="0" w:line="18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 Company was notified by the Internal Revenue Service in October of 2016 that its federal tax return for the year ended December 31, 2014 had been selected for examination. In September 2017, the IRS informed the Company that they completed the examination of the tax return and made no changes.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and Other Long-Term Liabilities</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(18,840)</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937,910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938,002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6% Senior Notes due 2026</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Net</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598,105</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6% Senior Notes due 2025</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Plus: Unamortized debt premium</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(18,996)</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Net</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880,289</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880,889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7% Senior Notes due 2023</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(6,370)</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368,630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Capital leases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Long-term notes payable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2,967,434</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Amortization of the debt issuance costs and the discount and premium associated with our indebtedness totaled $1.2 million and $3.8 million for the three and nine months ended September 30, 2018, respectively. Amortization of the debt issuance costs and the discount and premium associated with our indebtedness totaled $2.0 million and $5.0 million for the three and nine months ended September 30, 2017, respectively. Amortization of debt issuance costs is computed using the effective interest method and is included in interest expense.</w:t>
      </w:r>
    </w:p>
    <w:p>
      <w:pPr>
        <w:spacing w:after="0" w:line="214"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$375.0 million in 2023, $956.8 million in 2024, $875.0 million in 2025 and $600.0 million in 2026.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right="140" w:firstLine="555"/>
        <w:spacing w:after="0" w:line="274" w:lineRule="auto"/>
        <w:rPr>
          <w:sz w:val="20"/>
          <w:szCs w:val="20"/>
          <w:color w:val="auto"/>
        </w:rPr>
      </w:pPr>
      <w:r>
        <w:rPr>
          <w:rFonts w:ascii="Arial" w:cs="Arial" w:eastAsia="Arial" w:hAnsi="Arial"/>
          <w:sz w:val="17"/>
          <w:szCs w:val="17"/>
          <w:color w:val="auto"/>
        </w:rPr>
        <w:t>In April 2017, the Company entered into a credit agreement with JPMorgan Chase Bank, N.A., as administrative agent, and the lenders party thereto dated as of April 17, 2017 (the “Credit Facility”), consisting of a $1.45 billion term loan facility (the “Term Loan Facility” or “Term Loan”) and a</w:t>
      </w:r>
    </w:p>
    <w:p>
      <w:pPr>
        <w:spacing w:after="0" w:line="252" w:lineRule="auto"/>
        <w:rPr>
          <w:sz w:val="20"/>
          <w:szCs w:val="20"/>
          <w:color w:val="auto"/>
        </w:rPr>
      </w:pPr>
      <w:r>
        <w:rPr>
          <w:rFonts w:ascii="Arial" w:cs="Arial" w:eastAsia="Arial" w:hAnsi="Arial"/>
          <w:sz w:val="18"/>
          <w:szCs w:val="18"/>
          <w:color w:val="auto"/>
        </w:rPr>
        <w:t>$300.0 million revolving credit facility (the “Revolving Credit Facility”). The Company’s obligations under the Revolving Credit Facility will mature on April 17, 2022. The Company’s obligations under the Term Loan Facility will mature on April 17, 2024. The Company was required to make quarterly principal payments of $3.6 million on the Term Loan Facility on the last day of each fiscal quarter beginning on June 30, 2017 but satisfied this requirement as a result of the principal prepayment of $444.5 million on September 13, 2017 in conjunction with the issuance of the additional 6% Senior Notes. In addition, the Company is required to make mandatory payments of amounts outstanding under the Credit Facility with the proceeds of certain casualty events, debt issuances, and asset sales and, depending on its consolidated total leverage ratio, the Company may be required to apply a portion of its excess cash flow to repay amounts outstanding under the Credit Facility.</w:t>
      </w:r>
    </w:p>
    <w:p>
      <w:pPr>
        <w:spacing w:after="0" w:line="193"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As of September 30, 2018, the Company had $956.8 million outstanding on the Term Loan and $180.0 million outstanding under the Revolving Credit Facility. The Company had $110.9 million of available borrowing capacity, after consideration of $9.1 million in outstanding letters of credit under its Revolving Credit Facility as of September 30, 2018.</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interest rate per annum applicable to loans under the Revolving Credit Facility are, at our option, either LIBOR plus a margin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1.75% to 2.50% or a base rate plus a margin from 0.75% to 1.50%, the margin is based on our total leverage ratio. The interest rate per annum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loans under the Term Loan Facility is, at our option, either LIBOR plus 2.25%, or a base rate plus 1.25%; provided, however, that in no event will LIBOR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less than zero or the base rate be less than 1.00%. Additionally, the Company pays a commitment fee on the unused portion of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of 0.50% per annum. At September 30, 2018, the weighted average interest rates on the Term Loan and Revolving Credit Facility were 4.17%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4.54%.</w:t>
      </w:r>
    </w:p>
    <w:p>
      <w:pPr>
        <w:spacing w:after="0" w:line="21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On June 6, 2018, the Company executed an amendment that modified certain covenants in the Credit Facility to allow for considerations related to the acquisition of Tropicana. The borrowing capacity of the Revolving Credit Facility increased from $300 million to $500 million effective substantially concurrently with the consummation of the Tropicana Acquisition on October 1, 2018 and the maturity date of the Revolving Credit Facility extended to October 1, 2023.</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2018 we were in compliance with all covenants under the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7" w:lineRule="exact"/>
        <w:rPr>
          <w:sz w:val="20"/>
          <w:szCs w:val="20"/>
          <w:color w:val="auto"/>
        </w:rPr>
      </w:pPr>
    </w:p>
    <w:p>
      <w:pPr>
        <w:jc w:val="both"/>
        <w:ind w:right="180" w:firstLine="555"/>
        <w:spacing w:after="0" w:line="279" w:lineRule="auto"/>
        <w:rPr>
          <w:sz w:val="20"/>
          <w:szCs w:val="20"/>
          <w:color w:val="auto"/>
        </w:rPr>
      </w:pPr>
      <w:r>
        <w:rPr>
          <w:rFonts w:ascii="Arial" w:cs="Arial" w:eastAsia="Arial" w:hAnsi="Arial"/>
          <w:sz w:val="17"/>
          <w:szCs w:val="17"/>
          <w:color w:val="auto"/>
        </w:rPr>
        <w:t>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semi-annually in arrears on March 15 and September 15, commencing March 15, 2019.</w:t>
      </w:r>
    </w:p>
    <w:p>
      <w:pPr>
        <w:spacing w:after="0" w:line="171"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existing senior secured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2" w:name="page23"/>
    <w:bookmarkEnd w:id="22"/>
    <w:p>
      <w:pPr>
        <w:ind w:right="200" w:firstLine="555"/>
        <w:spacing w:after="0" w:line="259" w:lineRule="auto"/>
        <w:rPr>
          <w:sz w:val="20"/>
          <w:szCs w:val="20"/>
          <w:color w:val="auto"/>
        </w:rPr>
      </w:pPr>
      <w:r>
        <w:rPr>
          <w:rFonts w:ascii="Arial" w:cs="Arial" w:eastAsia="Arial" w:hAnsi="Arial"/>
          <w:sz w:val="18"/>
          <w:szCs w:val="18"/>
          <w:color w:val="auto"/>
        </w:rPr>
        <w:t>On or after September 15, 2021, the Company may redeem all or a portion of the 6% Senior Notes due 2026 upon not less than 30 nor more than 60 days’ notice, at the redemption prices (expressed as percentages of the principal amount) set forth below plus accrued and unpaid interest and additional interest, if any, on the 6% Senior Notes due 2026 redeemed, to the applicable redemption date, if redeemed during the 12-month period beginning on September 15 of the years indicated below:</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6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3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Upon the occurrence of a Change of Control (if the 6% Senior Notes due 2026 do not have investment grade status) or a Change of Control Triggering Event (each as defined in the 2026 Indenture), the Company must offer to repurchase the 6% Senior Notes due 2026 at 101% of their principal amount, plus accrued and unpaid interest to the applicable repurchase date.</w:t>
      </w:r>
    </w:p>
    <w:p>
      <w:pPr>
        <w:spacing w:after="0" w:line="18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If the Company sells assets under certain circumstances and does not use the proceeds for specified purposes, the Company must apply the net proceeds of such sale to make an offer to repurchase the 6% Senior Notes due 2026 at 100% of their principal amount, plus accrued and unpaid interest to the applicable repurchase date.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2026 are subject to redemption imposed by gaming laws and regulations of applicable gaming regulatory authorities.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2026 Indenture contains certain covenants limiting, among other things, the Company’s ability to:</w:t>
      </w:r>
    </w:p>
    <w:p>
      <w:pPr>
        <w:spacing w:after="0" w:line="117" w:lineRule="exact"/>
        <w:rPr>
          <w:sz w:val="20"/>
          <w:szCs w:val="20"/>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incur or suffer to exist certain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make distributions on capital stock or repurchase capital stock;</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distributions to the Issuer;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certain assets or merge with or consolidate into other companies;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certain types of transactions with the stockholders and affiliates.</w:t>
      </w:r>
    </w:p>
    <w:p>
      <w:pPr>
        <w:spacing w:after="0" w:line="225"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These covenants are subject to a number of exceptions and qualifications as set forth in the 2026 Indenture. The 2026 Indenture also provides for events of default which, if any of them occurs, would permit or require the principal of and accrued interest on such 6% Senior Notes due 2026 to be declared due and payable.</w:t>
      </w:r>
    </w:p>
    <w:p>
      <w:pPr>
        <w:spacing w:after="0" w:line="181"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The Company applied the net proceeds of the sale of the 6% Senior Notes due 2026, together with borrowings under its existing revolving credit, cash on hand and Tropicana’s cash on hand, to pay the consideration payable by the Company pursuant to the merger agreement, repay all of the debt outstanding under Tropicana’s existing credit facility and pay fees and costs associated with the Tropicana Acquisition that closed on October 1,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2025</w:t>
      </w:r>
    </w:p>
    <w:p>
      <w:pPr>
        <w:spacing w:after="0" w:line="11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On March 29, 2017, Eagle II, a wholly owned subsidiary of the Company,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40" w:firstLine="555"/>
        <w:spacing w:after="0" w:line="302" w:lineRule="auto"/>
        <w:rPr>
          <w:sz w:val="20"/>
          <w:szCs w:val="20"/>
          <w:color w:val="auto"/>
        </w:rPr>
      </w:pPr>
      <w:r>
        <w:rPr>
          <w:rFonts w:ascii="Arial" w:cs="Arial" w:eastAsia="Arial" w:hAnsi="Arial"/>
          <w:sz w:val="16"/>
          <w:szCs w:val="16"/>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7" w:lineRule="exact"/>
        <w:rPr>
          <w:sz w:val="20"/>
          <w:szCs w:val="20"/>
          <w:color w:val="auto"/>
        </w:rPr>
      </w:pPr>
    </w:p>
    <w:p>
      <w:pPr>
        <w:jc w:val="both"/>
        <w:ind w:right="280" w:firstLine="555"/>
        <w:spacing w:after="0" w:line="312"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174"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As of September 30, 2018 we were in compliance with all covenants under the 6% Senior Notes due 2025, 6% Senior Notes due 2026 and 7% Senior Notes due 2023.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In conjunction with the Isle Acquisition, the Company acquired the existing lease and management agreements at its Nemacolin location. Under the terms of the agreements, Nemacolin Woodland Resort (“Resort”) provided land, land improvements and a building for the casino property. The Company was deemed, for accounting purposes only, to be the owner of these assets provided by the Resort during the construction and casino operating periods due to the Company’s continuing involvement. Therefore, the transaction was accounted for using the direct financing method. As of September 30, 2018 and December 31, 2017, the Company recorded property and equipment, net of accumulated depreciation, of $1.2 million and $4.2 million, respectively, and a liability of $2.4 million and $4.5 million, respectively. The decreases in the assets and liability were primarily due to the impairment charges (see Note 4) and the Company finalizing its purchase price accounting related to the Isle Acquisition. These assets and liabilities are reported as held for sale at September 30, 2018.</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conjunction with the Isle Acquisition, the Company acquired the existing lease and management agreements at its Bettendorf location. Under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terms of the agreements with the City of Bettendorf, Iowa, the Company leases, manages, and provides financial and operating support for the convention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center (Quad-Cities Waterfront Convention Center). The Company was deemed, for accounting purposes only, to be the owner of the convention center due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continuing involvement. Therefore, the transaction was accounted for using the direct financing method. As of September 30, 2018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the Company recorded property and equipment, net of accumulated depreciation, of $11.9 million and a liability of $5.7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 million, respectively, in other long-term liabilities related to the agreement. The changes in property and equipment and in the liability were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the Company finalizing its purchase price accounting related to the Isle Acquisition.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121" w:lineRule="exact"/>
        <w:rPr>
          <w:sz w:val="20"/>
          <w:szCs w:val="20"/>
          <w:color w:val="auto"/>
        </w:rPr>
      </w:pPr>
    </w:p>
    <w:p>
      <w:pPr>
        <w:ind w:right="140" w:firstLine="555"/>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120" w:hanging="558"/>
        <w:spacing w:after="0" w:line="207" w:lineRule="exact"/>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400" w:firstLine="555"/>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measured at fair value on a recurring basis, by input</w:t>
      </w:r>
      <w:r>
        <w:rPr>
          <w:rFonts w:ascii="Arial" w:cs="Arial" w:eastAsia="Arial" w:hAnsi="Arial"/>
          <w:sz w:val="18"/>
          <w:szCs w:val="18"/>
          <w:i w:val="1"/>
          <w:iCs w:val="1"/>
          <w:color w:val="auto"/>
        </w:rPr>
        <w:t xml:space="preserve"> </w:t>
      </w:r>
      <w:r>
        <w:rPr>
          <w:rFonts w:ascii="Arial" w:cs="Arial" w:eastAsia="Arial" w:hAnsi="Arial"/>
          <w:sz w:val="18"/>
          <w:szCs w:val="18"/>
          <w:color w:val="auto"/>
        </w:rPr>
        <w:t>level, in the consolidated balance sheets at September 30, 2018 and December 31, 2017 (amounts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1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Escrow cash</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89"/>
        </w:trPr>
        <w:tc>
          <w:tcPr>
            <w:tcW w:w="42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1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9,725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40" w:firstLine="555"/>
        <w:spacing w:after="0" w:line="219" w:lineRule="exact"/>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include investments in money market funds. Investments in this category can be redeemed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at the current net asset value per share. A money market fund is a mutual fund whose investments are primarily in short</w:t>
      </w:r>
      <w:r>
        <w:rPr>
          <w:rFonts w:ascii="MS PGothic" w:cs="MS PGothic" w:eastAsia="MS PGothic" w:hAnsi="MS PGothic"/>
          <w:sz w:val="18"/>
          <w:szCs w:val="18"/>
          <w:color w:val="auto"/>
        </w:rPr>
        <w:t>‑</w:t>
      </w:r>
      <w:r>
        <w:rPr>
          <w:rFonts w:ascii="Arial" w:cs="Arial" w:eastAsia="Arial" w:hAnsi="Arial"/>
          <w:sz w:val="18"/>
          <w:szCs w:val="18"/>
          <w:color w:val="auto"/>
        </w:rPr>
        <w:t>term debt securities designed to maximize current income with liquidity and capital preservation, usually maintaining per share net asset value at a constant amount, such as one dollar. Cash and cash equivalents also includes cash maintained for gaming operations. The carrying amounts approximate the fair value because of the short maturity of those instruments (Level 1).</w:t>
      </w:r>
    </w:p>
    <w:p>
      <w:pPr>
        <w:spacing w:after="0" w:line="206"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Restricted cash includes cash reserved for unredeemed winning tickets from the Company’s racing operations, funds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horsemen’s fines and certain simulcasting funds that are restricted to payments for improving horsemen’s facilities and racing purses, cash deposits that serve as collateral for letters of credit, surety bonds and short-term certificates of deposit that serve as collateral for certain bonding requirements. The estimated fair values of our restricted cash and investments are based upon quoted prices available in active markets (Level 1), or quoted prices for similar assets in active and inactive markets (Level 2), and represent the amounts we would expect to receive if we sold our restricted cash and investments. Restricted investments, included in Other Assets, net, relate to trading securities pledged as collateral by our captive insurance company.</w:t>
      </w:r>
    </w:p>
    <w:p>
      <w:pPr>
        <w:spacing w:after="0" w:line="178"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i w:val="1"/>
          <w:iCs w:val="1"/>
          <w:color w:val="auto"/>
        </w:rPr>
        <w:t>Escrow Cash</w:t>
      </w:r>
      <w:r>
        <w:rPr>
          <w:rFonts w:ascii="Arial" w:cs="Arial" w:eastAsia="Arial" w:hAnsi="Arial"/>
          <w:sz w:val="18"/>
          <w:szCs w:val="18"/>
          <w:color w:val="auto"/>
        </w:rPr>
        <w:t>: Escrow cash represents the 6% Senior Notes due 2026 issued totaling $600 million plus approximately a month and a half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totaling $4.1 million placed into escrow pending satisfaction of certain conditions, including consummation of the Tropicana Acquisition. Escrow cash is classified as Level 1 as its carrying value approximates market prices.</w:t>
      </w:r>
    </w:p>
    <w:p>
      <w:pPr>
        <w:spacing w:after="0" w:line="18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the Company’s captive insurance subsidiary.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87" w:lineRule="exact"/>
        <w:rPr>
          <w:sz w:val="20"/>
          <w:szCs w:val="20"/>
          <w:color w:val="auto"/>
        </w:rPr>
      </w:pPr>
    </w:p>
    <w:p>
      <w:pPr>
        <w:jc w:val="both"/>
        <w:ind w:right="100" w:firstLine="555"/>
        <w:spacing w:after="0" w:line="221"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term Debt: </w:t>
      </w:r>
      <w:r>
        <w:rPr>
          <w:rFonts w:ascii="Arial" w:cs="Arial" w:eastAsia="Arial" w:hAnsi="Arial"/>
          <w:sz w:val="16"/>
          <w:szCs w:val="16"/>
          <w:color w:val="auto"/>
        </w:rPr>
        <w:t>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and Level 2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2017</w:t>
            </w:r>
          </w:p>
        </w:tc>
      </w:tr>
      <w:tr>
        <w:trPr>
          <w:trHeight w:val="146"/>
        </w:trPr>
        <w:tc>
          <w:tcPr>
            <w:tcW w:w="3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5"/>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4"/>
              <w:spacing w:after="0" w:line="14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5"/>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7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3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5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7% Senior Notes due 2023</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368,630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393,750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367,854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400,800</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Notes due 2025</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880,289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889,263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880,889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914,375</w:t>
            </w: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6% Senior Notes due 2026</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598,105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Term Loan</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937,910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961,534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938,002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Revolving Credit Facility</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debt</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Capital leases</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0"/>
                <w:szCs w:val="20"/>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and nine months ended September 30, 2018 and 2017 (dollars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available to common stockholders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29,687</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Shares outstanding:</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77,522,664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76,902,070</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77,445,611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63,821,705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128,696</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125,861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667,394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928,923</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636,568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Weighted average shares outstanding – diluted </w:t>
            </w:r>
            <w:r>
              <w:rPr>
                <w:rFonts w:ascii="Arial" w:cs="Arial" w:eastAsia="Arial" w:hAnsi="Arial"/>
                <w:sz w:val="15"/>
                <w:szCs w:val="15"/>
                <w:color w:val="auto"/>
              </w:rPr>
              <w:t>(1)</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78,283,588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77,959,689</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78,208,040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63,821,705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 attributable to common</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stockholders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0.49</w:t>
            </w:r>
          </w:p>
        </w:tc>
        <w:tc>
          <w:tcPr>
            <w:tcW w:w="3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540" w:type="dxa"/>
            <w:vAlign w:val="bottom"/>
          </w:tcPr>
          <w:p>
            <w:pPr>
              <w:spacing w:after="0"/>
              <w:rPr>
                <w:sz w:val="23"/>
                <w:szCs w:val="23"/>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(loss) per common share attributable to common</w:t>
            </w: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right="700" w:hanging="547"/>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Excluded from “Weighted average shares outstanding – diluted” are 85,977 stock options and 860,492 RSUs for the nine months ended September 30, 2017 as the inclusion of these shares would have an anti-dilutive effect.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The Company is a party to various lawsuits, which have arisen in the normal course of business. Estimated losses are accrued for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firstLine="555"/>
        <w:spacing w:after="0" w:line="217" w:lineRule="exact"/>
        <w:rPr>
          <w:sz w:val="20"/>
          <w:szCs w:val="20"/>
          <w:color w:val="auto"/>
        </w:rPr>
      </w:pPr>
      <w:r>
        <w:rPr>
          <w:rFonts w:ascii="Arial" w:cs="Arial" w:eastAsia="Arial" w:hAnsi="Arial"/>
          <w:sz w:val="16"/>
          <w:szCs w:val="16"/>
          <w:i w:val="1"/>
          <w:iCs w:val="1"/>
          <w:color w:val="auto"/>
        </w:rPr>
        <w:t>Agreements with Horsemen and Pari-mutuel Clerks</w:t>
      </w:r>
      <w:r>
        <w:rPr>
          <w:rFonts w:ascii="Arial" w:cs="Arial" w:eastAsia="Arial" w:hAnsi="Arial"/>
          <w:sz w:val="16"/>
          <w:szCs w:val="16"/>
          <w:color w:val="auto"/>
        </w:rPr>
        <w:t>. The Federal Interstate Horse Racing Act and the state racing laws in West Virginia, Ohio and</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6"/>
          <w:szCs w:val="16"/>
          <w:color w:val="auto"/>
        </w:rPr>
        <w:t>‑</w:t>
      </w:r>
      <w:r>
        <w:rPr>
          <w:rFonts w:ascii="Arial" w:cs="Arial" w:eastAsia="Arial" w:hAnsi="Arial"/>
          <w:sz w:val="16"/>
          <w:szCs w:val="16"/>
          <w:color w:val="auto"/>
        </w:rPr>
        <w:t>mutuel clerks. In Pennsylvania and Ohio, we must have an agreement with the representative of the horse owners. We have the requisite agreements in place with the horsemen at Mountaineer until December 31, 2018. With respect to the Mountaineer pari</w:t>
      </w:r>
      <w:r>
        <w:rPr>
          <w:rFonts w:ascii="MS PGothic" w:cs="MS PGothic" w:eastAsia="MS PGothic" w:hAnsi="MS PGothic"/>
          <w:sz w:val="16"/>
          <w:szCs w:val="16"/>
          <w:color w:val="auto"/>
        </w:rPr>
        <w:t>‑</w:t>
      </w:r>
      <w:r>
        <w:rPr>
          <w:rFonts w:ascii="Arial" w:cs="Arial" w:eastAsia="Arial" w:hAnsi="Arial"/>
          <w:sz w:val="16"/>
          <w:szCs w:val="16"/>
          <w:color w:val="auto"/>
        </w:rPr>
        <w:t>mutuel clerks, we have a labor agreement in force until November 30, 2018, which will automatically renew for an additional one-year period, and a proceeds agreement until April 14, 2019.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Scioto Downs has the requisite agreement in place with the OHHA until December 31, 2023, with automatic two-year renewals unless either party requests re</w:t>
      </w:r>
      <w:r>
        <w:rPr>
          <w:rFonts w:ascii="MS PGothic" w:cs="MS PGothic" w:eastAsia="MS PGothic" w:hAnsi="MS PGothic"/>
          <w:sz w:val="16"/>
          <w:szCs w:val="16"/>
          <w:color w:val="auto"/>
        </w:rPr>
        <w:t>‑</w:t>
      </w:r>
      <w:r>
        <w:rPr>
          <w:rFonts w:ascii="Arial" w:cs="Arial" w:eastAsia="Arial" w:hAnsi="Arial"/>
          <w:sz w:val="16"/>
          <w:szCs w:val="16"/>
          <w:color w:val="auto"/>
        </w:rPr>
        <w:t>negotiation pursuant to its terms. Presque Isle Downs has the requisite agreement in place with the Pennsylvania Horsemen’s Benevolent and Protective Association until May 1, 2021. With the exception of the respective Mountaineer, Presque Isle Downs and Scioto Downs 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union described above, each of the agreements referred to in this paragraph may be terminated upon written notice by either party.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Affiliates and Joint Ventures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 &amp;Y. Associates</w:t>
      </w:r>
    </w:p>
    <w:p>
      <w:pPr>
        <w:spacing w:after="0" w:line="90" w:lineRule="exact"/>
        <w:rPr>
          <w:sz w:val="20"/>
          <w:szCs w:val="20"/>
          <w:color w:val="auto"/>
        </w:rPr>
      </w:pPr>
    </w:p>
    <w:p>
      <w:pPr>
        <w:ind w:right="40" w:firstLine="555"/>
        <w:spacing w:after="0" w:line="226" w:lineRule="auto"/>
        <w:rPr>
          <w:sz w:val="20"/>
          <w:szCs w:val="20"/>
          <w:color w:val="auto"/>
        </w:rPr>
      </w:pPr>
      <w:r>
        <w:rPr>
          <w:rFonts w:ascii="Arial" w:cs="Arial" w:eastAsia="Arial" w:hAnsi="Arial"/>
          <w:sz w:val="18"/>
          <w:szCs w:val="18"/>
          <w:color w:val="auto"/>
        </w:rPr>
        <w:t>The Company has a lease agreement with C.S. &amp;Y. Associates (“CS&amp;Y”) which is an entity partially owned by Recreational Enterprises, Inc. (“REI”), which is owned by members of the Carano family, including Gary L. Carano, and various trusts of which members of the Carano family are beneficiaries. In addition, each of Gary L. Carano and Thomas R. Reeg serve as members of the board of directors of REI. The Company owns the entire parcel on which Eldorado Reno is located, except for approximately 30,000 square feet which is leased from CS&amp;Y. For the three and nine months ended September 30, 2018, the Company made lease payments to CS&amp;Y totaling $150,000 and $450,000, respectively. For the three and nine months ended September 30, 2017, the Company made lease payments to CS&amp;Y totaling $150,000 and $392,000, respectively. No amounts were due to or due from CS&amp;Y as of September 30, 2018 and December 31,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Hampton Inn &amp; Suites</w:t>
      </w:r>
    </w:p>
    <w:p>
      <w:pPr>
        <w:spacing w:after="0" w:line="104" w:lineRule="exact"/>
        <w:rPr>
          <w:sz w:val="20"/>
          <w:szCs w:val="20"/>
          <w:color w:val="auto"/>
        </w:rPr>
      </w:pPr>
    </w:p>
    <w:p>
      <w:pPr>
        <w:ind w:right="120" w:firstLine="555"/>
        <w:spacing w:after="0" w:line="227" w:lineRule="auto"/>
        <w:rPr>
          <w:sz w:val="20"/>
          <w:szCs w:val="20"/>
          <w:color w:val="auto"/>
        </w:rPr>
      </w:pPr>
      <w:r>
        <w:rPr>
          <w:rFonts w:ascii="Arial" w:cs="Arial" w:eastAsia="Arial" w:hAnsi="Arial"/>
          <w:sz w:val="18"/>
          <w:szCs w:val="18"/>
          <w:color w:val="auto"/>
        </w:rPr>
        <w:t xml:space="preserve">The Company holds a 42.1% variable interest in a partnership with other investors that developed a 118-room Hampton Inn &amp; Suites hotel at Scioto Downs that opened in March 2017. Pursuant to the terms of the partnership agreement, the Company contributed $1.0 million of cash and 2.4 acres of a leasehold immediately adjacent to </w:t>
      </w:r>
      <w:r>
        <w:rPr>
          <w:rFonts w:ascii="Arial" w:cs="Arial" w:eastAsia="Arial" w:hAnsi="Arial"/>
          <w:sz w:val="18"/>
          <w:szCs w:val="18"/>
          <w:i w:val="1"/>
          <w:iCs w:val="1"/>
          <w:color w:val="auto"/>
        </w:rPr>
        <w:t>The Brew Brothers</w:t>
      </w:r>
      <w:r>
        <w:rPr>
          <w:rFonts w:ascii="Arial" w:cs="Arial" w:eastAsia="Arial" w:hAnsi="Arial"/>
          <w:sz w:val="18"/>
          <w:szCs w:val="18"/>
          <w:color w:val="auto"/>
        </w:rPr>
        <w:t xml:space="preserve"> microbrewery and restaurant at Scioto Downs. The partnership constructed the hotel at a cost of $16.0 million and other investors operate the hotel. As of September 30, 2018, the Company’s receivable from the partnership totaled $187,000 and the Company’s payable to the partnership totaled $19,000. These amounts are reflected on the accompanying balance sheet under “due from affiliates” and “due to affiliates.”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04" w:lineRule="exact"/>
        <w:rPr>
          <w:sz w:val="20"/>
          <w:szCs w:val="20"/>
          <w:color w:val="auto"/>
        </w:rPr>
      </w:pPr>
    </w:p>
    <w:p>
      <w:pPr>
        <w:jc w:val="both"/>
        <w:ind w:right="180" w:firstLine="555"/>
        <w:spacing w:after="0" w:line="235" w:lineRule="auto"/>
        <w:rPr>
          <w:sz w:val="20"/>
          <w:szCs w:val="20"/>
          <w:color w:val="auto"/>
        </w:rPr>
      </w:pPr>
      <w:r>
        <w:rPr>
          <w:rFonts w:ascii="Arial" w:cs="Arial" w:eastAsia="Arial" w:hAnsi="Arial"/>
          <w:sz w:val="18"/>
          <w:szCs w:val="18"/>
          <w:color w:val="auto"/>
        </w:rPr>
        <w:t>The Company formed a joint venture in April 2018 with Cordish Companies (“Cordish”) to master plan and develop a mixed use entertainment and hospitality destination expected to be located on unused land adjacent to the casino and racetrack at our Pompano property. No amounts were due to or due from Cordish as of September 30, 2018.</w:t>
      </w:r>
    </w:p>
    <w:p>
      <w:pPr>
        <w:spacing w:after="0" w:line="175" w:lineRule="exact"/>
        <w:rPr>
          <w:sz w:val="20"/>
          <w:szCs w:val="20"/>
          <w:color w:val="auto"/>
        </w:rPr>
      </w:pPr>
    </w:p>
    <w:p>
      <w:pPr>
        <w:ind w:right="60" w:firstLine="555"/>
        <w:spacing w:after="0" w:line="227" w:lineRule="auto"/>
        <w:rPr>
          <w:sz w:val="20"/>
          <w:szCs w:val="20"/>
          <w:color w:val="auto"/>
        </w:rPr>
      </w:pPr>
      <w:r>
        <w:rPr>
          <w:rFonts w:ascii="Arial" w:cs="Arial" w:eastAsia="Arial" w:hAnsi="Arial"/>
          <w:sz w:val="18"/>
          <w:szCs w:val="18"/>
          <w:color w:val="auto"/>
        </w:rPr>
        <w:t>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input from the Company and submit it for review and approval from the Company. The Company and Cordish have made initial cash contributions of $250,000 each, and could be required to make additional contributions to a maximum of $2.0 million ($1.0 million per member) at the request of the managing member. The Company has agreed to donate land to the joint venture for the project. The Company will participate evenly with Cordish in the profits and losses of the joint venture.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William Hill</w:t>
      </w:r>
    </w:p>
    <w:p>
      <w:pPr>
        <w:spacing w:after="0" w:line="117"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On September 5, 2018 the Company announced that it had entered into a definitive agreement pursuant to which, subject to receipt of all necessary regulatory approvals, William Hill US will become the Company’s exclusive sports betting operator for a period of 25 years at its properties in jurisdictions where sports betting is legal. The Company will also work with William Hill US to leverage its licenses to operate mobile and online sports wagering operations in the United States. At the closing of the transactions contemplated by the agreement, the Company will receive a 20% equity stake in William Hill US as well as ordinary shares of William Hill PLC with a value of $50.0 million (based on the 60 day volume-weighted average trading price of William Hill PLC shares ending on September 4, 2018). Pursuant to the terms of the agreement, the Company will have the opportunity to sell its equity in William Hill US following a public offering of William Hill US or through a conversion of the 20% equity stake to William Hill PLC shares or cash at William Hill’s discretion after five years. The transaction is expected to close in the first quarter of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21"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As of June 30, 2018, the Company’s principal operating activities occurred in four geographic regions and reportable segments. As referenced in Note 1, a fifth segment, Central, has been added in the third quarter of 2018. The reportable segments are based on the similar characteristics of the operating segments within the regions in which they operate. These segments as of September 30, 2018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ind w:left="1280"/>
              <w:spacing w:after="0"/>
              <w:rPr>
                <w:sz w:val="20"/>
                <w:szCs w:val="20"/>
                <w:color w:val="auto"/>
              </w:rPr>
            </w:pPr>
            <w:r>
              <w:rPr>
                <w:rFonts w:ascii="Arial" w:cs="Arial" w:eastAsia="Arial" w:hAnsi="Arial"/>
                <w:sz w:val="14"/>
                <w:szCs w:val="14"/>
                <w:b w:val="1"/>
                <w:bCs w:val="1"/>
                <w:color w:val="auto"/>
              </w:rPr>
              <w:t>Segment</w:t>
            </w:r>
          </w:p>
        </w:tc>
        <w:tc>
          <w:tcPr>
            <w:tcW w:w="5660" w:type="dxa"/>
            <w:vAlign w:val="bottom"/>
            <w:gridSpan w:val="2"/>
          </w:tcPr>
          <w:p>
            <w:pPr>
              <w:ind w:left="240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c>
          <w:tcPr>
            <w:tcW w:w="20" w:type="dxa"/>
            <w:vAlign w:val="bottom"/>
          </w:tcPr>
          <w:p>
            <w:pPr>
              <w:spacing w:after="0"/>
              <w:rPr>
                <w:sz w:val="14"/>
                <w:szCs w:val="14"/>
                <w:color w:val="auto"/>
              </w:rPr>
            </w:pPr>
          </w:p>
        </w:tc>
      </w:tr>
      <w:tr>
        <w:trPr>
          <w:trHeight w:val="223"/>
        </w:trPr>
        <w:tc>
          <w:tcPr>
            <w:tcW w:w="3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320" w:type="dxa"/>
            <w:vAlign w:val="bottom"/>
            <w:tcBorders>
              <w:top w:val="single" w:sz="8" w:color="CFF0FC"/>
            </w:tcBorders>
            <w:shd w:val="clear" w:color="auto" w:fill="CFF0FC"/>
          </w:tcPr>
          <w:p>
            <w:pPr>
              <w:spacing w:after="0"/>
              <w:rPr>
                <w:sz w:val="19"/>
                <w:szCs w:val="19"/>
                <w:color w:val="auto"/>
              </w:rPr>
            </w:pPr>
          </w:p>
        </w:tc>
        <w:tc>
          <w:tcPr>
            <w:tcW w:w="5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Silver Legacy</w:t>
            </w: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Isle Black Hawk</w:t>
            </w: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Bettendorf</w:t>
            </w: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Cape Girardeau</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Kansas City</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tcPr>
          <w:p>
            <w:pPr>
              <w:ind w:left="260"/>
              <w:spacing w:after="0"/>
              <w:rPr>
                <w:sz w:val="20"/>
                <w:szCs w:val="20"/>
                <w:color w:val="auto"/>
              </w:rPr>
            </w:pPr>
            <w:r>
              <w:rPr>
                <w:rFonts w:ascii="Arial" w:cs="Arial" w:eastAsia="Arial" w:hAnsi="Arial"/>
                <w:sz w:val="18"/>
                <w:szCs w:val="18"/>
                <w:color w:val="auto"/>
              </w:rPr>
              <w:t>South</w:t>
            </w: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Pompano</w:t>
            </w: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Lake Charles</w:t>
            </w:r>
          </w:p>
        </w:tc>
        <w:tc>
          <w:tcPr>
            <w:tcW w:w="2360" w:type="dxa"/>
            <w:vAlign w:val="bottom"/>
          </w:tcPr>
          <w:p>
            <w:pPr>
              <w:ind w:left="24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Lula</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Vicksburg</w:t>
            </w: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tcPr>
          <w:p>
            <w:pPr>
              <w:ind w:left="260"/>
              <w:spacing w:after="0"/>
              <w:rPr>
                <w:sz w:val="20"/>
                <w:szCs w:val="20"/>
                <w:color w:val="auto"/>
              </w:rPr>
            </w:pPr>
            <w:r>
              <w:rPr>
                <w:rFonts w:ascii="Arial" w:cs="Arial" w:eastAsia="Arial" w:hAnsi="Arial"/>
                <w:sz w:val="18"/>
                <w:szCs w:val="18"/>
                <w:color w:val="auto"/>
              </w:rPr>
              <w:t>East</w:t>
            </w: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Presque Isle Downs</w:t>
            </w: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Nemacolin</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Scioto Downs</w:t>
            </w: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Elgin</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9"/>
                <w:szCs w:val="19"/>
                <w:color w:val="auto"/>
              </w:rPr>
            </w:pPr>
          </w:p>
        </w:tc>
      </w:tr>
      <w:tr>
        <w:trPr>
          <w:trHeight w:val="648"/>
        </w:trPr>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40" w:type="dxa"/>
            <w:vAlign w:val="bottom"/>
          </w:tcPr>
          <w:p>
            <w:pPr>
              <w:ind w:left="222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8" w:name="page29"/>
    <w:bookmarkEnd w:id="28"/>
    <w:p>
      <w:pPr>
        <w:ind w:left="560"/>
        <w:spacing w:after="0"/>
        <w:rPr>
          <w:sz w:val="20"/>
          <w:szCs w:val="20"/>
          <w:color w:val="auto"/>
        </w:rPr>
      </w:pPr>
      <w:r>
        <w:rPr>
          <w:rFonts w:ascii="Arial" w:cs="Arial" w:eastAsia="Arial" w:hAnsi="Arial"/>
          <w:sz w:val="18"/>
          <w:szCs w:val="18"/>
          <w:color w:val="auto"/>
        </w:rPr>
        <w:t>The following table sets forth, for the periods indicated, certain operating data for our five reportable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4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21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Ended September 30,</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28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4"/>
          </w:tcPr>
          <w:p>
            <w:pPr>
              <w:jc w:val="right"/>
              <w:ind w:right="113"/>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0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129,092</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134,324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346,550</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297,564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31,894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32,657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63,898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50,590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Midwest: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Net operating revenues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99,834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103,651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301,235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171,292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26,637</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80,725</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South:</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106,569</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107,934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341,612</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228,954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16,176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50,099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East: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Net operating revenues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127,722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126,796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370,576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352,721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23,637</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67,164</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54,411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Central:</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2,868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Corporate: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Net operating revenues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(9,443)</w:t>
            </w:r>
          </w:p>
        </w:tc>
        <w:tc>
          <w:tcPr>
            <w:tcW w:w="2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(10,326)</w:t>
            </w:r>
          </w:p>
        </w:tc>
        <w:tc>
          <w:tcPr>
            <w:tcW w:w="10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(41,377)</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(111,834)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Reportable Segments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0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487,253</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472,878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1,384,247</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1,050,897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Operating income</w:t>
            </w:r>
          </w:p>
        </w:tc>
        <w:tc>
          <w:tcPr>
            <w:tcW w:w="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3780" w:type="dxa"/>
            <w:vAlign w:val="bottom"/>
            <w:tcBorders>
              <w:bottom w:val="single" w:sz="8" w:color="CFF0FC"/>
            </w:tcBorders>
            <w:vMerge w:val="continue"/>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91,769</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81,492</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223,377</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65,053</w:t>
            </w:r>
          </w:p>
        </w:tc>
        <w:tc>
          <w:tcPr>
            <w:tcW w:w="80" w:type="dxa"/>
            <w:vAlign w:val="bottom"/>
            <w:tcBorders>
              <w:bottom w:val="single" w:sz="8" w:color="CFF0FC"/>
            </w:tcBorders>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7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Reconciliations to consolidated net income</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Operating income</w:t>
            </w:r>
          </w:p>
        </w:tc>
        <w:tc>
          <w:tcPr>
            <w:tcW w:w="1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91,769</w:t>
            </w:r>
          </w:p>
        </w:tc>
        <w:tc>
          <w:tcPr>
            <w:tcW w:w="18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81,492</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223,377</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65,053</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Unallocated income and expenses:</w:t>
            </w: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(34,085)</w:t>
            </w:r>
          </w:p>
        </w:tc>
        <w:tc>
          <w:tcPr>
            <w:tcW w:w="22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(29,183)</w:t>
            </w:r>
          </w:p>
        </w:tc>
        <w:tc>
          <w:tcPr>
            <w:tcW w:w="100" w:type="dxa"/>
            <w:vAlign w:val="bottom"/>
          </w:tcPr>
          <w:p>
            <w:pPr>
              <w:spacing w:after="0"/>
              <w:rPr>
                <w:sz w:val="21"/>
                <w:szCs w:val="21"/>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(96,579)</w:t>
            </w:r>
          </w:p>
        </w:tc>
        <w:tc>
          <w:tcPr>
            <w:tcW w:w="1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(69,380)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early retirement of debt, net</w:t>
            </w: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(10,030)</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(37,347)</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(Provision) benefit for income taxes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(19,980)</w:t>
            </w:r>
          </w:p>
        </w:tc>
        <w:tc>
          <w:tcPr>
            <w:tcW w:w="22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(12,592)</w:t>
            </w:r>
          </w:p>
        </w:tc>
        <w:tc>
          <w:tcPr>
            <w:tcW w:w="100" w:type="dxa"/>
            <w:vAlign w:val="bottom"/>
          </w:tcPr>
          <w:p>
            <w:pPr>
              <w:spacing w:after="0"/>
              <w:rPr>
                <w:sz w:val="21"/>
                <w:szCs w:val="21"/>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(31,281)</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26,116</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1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29,687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(15,558)</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rPr>
              <w:t>Nine Months Ended September 30,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 Net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West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49,060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Midwest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14,516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South</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12,307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8,953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Central</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4,009</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89,082</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0" w:type="dxa"/>
            <w:vAlign w:val="bottom"/>
            <w:gridSpan w:val="2"/>
            <w:vMerge w:val="restart"/>
          </w:tcPr>
          <w:p>
            <w:pPr>
              <w:jc w:val="right"/>
              <w:ind w:right="65"/>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7"/>
              </w:rPr>
              <w:t>Midwest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East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Central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Other &amp;</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 sheet as of September 30, 2018</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1,326,305</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1,232,101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822,980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1,223,264</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353,080</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(480,556)</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4,477,174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152,761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322,745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188,850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63,704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60,086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788,146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6"/>
                <w:szCs w:val="16"/>
                <w:b w:val="1"/>
                <w:bCs w:val="1"/>
                <w:color w:val="auto"/>
              </w:rPr>
              <w:t>Balance sheet as of December 31, 2017</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1,278,062</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1,188,758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804,318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1,185,806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(910,472)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3,546,472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152,775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327,088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200,417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66,826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747,106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Consolidating Condensed Financial Information</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Certain of our wholly-owned subsidiaries have fully and unconditionally guaranteed on a joint and several basis, the payment of all obligations under our 7% Senior Notes due 2023, 6% Senior Notes due 2025, 6% Senior Notes due 2026 and Credit Facility.</w:t>
      </w:r>
    </w:p>
    <w:p>
      <w:pPr>
        <w:spacing w:after="0" w:line="170"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color w:val="auto"/>
        </w:rPr>
        <w:t>As of September 30, 2018, the following wholly-owned subsidiaries of the Company were guarantors, on a joint and several basis, under the 7% Senior Notes due 2023, 6% Senior Notes due 2025, 6% Senior Notes due 2026 and Credit Facility: Isle of Capri Casinos LLC; Eldorado Holdco LLC; Eldorado Resorts LLC; Eldorado Shreveport 1 LLC; Eldorado Shreveport 2 LLC; Eldorado Casino Shreveport Joint Venture; MTR Gaming Group Inc.; Mountaineer Park Inc.; Presque Isle Downs Inc.; Scioto Downs Inc.; Eldorado Limited Liability Company; Circus and Eldorado Joint Venture, LLC; CC Reno LLC; CCR Newco LLC; Black Hawk Holdings, L.L.C.; IC Holdings Colorado, Inc.; CCSC/Blackhawk, Inc.; IOC-Black Hawk Distribution Company, LLC; IOC-Black Hawk County, Inc.; Isle of Capri Bettendorf, L.C.; PPI, Inc.; Pompano Park Holdings LLC; Pompano Park JV Holdings L.L.C.; IOC-Lula, Inc.; IOC-Kansas City, Inc.; IOC-Boonville, Inc.; IOC-Caruthersville, LLC; IOC Cape Girardeau, LLC; IOC-Vicksburg, Inc.; IOC-Vicksburg, L.L.C.; Rainbow Casino-Vicksburg Partnership, L.P.; IOC Holdings L.L.C.; St. Charles Gaming Company, L.L.C.; Elgin Riverboat Resort-Riverboat Casino; Elgin Holdings I LLC; Elgin Holdings II LLC, PPI Development Holdings LLC; and PPI Development LLC. Each of the subsidiaries’ guarantees is joint and several with the guarantees of the other subsidiaries.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balance sheet as of September 30,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Eldorado</w:t>
            </w:r>
          </w:p>
        </w:tc>
        <w:tc>
          <w:tcPr>
            <w:tcW w:w="18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02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(Parent Obligor)</w:t>
            </w:r>
          </w:p>
        </w:tc>
        <w:tc>
          <w:tcPr>
            <w:tcW w:w="1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48,687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350,653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426,208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65,375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(88,442)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2,931,271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(2,931,271)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Escrow cash</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604,100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13,077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1,472,777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1,488,866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Other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1,929,196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27,032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(26,649)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Total assets</w:t>
            </w: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3,086,831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3,752,626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684,079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(3,046,362)</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4,477,174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54,422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178,758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28,756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Intercompany payables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63,442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(88,442)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Long-term debt, less current maturities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1,992,301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600,133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2,967,434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221,139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(26,649)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194,490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Other accrued liabilities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1,036,072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2,901,160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30,190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(2,931,271)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1,036,151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Total liabilities and stockholders’</w:t>
            </w:r>
          </w:p>
        </w:tc>
        <w:tc>
          <w:tcPr>
            <w:tcW w:w="4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3,086,831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3,752,626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684,079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(3,046,362)</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4,477,174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0" w:name="page31"/>
    <w:bookmarkEnd w:id="30"/>
    <w:p>
      <w:pPr>
        <w:ind w:left="560"/>
        <w:spacing w:after="0"/>
        <w:rPr>
          <w:sz w:val="20"/>
          <w:szCs w:val="20"/>
          <w:color w:val="auto"/>
        </w:rPr>
      </w:pPr>
      <w:r>
        <w:rPr>
          <w:rFonts w:ascii="Arial" w:cs="Arial" w:eastAsia="Arial" w:hAnsi="Arial"/>
          <w:sz w:val="18"/>
          <w:szCs w:val="18"/>
          <w:color w:val="auto"/>
        </w:rPr>
        <w:t>The consolidating condensed balance sheet as of December 31,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vMerge w:val="restart"/>
          </w:tcPr>
          <w:p>
            <w:pPr>
              <w:ind w:left="1240"/>
              <w:spacing w:after="0"/>
              <w:rPr>
                <w:sz w:val="20"/>
                <w:szCs w:val="20"/>
                <w:color w:val="auto"/>
              </w:rPr>
            </w:pPr>
            <w:r>
              <w:rPr>
                <w:rFonts w:ascii="Arial" w:cs="Arial" w:eastAsia="Arial" w:hAnsi="Arial"/>
                <w:sz w:val="16"/>
                <w:szCs w:val="16"/>
                <w:b w:val="1"/>
                <w:bCs w:val="1"/>
                <w:color w:val="auto"/>
              </w:rPr>
              <w:t>Balance Sheet</w:t>
            </w: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27,572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201,321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22,139</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251,032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274,148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(308,640)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2,437,287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(2,437,287)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1,483,473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1,502,817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1,764,291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(36,409)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1,792,623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14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58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2,788,507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3,449,085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91,216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(2,782,336)</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3,546,472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28,677</w:t>
            </w:r>
          </w:p>
        </w:tc>
        <w:tc>
          <w:tcPr>
            <w:tcW w:w="160" w:type="dxa"/>
            <w:vAlign w:val="bottom"/>
          </w:tcPr>
          <w:p>
            <w:pPr>
              <w:spacing w:after="0"/>
              <w:rPr>
                <w:sz w:val="18"/>
                <w:szCs w:val="18"/>
                <w:color w:val="auto"/>
              </w:rPr>
            </w:pP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169,348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25,726</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223,751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283,640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(308,640)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1,814,185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2,189,578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199,376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(36,409)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2,402,097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(2,437,287)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60"/>
              <w:spacing w:after="0"/>
              <w:rPr>
                <w:sz w:val="20"/>
                <w:szCs w:val="20"/>
                <w:color w:val="auto"/>
              </w:rPr>
            </w:pPr>
            <w:r>
              <w:rPr>
                <w:rFonts w:ascii="Arial" w:cs="Arial" w:eastAsia="Arial" w:hAnsi="Arial"/>
                <w:sz w:val="16"/>
                <w:szCs w:val="16"/>
                <w:color w:val="auto"/>
              </w:rPr>
              <w:t>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2,788,507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3,449,085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91,216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(2,782,336)</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3,546,472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9820" w:type="dxa"/>
            <w:vAlign w:val="bottom"/>
            <w:gridSpan w:val="15"/>
          </w:tcPr>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September 30, 2018 is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24"/>
                <w:szCs w:val="2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359,897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8,272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368,169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116,639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119,084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476,536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487,253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174,602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180,062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68,046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68,673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73,755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(7,067)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34,782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381,033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396,220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Proceeds from terminated sale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(4,090)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(1,532)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95,338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(2,037)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91,769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(26,482)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(6,088)</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(1,515)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60,864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(60,864)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(3,552)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(60,864)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57,684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(25,778)</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(19,980)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37,704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63,472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(2,608)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(60,864)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37,704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62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September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343,825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8,823</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352,648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117,347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461,172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472,878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168,102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173,979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75,445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73,840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(1,464)</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(7,666)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28,675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377,587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11,184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389,273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Gain on sale of asset or disposal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(1,639)</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(957)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81,927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(22,583)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(6,184)</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(416)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(29,183)</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(10,030)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(10,030)</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(51,738)</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20"/>
                <w:szCs w:val="20"/>
                <w:color w:val="auto"/>
              </w:rPr>
            </w:pPr>
            <w:r>
              <w:rPr>
                <w:rFonts w:ascii="Arial" w:cs="Arial" w:eastAsia="Arial" w:hAnsi="Arial"/>
                <w:sz w:val="16"/>
                <w:szCs w:val="16"/>
                <w:color w:val="auto"/>
              </w:rPr>
              <w:t>(Loss) income before income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75,743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(51,738)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(24,085)</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(12,592)</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29,687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51,658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(51,738)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29,687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560"/>
        <w:spacing w:after="0"/>
        <w:rPr>
          <w:sz w:val="20"/>
          <w:szCs w:val="20"/>
          <w:color w:val="auto"/>
        </w:rPr>
      </w:pPr>
      <w:r>
        <w:rPr>
          <w:rFonts w:ascii="Arial" w:cs="Arial" w:eastAsia="Arial" w:hAnsi="Arial"/>
          <w:sz w:val="18"/>
          <w:szCs w:val="18"/>
          <w:color w:val="auto"/>
        </w:rPr>
        <w:t>The consolidating condensed statement of operations for the nine months ended September 30,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1,036,650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23,767</w:t>
            </w: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1,060,417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316,216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1,352,866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31,371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1,384,247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503,741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15,817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519,558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198,113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64,943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218,054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(19,234)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19,234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96,180</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1,110,831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1,155,318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(386)</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Proceeds from terminated sale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(9,543)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(10,043)</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(18,093)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241,033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223,377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(75,827)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(18,293)</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(2,459)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(96,579)</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(164,940)</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70,858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222,740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(164,940)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(56,519)</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(31,281)</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95,355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166,221</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(1,281)</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(164,940)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95,355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left="560"/>
        <w:spacing w:after="0"/>
        <w:rPr>
          <w:sz w:val="20"/>
          <w:szCs w:val="20"/>
          <w:color w:val="auto"/>
        </w:rPr>
      </w:pPr>
      <w:r>
        <w:rPr>
          <w:rFonts w:ascii="Arial" w:cs="Arial" w:eastAsia="Arial" w:hAnsi="Arial"/>
          <w:sz w:val="18"/>
          <w:szCs w:val="18"/>
          <w:color w:val="auto"/>
        </w:rPr>
        <w:t>The consolidating condensed statement of operations for the nine months ended September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760,033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14,510</w:t>
            </w: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774,543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271,515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276,354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1,031,548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1,050,897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389,182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178,036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56,641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165,279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(1,791)</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(21,214)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68,767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876,828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896,316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(69,628)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(19,544)</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(89,172)</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(305)</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(70,483)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134,841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(49,576)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(19,110)</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(694)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(69,380)</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(37,347)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(37,347)</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(77,393)</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20"/>
                <w:szCs w:val="20"/>
                <w:color w:val="auto"/>
              </w:rPr>
            </w:pPr>
            <w:r>
              <w:rPr>
                <w:rFonts w:ascii="Arial" w:cs="Arial" w:eastAsia="Arial" w:hAnsi="Arial"/>
                <w:sz w:val="16"/>
                <w:szCs w:val="16"/>
                <w:color w:val="auto"/>
              </w:rPr>
              <w:t>(Loss) income before income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(80,013)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115,731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(77,393)</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(41,674)</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(38,405)</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(15,558)</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77,326</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(77,393)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(15,558)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560"/>
        <w:spacing w:after="0"/>
        <w:rPr>
          <w:sz w:val="20"/>
          <w:szCs w:val="20"/>
          <w:color w:val="auto"/>
        </w:rPr>
      </w:pPr>
      <w:r>
        <w:rPr>
          <w:rFonts w:ascii="Arial" w:cs="Arial" w:eastAsia="Arial" w:hAnsi="Arial"/>
          <w:sz w:val="18"/>
          <w:szCs w:val="18"/>
          <w:color w:val="auto"/>
        </w:rPr>
        <w:t>The consolidating condensed statement of cash flows for the nine months ended September 30,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(22,743)</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283,414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2,777</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263,448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(2,620)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(85,384)</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(1,078)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(89,082)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(used in) provided by business</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combinations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(328,925)</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(306,274)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Investment in and loans to unconsolidated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affiliate</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(331,545)</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(62,511)</w:t>
            </w: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(1,078)</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ind w:left="100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(395,134)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Proceeds from issuance of 6% Senior Notes</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due 2026</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Borrowings under Revolving Credit Facility</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215,358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215,358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Payments under Revolving Credit Facility</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(35,358)</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(35,358)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Net proceeds from (payments to) related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parties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208,772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(215,048)</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Payments on other long-term payables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(5,401)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(5,401)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of equity awards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(10,601)</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10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372,857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(215,265)</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606,059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763,651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Increase in cash, cash equivalents and</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18,569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5,638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607,758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631,965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 beginning of period</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13,837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118,483</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15,429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147,749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32,406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124,121</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623,187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779,714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8520" w:type="dxa"/>
            <w:vAlign w:val="bottom"/>
            <w:gridSpan w:val="13"/>
          </w:tcPr>
          <w:p>
            <w:pPr>
              <w:spacing w:after="0" w:line="143" w:lineRule="exact"/>
              <w:rPr>
                <w:sz w:val="20"/>
                <w:szCs w:val="20"/>
                <w:color w:val="auto"/>
              </w:rPr>
            </w:pPr>
            <w:r>
              <w:rPr>
                <w:rFonts w:ascii="Arial" w:cs="Arial" w:eastAsia="Arial" w:hAnsi="Arial"/>
                <w:sz w:val="14"/>
                <w:szCs w:val="14"/>
                <w:color w:val="auto"/>
                <w:w w:val="98"/>
              </w:rPr>
              <w:t>RECONCILIATION OF CASH, CASH EQUIVALENTS AND RESTRICTED CASH TO AMOUNTS REPORTED WITHIN THE CONDENSED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CONSOLIDATED BALANCE SHEETS: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31,688</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122,451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9,947</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164,086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Restricted and escrow cash included in other</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noncurrent assets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613,006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614,006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Total cash, cash equivalents and restricted</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cash</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32,406</w:t>
            </w:r>
          </w:p>
        </w:tc>
        <w:tc>
          <w:tcPr>
            <w:tcW w:w="160" w:type="dxa"/>
            <w:vAlign w:val="bottom"/>
          </w:tcPr>
          <w:p>
            <w:pPr>
              <w:spacing w:after="0"/>
              <w:rPr>
                <w:sz w:val="14"/>
                <w:szCs w:val="14"/>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124,121</w:t>
            </w:r>
          </w:p>
        </w:tc>
        <w:tc>
          <w:tcPr>
            <w:tcW w:w="28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623,187</w:t>
            </w:r>
          </w:p>
        </w:tc>
        <w:tc>
          <w:tcPr>
            <w:tcW w:w="160" w:type="dxa"/>
            <w:vAlign w:val="bottom"/>
          </w:tcPr>
          <w:p>
            <w:pPr>
              <w:spacing w:after="0"/>
              <w:rPr>
                <w:sz w:val="14"/>
                <w:szCs w:val="14"/>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779,714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560"/>
        <w:spacing w:after="0"/>
        <w:rPr>
          <w:sz w:val="20"/>
          <w:szCs w:val="20"/>
          <w:color w:val="auto"/>
        </w:rPr>
      </w:pPr>
      <w:r>
        <w:rPr>
          <w:rFonts w:ascii="Arial" w:cs="Arial" w:eastAsia="Arial" w:hAnsi="Arial"/>
          <w:sz w:val="18"/>
          <w:szCs w:val="18"/>
          <w:color w:val="auto"/>
        </w:rPr>
        <w:t>The consolidating condensed statement of cash flows for the nine months ended September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(64,274)</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131,253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4,652</w:t>
            </w: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71,631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(4,128)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(48,439)</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(52,930)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Cash (used in) provided by business</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combinations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(1,355,371)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37,103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(1,313,052)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(1,359,499)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(11,336)</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4,853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(1,365,982)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Term Loan</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Proceeds from issuance of 6% Senior Notes</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Due 2025</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875,000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Borrowings under Revolving Credit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Facility</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207,953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207,953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Payments under Term Loan</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(866,750)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(866,750)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Payments under Revolving Credit Facility</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(236,953)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(236,953)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Net (payments to) proceeds from related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parties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41,526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(46,694)</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Debt premium proceeds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Payments on other long-term payables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(242)</w:t>
            </w:r>
          </w:p>
        </w:tc>
        <w:tc>
          <w:tcPr>
            <w:tcW w:w="1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(51,338)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(51,338)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Taxes paid related to net share settlement of</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equity awards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(10,927)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(10,927)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gridSpan w:val="2"/>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1,438,888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(46,936)</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1,397,015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6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Increase in cash, cash equivalents and</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15,115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72,981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102,664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cash, beginning of period</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61,702</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63,444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6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cash,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16,525</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134,683</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14,900</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1028"/>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166,108</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9480" w:type="dxa"/>
            <w:vAlign w:val="bottom"/>
            <w:gridSpan w:val="13"/>
            <w:shd w:val="clear" w:color="auto" w:fill="CFF0FC"/>
          </w:tcPr>
          <w:p>
            <w:pPr>
              <w:spacing w:after="0" w:line="143" w:lineRule="exact"/>
              <w:rPr>
                <w:sz w:val="20"/>
                <w:szCs w:val="20"/>
                <w:color w:val="auto"/>
              </w:rPr>
            </w:pPr>
            <w:r>
              <w:rPr>
                <w:rFonts w:ascii="Arial" w:cs="Arial" w:eastAsia="Arial" w:hAnsi="Arial"/>
                <w:sz w:val="14"/>
                <w:szCs w:val="14"/>
                <w:color w:val="auto"/>
              </w:rPr>
              <w:t>RECONCILIATION OF CASH, CASH EQUIVALENTS AND RESTRICTED CASH TO AMOUNTS REPORTED WITHIN THE CONDENSED</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CONSOLIDATED BALANCE SHEETS: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15,775</w:t>
            </w:r>
          </w:p>
        </w:tc>
        <w:tc>
          <w:tcPr>
            <w:tcW w:w="140" w:type="dxa"/>
            <w:vAlign w:val="bottom"/>
          </w:tcPr>
          <w:p>
            <w:pPr>
              <w:spacing w:after="0"/>
              <w:rPr>
                <w:sz w:val="21"/>
                <w:szCs w:val="21"/>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113,302</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5,826</w:t>
            </w:r>
          </w:p>
        </w:tc>
        <w:tc>
          <w:tcPr>
            <w:tcW w:w="140" w:type="dxa"/>
            <w:vAlign w:val="bottom"/>
          </w:tcPr>
          <w:p>
            <w:pPr>
              <w:spacing w:after="0"/>
              <w:rPr>
                <w:sz w:val="21"/>
                <w:szCs w:val="21"/>
                <w:color w:val="auto"/>
              </w:rPr>
            </w:pPr>
          </w:p>
        </w:tc>
        <w:tc>
          <w:tcPr>
            <w:tcW w:w="1280" w:type="dxa"/>
            <w:vAlign w:val="bottom"/>
            <w:gridSpan w:val="2"/>
          </w:tcPr>
          <w:p>
            <w:pPr>
              <w:jc w:val="right"/>
              <w:ind w:right="102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134,903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20,381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21,308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Restricted cash included in other noncurrent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6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Total cash, cash equivalents and restricted</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16,525</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134,683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14,900</w:t>
            </w: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166,108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Quarterly Report on Form 10-Q.</w:t>
      </w:r>
    </w:p>
    <w:p>
      <w:pPr>
        <w:spacing w:after="0" w:line="62"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Eldorado Resorts, Inc., a Nevada corporation, is referred to as the “Company,” “ERI,” or the “Registrant,” and together with its subsidiaries may also be referred to as “we,” “us” or “our.”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are a geographically diversified gaming and hospitality company that owned and operated 21 gaming facilities in 11 states as of September 30, 2018. Our properties, which are located in Ohio, Louisiana, Nevada, Pennsylvania, West Virginia, Colorado, Florida, Iowa, Illinois, Mississippi and Missouri, feature approximately 21,000 slot machines and video lottery terminals, approximately 600 table games and over 7,000 hotel rooms as of September 30, 2018. Our primary source of revenue is generated by gaming operations and we utilize our hotels, restaurants, bars, entertainment, racing, retail shops and other services to attract customers to our properties.</w:t>
      </w:r>
    </w:p>
    <w:p>
      <w:pPr>
        <w:spacing w:after="0" w:line="188"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on the Silver Legacy Resort Casino, the first mega-themed resort in Reno. In 2005, we acquired our first property outside of Reno when we acquired a casino in Shreveport, Louisiana, now known as Eldorado Shreveport. In September 2014, we merged with MTR Gaming Group, Inc. and acquired its three gaming and racing facilities in Ohio, Pennsylvania and West Virginia. The following year, in November 2015, we acquired Circus Circus Reno and the 50% membership interest in the Silver Legacy that was owned by MGM Resorts International. On May 1, 2017, we completed our largest acquisition to date when we acquired Isle of Capri Casinos, Inc. (“Isle” or “Isle of Capri”), adding another 13 gaming properties to our portfolio.</w:t>
      </w:r>
    </w:p>
    <w:p>
      <w:pPr>
        <w:spacing w:after="0" w:line="165"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On August 7, 2018, the Company completed its previously announced acquisition of the outstanding partnership interests of Elgin Riverboat Resort – Riverboat Casino d/b/a Grand Victoria Casino, an Illinois partnership (“Elgin”), the owner of Grand Victoria Casino, located in Elgin, Illinois (the “Elgin Acquisition”).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2018, ERI owned and operated the following properties:</w:t>
      </w:r>
    </w:p>
    <w:p>
      <w:pPr>
        <w:spacing w:after="0" w:line="117" w:lineRule="exact"/>
        <w:rPr>
          <w:sz w:val="20"/>
          <w:szCs w:val="20"/>
          <w:color w:val="auto"/>
        </w:rPr>
      </w:pPr>
    </w:p>
    <w:p>
      <w:pPr>
        <w:ind w:left="1120" w:right="40" w:hanging="558"/>
        <w:spacing w:after="0" w:line="308"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1,128 slot machines and 36 table games;</w:t>
      </w:r>
    </w:p>
    <w:p>
      <w:pPr>
        <w:spacing w:after="0" w:line="38" w:lineRule="exact"/>
        <w:rPr>
          <w:rFonts w:ascii="Arial" w:cs="Arial" w:eastAsia="Arial" w:hAnsi="Arial"/>
          <w:sz w:val="17"/>
          <w:szCs w:val="17"/>
          <w:color w:val="auto"/>
        </w:rPr>
      </w:pPr>
    </w:p>
    <w:p>
      <w:pPr>
        <w:ind w:left="112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Silver Legacy Resort Casino (“Silver Legacy”)—A 1,685-room themed hotel and casino connected via an enclosed skywalk to Eldorado Reno and Circus Reno that includes 1,208 slot machines, 58 table games and a 13 table poker room;</w:t>
      </w:r>
    </w:p>
    <w:p>
      <w:pPr>
        <w:spacing w:after="0" w:line="62"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706 slot machines and 24 table games;</w:t>
      </w:r>
    </w:p>
    <w:p>
      <w:pPr>
        <w:spacing w:after="0" w:line="62" w:lineRule="exact"/>
        <w:rPr>
          <w:rFonts w:ascii="Arial" w:cs="Arial" w:eastAsia="Arial" w:hAnsi="Arial"/>
          <w:sz w:val="18"/>
          <w:szCs w:val="18"/>
          <w:color w:val="auto"/>
        </w:rPr>
      </w:pPr>
    </w:p>
    <w:p>
      <w:pPr>
        <w:ind w:left="1120" w:right="260" w:hanging="558"/>
        <w:spacing w:after="0" w:line="342"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1,388 slot machines, 52 table games and an eight table poker room;</w:t>
      </w:r>
    </w:p>
    <w:p>
      <w:pPr>
        <w:spacing w:after="0" w:line="15" w:lineRule="exact"/>
        <w:rPr>
          <w:rFonts w:ascii="Arial" w:cs="Arial" w:eastAsia="Arial" w:hAnsi="Arial"/>
          <w:sz w:val="16"/>
          <w:szCs w:val="16"/>
          <w:color w:val="auto"/>
        </w:rPr>
      </w:pPr>
    </w:p>
    <w:p>
      <w:pPr>
        <w:ind w:left="1120" w:right="40" w:hanging="558"/>
        <w:spacing w:after="0" w:line="264"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1,487 slot machines and 36 table games, including a 10 table poker room;</w:t>
      </w:r>
    </w:p>
    <w:p>
      <w:pPr>
        <w:spacing w:after="0" w:line="73" w:lineRule="exact"/>
        <w:rPr>
          <w:rFonts w:ascii="Arial" w:cs="Arial" w:eastAsia="Arial" w:hAnsi="Arial"/>
          <w:sz w:val="18"/>
          <w:szCs w:val="18"/>
          <w:color w:val="auto"/>
        </w:rPr>
      </w:pPr>
    </w:p>
    <w:p>
      <w:pPr>
        <w:ind w:left="1120" w:right="30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1,596 slot machines, 32 table games and a seven table poker room located in Erie, Pennsylvania;</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2,237 video lottery terminals (“VLTs”),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1,005 slot machines, 30 table games, a nine table poker room and a 238-room hotel;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7" w:name="page38"/>
    <w:bookmarkEnd w:id="37"/>
    <w:p>
      <w:pPr>
        <w:ind w:left="1120" w:right="200" w:hanging="558"/>
        <w:spacing w:after="0" w:line="264"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472 slot machines, eleven table games and a 164-room hotel with a parking structure connecting Isle Casino Hotel-Black Hawk and Lady Luck Casino-Black Hawk;</w:t>
      </w:r>
    </w:p>
    <w:p>
      <w:pPr>
        <w:spacing w:after="0" w:line="73" w:lineRule="exact"/>
        <w:rPr>
          <w:rFonts w:ascii="Arial" w:cs="Arial" w:eastAsia="Arial" w:hAnsi="Arial"/>
          <w:sz w:val="18"/>
          <w:szCs w:val="18"/>
          <w:color w:val="auto"/>
        </w:rPr>
      </w:pPr>
    </w:p>
    <w:p>
      <w:pPr>
        <w:ind w:left="1120" w:right="120" w:hanging="558"/>
        <w:spacing w:after="0" w:line="259"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1,461 slot machines and a 45 table poker room. In April 2018, the Company announced the formation of a joint venture with the Cordish Companies to master plan and develop a mixed-use entertainment and hospitality destination expected to be located on unused land adjacent to the casino and racetrack;</w:t>
      </w:r>
    </w:p>
    <w:p>
      <w:pPr>
        <w:spacing w:after="0" w:line="78"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974 slot machines and 20 table games with two hotel towers with 509 hotel rooms;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936 slot machines, 25 table games, and a 194-room hotel;</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1,173 slot machines, 45 table games, including 13 poker tables, and two hotels offering 493 rooms;</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871 slot machines and 19 table games, two on-site hotels with a total of 486 rooms and a 28-space RV Park;</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603 slot machines, eight table games and a hotel with a total of 89 rooms;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885 slot machines, 20 table games and a 140-room hotel;</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870 slot machines and 24 table games, including four poker tables;</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512 slot machines and nine table games;</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969 slot machines and 13 table games; and</w:t>
      </w:r>
    </w:p>
    <w:p>
      <w:pPr>
        <w:spacing w:after="0" w:line="62" w:lineRule="exact"/>
        <w:rPr>
          <w:rFonts w:ascii="Arial" w:cs="Arial" w:eastAsia="Arial" w:hAnsi="Arial"/>
          <w:sz w:val="18"/>
          <w:szCs w:val="18"/>
          <w:color w:val="auto"/>
        </w:rPr>
      </w:pPr>
    </w:p>
    <w:p>
      <w:pPr>
        <w:ind w:left="1120" w:right="66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27 table games.</w:t>
      </w:r>
    </w:p>
    <w:p>
      <w:pPr>
        <w:spacing w:after="0" w:line="62" w:lineRule="exact"/>
        <w:rPr>
          <w:rFonts w:ascii="Arial" w:cs="Arial" w:eastAsia="Arial" w:hAnsi="Arial"/>
          <w:sz w:val="18"/>
          <w:szCs w:val="18"/>
          <w:color w:val="auto"/>
        </w:rPr>
      </w:pPr>
    </w:p>
    <w:p>
      <w:pPr>
        <w:ind w:left="1120" w:right="14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Grand Victoria Casino (“Elgin”)—A riverboat casino 40 miles west of downtown Chicago along the banks of the Fox River in Elgin, Illinois that includes 1,088 slot machines, 30 table games and 12 poker tables</w:t>
      </w:r>
    </w:p>
    <w:p>
      <w:pPr>
        <w:spacing w:after="0" w:line="170"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entered into definitive agreements to sell Presque Isle Downs and Lady Luck Nemacolin.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Mergers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 Victoria Casino</w:t>
      </w:r>
    </w:p>
    <w:p>
      <w:pPr>
        <w:spacing w:after="0" w:line="117" w:lineRule="exact"/>
        <w:rPr>
          <w:sz w:val="20"/>
          <w:szCs w:val="20"/>
          <w:color w:val="auto"/>
        </w:rPr>
      </w:pPr>
    </w:p>
    <w:p>
      <w:pPr>
        <w:ind w:right="480" w:firstLine="555"/>
        <w:spacing w:after="0" w:line="308" w:lineRule="auto"/>
        <w:rPr>
          <w:sz w:val="20"/>
          <w:szCs w:val="20"/>
          <w:color w:val="auto"/>
        </w:rPr>
      </w:pPr>
      <w:r>
        <w:rPr>
          <w:rFonts w:ascii="Arial" w:cs="Arial" w:eastAsia="Arial" w:hAnsi="Arial"/>
          <w:sz w:val="17"/>
          <w:szCs w:val="17"/>
          <w:color w:val="auto"/>
        </w:rPr>
        <w:t>On August 7, 2018, we completed our previously announced acquisition of the Grand Victoria Casino in Elgin, Illinois. We purchased Elgin for $327.5 million and an estimated $1.4 working capital adjustment subject to finalization within 100 days of the Elgin Acquisition date.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Tropicana Entertainment Inc.</w:t>
      </w:r>
    </w:p>
    <w:p>
      <w:pPr>
        <w:spacing w:after="0" w:line="117" w:lineRule="exact"/>
        <w:rPr>
          <w:sz w:val="20"/>
          <w:szCs w:val="20"/>
          <w:color w:val="auto"/>
        </w:rPr>
      </w:pPr>
    </w:p>
    <w:p>
      <w:pPr>
        <w:ind w:right="40" w:firstLine="555"/>
        <w:spacing w:after="0" w:line="266" w:lineRule="auto"/>
        <w:rPr>
          <w:sz w:val="20"/>
          <w:szCs w:val="20"/>
          <w:color w:val="auto"/>
        </w:rPr>
      </w:pPr>
      <w:r>
        <w:rPr>
          <w:rFonts w:ascii="Arial" w:cs="Arial" w:eastAsia="Arial" w:hAnsi="Arial"/>
          <w:sz w:val="17"/>
          <w:szCs w:val="17"/>
          <w:color w:val="auto"/>
        </w:rPr>
        <w:t>On April 15, 2018 the Company announced that it entered into a definitive agreement to acquire Tropicana Entertainment Inc. (“Tropicana”) in a cash transaction valued at $1.85 billion. At the closing of the transaction on October 1, 2018, a subsidiary of the Company merged into Tropicana and Tropicana became a wholly owned subsidiary of the Company. Immediately prior to the merger, Tropicana sold Tropicana Aruba Resort and Casino and Gaming and Leisure Properties (“GLPI”) acquired substantially all of Tropicana’s real estate, other than the real estate underlying MontBleu Casino Resort &amp; Spa and Lumière Place Casino and Hotel (“Lumière Place”), for approximately $964 million and the Company acquired the real estate underlying Lumière Place for $246 million. The Company also entered into a 15-year master lease with GLPI pursuant to which the Company will lease the Tropicana real estate acquired by GLPI. The Company funded the purchase of the real estate underlying Lumière Place with the proceeds of a $246 million loan from GLPI and funded the $640 million of consideration payable by the Company and the repayment of amounts outstanding under the Tropicana credit facility with cash on hand at the Company and Tropicana, borrowings under the Company’s revolving credit facility and proceeds from the Company’s offering of $600 million of 6% senior notes due 2026. In addition, the Company’s borrowing capacity on its revolving credit facility increased from $300 million to $500 million effective October 1, 2018 and the maturity of the revolving credit facility was extended to October 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1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Transaction expenses related to the Tropicana Acquisition for the three and nine months ended September 30, 2018 totaled $2.0 million and $5.5 million, respectively. As of September 30, 2018, $1.2 million of accrued costs and expenses related to the Tropicana Acquisition are included in accrued other liabilities.</w:t>
      </w:r>
    </w:p>
    <w:p>
      <w:pPr>
        <w:spacing w:after="0" w:line="181"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Following the acquisition of the real estate portfolio by GLPI, the Company entered into a triple net master lease for the Tropicana properties acquired by GLPI with an initial term of 15 years, with renewals of up to 20 years at the Company’s option (“Master Lease”). Under the Master Lease, the Company is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 The initial annual rent under the terms of the lease is expected to be approximately $87.6 million. The Company does not have the ability to terminate the obligations under the Master Lease prior to its expiration without GLPI’s consent.</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In connection with the purchase of the real estate related to Lumière Place, GLPI, Tropicana St. Louis RE LLC, a wholly-owned subsidiary of the Company (“Tropicana St. Louis RE”), and the Company entered into a loan agreement, dated as of October 1, 2018 (the “Lumière Loan”), relating to a loan of $246 million by GLPI to Tropicana St. Louis RE to fund the entire purchase price of the real estate underlying Lumière Place and a guaranty by the Company of the amounts owed by Tropicana St. Louis RE. The Lumière Loan bears interest at a rate equal to (i) 9.09% until October 1, 2019 and (ii) 9.27% until October 1, 2020, and matures on October 1, 2020. The Lumière Loan is secured by a first priority mortgage on the Lumière Real Property until October 1, 2019. In connection with the issuance of the Lumière Loan, the Company agreed to use its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Tropicana St. Louis RE and GLPI, provided that the aggregate value of such property, individually or collectively, is at least $246 million (the “Replacement Property”), to GLPI with a simultaneous leaseback to the Company of such Replacement Property. In connection with such Replacement Property sale, (i) the Company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the obligations of Tropicana St. Louis RE and the Company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outstanding obligations of Tropicana St. Louis RE under the Lumière Loan, GLPI will pay Tropicana St. Louis RE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William Hill</w:t>
      </w:r>
    </w:p>
    <w:p>
      <w:pPr>
        <w:spacing w:after="0" w:line="117"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On September 5, 2018 the Company announced that it had entered into a definitive agreement pursuant to which, subject to receipt of all necessary regulatory approvals, William Hill US will become the Company’s exclusive sports betting operator for a period of 25 years at its properties in jurisdictions where sports betting is legal. The Company will also work with William Hill US to leverage its licenses to operate mobile and online sports wagering operations in the United States. At the closing of the transactions contemplated by the agreement, the Company will receive a 20% equity stake in William Hill US as well as ordinary shares of William Hill PLC (LON: WMH) with a value of $50.0 million (based on the 60 day volume-weighted average trading price of William Hill PLC shares ending on September 4, 2018). Pursuant to the terms of the agreement, the Company will have the opportunity to sell its equity in William Hill US following a public offering of William Hill US or through a conversion of the 20% equity stake to William Hill PLC shares or cash at William Hill’s discretion after five years. The transaction is expected to close in the first quarter of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21"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On February 28, 2018, the Company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conjunction with the classification of Vicksburg’s operations as assets held for sale at March 31, 2018 as a result of the announced sale to CDI, an impairment charge totaling $9.8 million was recorded due to the carrying value exceeding the estimated net sales proceeds.</w:t>
      </w:r>
    </w:p>
    <w:p>
      <w:pPr>
        <w:spacing w:after="0" w:line="158" w:lineRule="exact"/>
        <w:rPr>
          <w:sz w:val="20"/>
          <w:szCs w:val="20"/>
          <w:color w:val="auto"/>
        </w:rPr>
      </w:pPr>
    </w:p>
    <w:p>
      <w:pPr>
        <w:ind w:right="280" w:firstLine="555"/>
        <w:spacing w:after="0" w:line="257" w:lineRule="auto"/>
        <w:rPr>
          <w:sz w:val="20"/>
          <w:szCs w:val="20"/>
          <w:color w:val="auto"/>
        </w:rPr>
      </w:pPr>
      <w:r>
        <w:rPr>
          <w:rFonts w:ascii="Arial" w:cs="Arial" w:eastAsia="Arial" w:hAnsi="Arial"/>
          <w:sz w:val="18"/>
          <w:szCs w:val="18"/>
          <w:color w:val="auto"/>
        </w:rPr>
        <w:t>The definitive agreements provided that the dispositions were subject to receipt of required regulatory approvals, termination of the waiting period under the Hart-Scott-Rodino Act and other customary closing conditions, including, in the case of Presque Isle 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in connection with its review of the Vicksburg acquisition.</w:t>
      </w:r>
    </w:p>
    <w:p>
      <w:pPr>
        <w:spacing w:after="0" w:line="188"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the Company a $5.0 million termination fee upon execution of a definitive agreement with respect to the Nemacolin transaction. On August 10, 2018, the Company entered into a definitive agreement to sell substantially all of the assets and liabilities of Nemacolin to CDI. Under the terms of the agreement, CDI agreed to purchase Nemacolin for cash consideration of approximately $0.1 million, subject to a customary working capital adjustment.</w:t>
      </w:r>
    </w:p>
    <w:p>
      <w:pPr>
        <w:spacing w:after="0" w:line="178"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As a result of the agreement to sell Nemacolin, an impairment charge of $3.8 million for the three and nine months ended September 30, 2018 was recorded due to the carrying of the net property and equipment being sold exceeding the estimated net sales proceeds.</w:t>
      </w:r>
    </w:p>
    <w:p>
      <w:pPr>
        <w:spacing w:after="0" w:line="170"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Both transactions are expected to close in the fourth quarter of 2018 or first quarter of 2019, subject to satisfaction of closing conditions, including receipt of Pennsylvania regulatory approvals.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As of June 30, 2018, the Company’s principal operating activities occurred in four geographic regions and reportable segments. Due to the Elgin Acquisition and Tropicana Acquisition, a fifth segment, Central, has been added in the third quarter of 2018. The reportable segments are based on the similar characteristics of the operating segments within the regions in which they operate. These segments as of September 30, 2018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500" w:type="dxa"/>
            <w:vAlign w:val="bottom"/>
            <w:gridSpan w:val="3"/>
          </w:tcPr>
          <w:p>
            <w:pPr>
              <w:ind w:left="200"/>
              <w:spacing w:after="0"/>
              <w:rPr>
                <w:sz w:val="20"/>
                <w:szCs w:val="20"/>
                <w:color w:val="auto"/>
              </w:rPr>
            </w:pPr>
            <w:r>
              <w:rPr>
                <w:rFonts w:ascii="Arial" w:cs="Arial" w:eastAsia="Arial" w:hAnsi="Arial"/>
                <w:sz w:val="14"/>
                <w:szCs w:val="14"/>
                <w:b w:val="1"/>
                <w:bCs w:val="1"/>
                <w:color w:val="auto"/>
              </w:rPr>
              <w:t>Segment</w:t>
            </w:r>
          </w:p>
        </w:tc>
        <w:tc>
          <w:tcPr>
            <w:tcW w:w="34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r>
      <w:tr>
        <w:trPr>
          <w:trHeight w:val="223"/>
        </w:trPr>
        <w:tc>
          <w:tcPr>
            <w:tcW w:w="1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2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Silver Legacy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Isle Black Hawk</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Bettendorf</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Cape Girardeau</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Kansas City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r>
      <w:tr>
        <w:trPr>
          <w:trHeight w:val="230"/>
        </w:trPr>
        <w:tc>
          <w:tcPr>
            <w:tcW w:w="1080" w:type="dxa"/>
            <w:vAlign w:val="bottom"/>
          </w:tcPr>
          <w:p>
            <w:pPr>
              <w:ind w:left="260"/>
              <w:spacing w:after="0"/>
              <w:rPr>
                <w:sz w:val="20"/>
                <w:szCs w:val="20"/>
                <w:color w:val="auto"/>
              </w:rPr>
            </w:pPr>
            <w:r>
              <w:rPr>
                <w:rFonts w:ascii="Arial" w:cs="Arial" w:eastAsia="Arial" w:hAnsi="Arial"/>
                <w:sz w:val="18"/>
                <w:szCs w:val="18"/>
                <w:color w:val="auto"/>
              </w:rPr>
              <w:t>South</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Pompano</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Lake Charles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Lula</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Vicksburg</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r>
      <w:tr>
        <w:trPr>
          <w:trHeight w:val="230"/>
        </w:trPr>
        <w:tc>
          <w:tcPr>
            <w:tcW w:w="1080" w:type="dxa"/>
            <w:vAlign w:val="bottom"/>
          </w:tcPr>
          <w:p>
            <w:pPr>
              <w:ind w:left="260"/>
              <w:spacing w:after="0"/>
              <w:rPr>
                <w:sz w:val="20"/>
                <w:szCs w:val="20"/>
                <w:color w:val="auto"/>
              </w:rPr>
            </w:pPr>
            <w:r>
              <w:rPr>
                <w:rFonts w:ascii="Arial" w:cs="Arial" w:eastAsia="Arial" w:hAnsi="Arial"/>
                <w:sz w:val="18"/>
                <w:szCs w:val="18"/>
                <w:color w:val="auto"/>
              </w:rPr>
              <w:t>East</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Presque Isle Downs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Nemacolin</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Scioto Downs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Elgin</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Illinois</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right="200" w:firstLine="555"/>
        <w:spacing w:after="0" w:line="286" w:lineRule="auto"/>
        <w:rPr>
          <w:sz w:val="20"/>
          <w:szCs w:val="20"/>
          <w:color w:val="auto"/>
        </w:rPr>
      </w:pPr>
      <w:r>
        <w:rPr>
          <w:rFonts w:ascii="Arial" w:cs="Arial" w:eastAsia="Arial" w:hAnsi="Arial"/>
          <w:sz w:val="17"/>
          <w:szCs w:val="17"/>
          <w:color w:val="auto"/>
        </w:rPr>
        <w:t>The financial information included in this Item 2 for periods prior to our acquisitions of Isle and Elgin are those of ERI and its subsidiaries. The presentation of information herein for periods prior to our acquisitions of Isle and Elgin and after our acquisitions of Isle and Elgin are not fully comparable because the results of operations for Isle and Elgin are not included for periods prior to our acquisitions of Isle and Elgin.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17"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highlights the significant factors impacting our financial results for the three and nine months ended September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03" w:lineRule="exact"/>
        <w:rPr>
          <w:sz w:val="20"/>
          <w:szCs w:val="20"/>
          <w:color w:val="auto"/>
        </w:rPr>
      </w:pPr>
    </w:p>
    <w:p>
      <w:pPr>
        <w:ind w:left="1120" w:right="120" w:hanging="558"/>
        <w:spacing w:after="0" w:line="302"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Isle Acquisition – </w:t>
      </w:r>
      <w:r>
        <w:rPr>
          <w:rFonts w:ascii="Arial" w:cs="Arial" w:eastAsia="Arial" w:hAnsi="Arial"/>
          <w:sz w:val="16"/>
          <w:szCs w:val="16"/>
          <w:color w:val="auto"/>
        </w:rPr>
        <w:t>Our results of operations for the nine months ended September 30, 2018 include incremental revenues and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the 13 properties we acquired in our acquisition of Isle on May 1, 2017. Transaction expenses related to our acquisition of Isle for legal, accounting, financial advisory services, severance, stock awards and other costs totaled $1.2 million for nine months ended September 30, 2018 and $2.1 million and $89.2 million for the three and nine months ended September 30, 2017, respectively.</w:t>
      </w:r>
    </w:p>
    <w:p>
      <w:pPr>
        <w:spacing w:after="0" w:line="46" w:lineRule="exact"/>
        <w:rPr>
          <w:rFonts w:ascii="Arial" w:cs="Arial" w:eastAsia="Arial" w:hAnsi="Arial"/>
          <w:sz w:val="16"/>
          <w:szCs w:val="16"/>
          <w:color w:val="auto"/>
        </w:rPr>
      </w:pPr>
    </w:p>
    <w:p>
      <w:pPr>
        <w:ind w:left="1120" w:hanging="558"/>
        <w:spacing w:after="0" w:line="272"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Lake Charles Terminated Sale </w:t>
      </w:r>
      <w:r>
        <w:rPr>
          <w:rFonts w:ascii="Arial" w:cs="Arial" w:eastAsia="Arial" w:hAnsi="Arial"/>
          <w:sz w:val="17"/>
          <w:szCs w:val="17"/>
          <w:color w:val="auto"/>
        </w:rPr>
        <w:t>– On August 22, 2016, Isle entered into an agreement to sell its casino and hotel property in Lake Charles,</w:t>
      </w:r>
      <w:r>
        <w:rPr>
          <w:rFonts w:ascii="Arial" w:cs="Arial" w:eastAsia="Arial" w:hAnsi="Arial"/>
          <w:sz w:val="17"/>
          <w:szCs w:val="17"/>
          <w:i w:val="1"/>
          <w:iCs w:val="1"/>
          <w:color w:val="auto"/>
        </w:rPr>
        <w:t xml:space="preserve"> </w:t>
      </w:r>
      <w:r>
        <w:rPr>
          <w:rFonts w:ascii="Arial" w:cs="Arial" w:eastAsia="Arial" w:hAnsi="Arial"/>
          <w:sz w:val="17"/>
          <w:szCs w:val="17"/>
          <w:color w:val="auto"/>
        </w:rPr>
        <w:t>Louisiana, for $134.5 million, subject to a customary purchase price adjustment, to an affiliate of Laguna Development Corporation, a Pueblo of Laguna-owned business based in Albuquerque, New Mexico. On November 21, 2017, we terminated the agreement. The closing of the transaction was subject to certain closing conditions, including obtaining certain gaming approvals, and was to occur on or before the termination date, which had been extended by the parties to November 20, 2017. The buyer did not obtain the required gaming approvals prior to the termination date, and pursuant to the terms of the agreement, and the $20.0 million deposit was forfeited upon termination of the agreement and recorded as operating income in the fourth quarter of 2017.</w:t>
      </w:r>
    </w:p>
    <w:p>
      <w:pPr>
        <w:spacing w:after="0" w:line="69" w:lineRule="exact"/>
        <w:rPr>
          <w:rFonts w:ascii="Arial" w:cs="Arial" w:eastAsia="Arial" w:hAnsi="Arial"/>
          <w:sz w:val="17"/>
          <w:szCs w:val="17"/>
          <w:color w:val="auto"/>
        </w:rPr>
      </w:pPr>
    </w:p>
    <w:p>
      <w:pPr>
        <w:ind w:left="1120" w:right="140"/>
        <w:spacing w:after="0" w:line="264" w:lineRule="auto"/>
        <w:rPr>
          <w:rFonts w:ascii="Arial" w:cs="Arial" w:eastAsia="Arial" w:hAnsi="Arial"/>
          <w:sz w:val="17"/>
          <w:szCs w:val="17"/>
          <w:color w:val="auto"/>
        </w:rPr>
      </w:pPr>
      <w:r>
        <w:rPr>
          <w:rFonts w:ascii="Arial" w:cs="Arial" w:eastAsia="Arial" w:hAnsi="Arial"/>
          <w:sz w:val="18"/>
          <w:szCs w:val="18"/>
          <w:color w:val="auto"/>
        </w:rPr>
        <w:t>In previous periods, the operations of Lake Charles were classified as discontinued operations and as an asset held for sale. As a result of the termination of the sale, Lake Charles is no longer classified as an asset held for sale and as discontinued operations, and is included in our results of operations for the three and nine months ended September 30, 2018 and 2017.</w:t>
      </w:r>
    </w:p>
    <w:p>
      <w:pPr>
        <w:spacing w:after="0" w:line="73" w:lineRule="exact"/>
        <w:rPr>
          <w:rFonts w:ascii="Arial" w:cs="Arial" w:eastAsia="Arial" w:hAnsi="Arial"/>
          <w:sz w:val="17"/>
          <w:szCs w:val="17"/>
          <w:color w:val="auto"/>
        </w:rPr>
      </w:pPr>
    </w:p>
    <w:p>
      <w:pPr>
        <w:ind w:left="1120" w:right="40" w:hanging="558"/>
        <w:spacing w:after="0" w:line="286"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Elgin Acquisition – </w:t>
      </w:r>
      <w:r>
        <w:rPr>
          <w:rFonts w:ascii="Arial" w:cs="Arial" w:eastAsia="Arial" w:hAnsi="Arial"/>
          <w:sz w:val="17"/>
          <w:szCs w:val="17"/>
          <w:color w:val="auto"/>
        </w:rPr>
        <w:t>Our results of operations for three and nine months ended September 30, 2018 include incremental revenues and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period of August 7, 2018 through September 30, 2018 attributable to Elgin. Transaction expenses related to our acquisition of Elgin totaled $2.1 million and $3.4 million, respectively, for the three and nine months ended September 30, 2018</w:t>
      </w:r>
    </w:p>
    <w:p>
      <w:pPr>
        <w:spacing w:after="0" w:line="57" w:lineRule="exact"/>
        <w:rPr>
          <w:rFonts w:ascii="Arial" w:cs="Arial" w:eastAsia="Arial" w:hAnsi="Arial"/>
          <w:sz w:val="17"/>
          <w:szCs w:val="17"/>
          <w:color w:val="auto"/>
        </w:rPr>
      </w:pPr>
    </w:p>
    <w:p>
      <w:pPr>
        <w:ind w:left="1120" w:hanging="558"/>
        <w:spacing w:after="0" w:line="276"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Tropicana Financing and Acquisition – </w:t>
      </w:r>
      <w:r>
        <w:rPr>
          <w:rFonts w:ascii="Arial" w:cs="Arial" w:eastAsia="Arial" w:hAnsi="Arial"/>
          <w:sz w:val="17"/>
          <w:szCs w:val="17"/>
          <w:color w:val="auto"/>
        </w:rPr>
        <w:t>On September 20, 2018 we issued $600 million aggregate principal amount of 6.0% senior notes due</w:t>
      </w:r>
      <w:r>
        <w:rPr>
          <w:rFonts w:ascii="Arial" w:cs="Arial" w:eastAsia="Arial" w:hAnsi="Arial"/>
          <w:sz w:val="17"/>
          <w:szCs w:val="17"/>
          <w:i w:val="1"/>
          <w:iCs w:val="1"/>
          <w:color w:val="auto"/>
        </w:rPr>
        <w:t xml:space="preserve"> </w:t>
      </w:r>
      <w:r>
        <w:rPr>
          <w:rFonts w:ascii="Arial" w:cs="Arial" w:eastAsia="Arial" w:hAnsi="Arial"/>
          <w:sz w:val="17"/>
          <w:szCs w:val="17"/>
          <w:color w:val="auto"/>
        </w:rPr>
        <w:t>2026. The proceeds from the notes were used to fund the Tropicana Acquisition which closed on October 1, 2018. We incurred $1.1 million of interest expense on these notes in the three months ended September 30, 2018 and expect to incur $9.0 million of interest expense on these notes per quarter for subsequent periods. Transaction expenses related to our acquisition of Tropicana totaled $2.0 million and $5.5 million, respectively, for the three and nine months ended September 30, 2018.</w:t>
      </w:r>
    </w:p>
    <w:p>
      <w:pPr>
        <w:spacing w:after="0" w:line="64" w:lineRule="exact"/>
        <w:rPr>
          <w:rFonts w:ascii="Arial" w:cs="Arial" w:eastAsia="Arial" w:hAnsi="Arial"/>
          <w:sz w:val="17"/>
          <w:szCs w:val="17"/>
          <w:color w:val="auto"/>
        </w:rPr>
      </w:pPr>
    </w:p>
    <w:p>
      <w:pPr>
        <w:ind w:left="1120" w:hanging="558"/>
        <w:spacing w:after="0" w:line="272"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Isle Debt Refinancing </w:t>
      </w:r>
      <w:r>
        <w:rPr>
          <w:rFonts w:ascii="Arial" w:cs="Arial" w:eastAsia="Arial" w:hAnsi="Arial"/>
          <w:sz w:val="17"/>
          <w:szCs w:val="17"/>
          <w:color w:val="auto"/>
        </w:rPr>
        <w:t>–In connection with the Isle Acquisition, we completed a debt financing transaction comprised of: a senior secured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in an aggregate principal amount of $1.75 billion with a term loan facility of $1.45 billion and revolving credit facility of $300.0 million and $375.0 million of senior unsecured notes. The proceeds of such borrowings were used to pay the cash portion of the consideration payable in the Isle Merger, refinance all of Isle’s existing credit facilities, redeem or otherwise repurchase all of Isle’s senior and senior subordinated notes, refinance our existing credit facility and pay transaction fees and expenses related to the foregoing. We recognized a loss totaling $0.7 million for the three and nine months ended September 30, 2017 as a result of the debt refinancing transaction (See “Liquidity and Capital Resources” for more information related to the debt refinancing).</w:t>
      </w:r>
    </w:p>
    <w:p>
      <w:pPr>
        <w:spacing w:after="0" w:line="69" w:lineRule="exact"/>
        <w:rPr>
          <w:rFonts w:ascii="Arial" w:cs="Arial" w:eastAsia="Arial" w:hAnsi="Arial"/>
          <w:sz w:val="17"/>
          <w:szCs w:val="17"/>
          <w:color w:val="auto"/>
        </w:rPr>
      </w:pPr>
    </w:p>
    <w:p>
      <w:pPr>
        <w:jc w:val="both"/>
        <w:ind w:left="1120" w:right="160" w:hanging="558"/>
        <w:spacing w:after="0" w:line="264"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Dispositions – </w:t>
      </w:r>
      <w:r>
        <w:rPr>
          <w:rFonts w:ascii="Arial" w:cs="Arial" w:eastAsia="Arial" w:hAnsi="Arial"/>
          <w:sz w:val="18"/>
          <w:szCs w:val="18"/>
          <w:color w:val="auto"/>
        </w:rPr>
        <w:t>The sales of Presque Isle Downs and Nemacolin met the requirements for presentation as assets held for sale under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accounting principles. However, they did not meet the requirements for presentation as discontinued operations and are included in income from continuing operations for the three and nine months ended September 30, 2018.</w:t>
      </w:r>
    </w:p>
    <w:p>
      <w:pPr>
        <w:spacing w:after="0" w:line="73" w:lineRule="exact"/>
        <w:rPr>
          <w:rFonts w:ascii="Arial" w:cs="Arial" w:eastAsia="Arial" w:hAnsi="Arial"/>
          <w:sz w:val="18"/>
          <w:szCs w:val="18"/>
          <w:color w:val="auto"/>
        </w:rPr>
      </w:pPr>
    </w:p>
    <w:p>
      <w:pPr>
        <w:ind w:left="1120" w:right="40"/>
        <w:spacing w:after="0" w:line="257" w:lineRule="auto"/>
        <w:rPr>
          <w:rFonts w:ascii="Arial" w:cs="Arial" w:eastAsia="Arial" w:hAnsi="Arial"/>
          <w:sz w:val="18"/>
          <w:szCs w:val="18"/>
          <w:color w:val="auto"/>
        </w:rPr>
      </w:pPr>
      <w:r>
        <w:rPr>
          <w:rFonts w:ascii="Arial" w:cs="Arial" w:eastAsia="Arial" w:hAnsi="Arial"/>
          <w:sz w:val="18"/>
          <w:szCs w:val="18"/>
          <w:color w:val="auto"/>
        </w:rPr>
        <w:t>In conjunction with the classification of Vicksburg’s operations as assets held for sale at March 31, 2018 as a result of the announced sale to CDI, an impairment charge totaling $9.8 million was recorded due to the carrying value exceeding the estimated net sales proceeds. Effective July 6, 2018, the sale of Vicksburg was terminated, and Vicksburg was no longer presented as an asset held for sale as of September 30, 2018. In connection with this termination, CDI paid us a $5.0 million termination fee, which is included in operating income for the nine months ended September 30, 2018.</w:t>
      </w:r>
    </w:p>
    <w:p>
      <w:pPr>
        <w:spacing w:after="0" w:line="80" w:lineRule="exact"/>
        <w:rPr>
          <w:rFonts w:ascii="Arial" w:cs="Arial" w:eastAsia="Arial" w:hAnsi="Arial"/>
          <w:sz w:val="18"/>
          <w:szCs w:val="18"/>
          <w:color w:val="auto"/>
        </w:rPr>
      </w:pPr>
    </w:p>
    <w:p>
      <w:pPr>
        <w:ind w:left="1120" w:right="260"/>
        <w:spacing w:after="0" w:line="264" w:lineRule="auto"/>
        <w:rPr>
          <w:rFonts w:ascii="Arial" w:cs="Arial" w:eastAsia="Arial" w:hAnsi="Arial"/>
          <w:sz w:val="18"/>
          <w:szCs w:val="18"/>
          <w:color w:val="auto"/>
        </w:rPr>
      </w:pPr>
      <w:r>
        <w:rPr>
          <w:rFonts w:ascii="Arial" w:cs="Arial" w:eastAsia="Arial" w:hAnsi="Arial"/>
          <w:sz w:val="18"/>
          <w:szCs w:val="18"/>
          <w:color w:val="auto"/>
        </w:rPr>
        <w:t>On August 10, 2018, we entered into an agreement to sell our rights and obligations to operate Nemacolin. Due to the carrying value of the property and equipment being sold exceeding the estimated net sales proceeds, we also recorded an impairment charge for three and nine months ended September 30, 2018 totaling $3.8 million related to Nemacolin.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42" w:name="page43"/>
    <w:bookmarkEnd w:id="42"/>
    <w:p>
      <w:pPr>
        <w:jc w:val="both"/>
        <w:ind w:left="1120" w:right="40" w:hanging="558"/>
        <w:spacing w:after="0" w:line="264"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On December 22, 2017, the U.S. government enacted comprehensive tax legislation commonly referred to as the Tax Cuts and</w:t>
      </w:r>
      <w:r>
        <w:rPr>
          <w:rFonts w:ascii="Arial" w:cs="Arial" w:eastAsia="Arial" w:hAnsi="Arial"/>
          <w:sz w:val="18"/>
          <w:szCs w:val="18"/>
          <w:i w:val="1"/>
          <w:iCs w:val="1"/>
          <w:color w:val="auto"/>
        </w:rPr>
        <w:t xml:space="preserve"> </w:t>
      </w:r>
      <w:r>
        <w:rPr>
          <w:rFonts w:ascii="Arial" w:cs="Arial" w:eastAsia="Arial" w:hAnsi="Arial"/>
          <w:sz w:val="18"/>
          <w:szCs w:val="18"/>
          <w:color w:val="auto"/>
        </w:rPr>
        <w:t>Jobs Act (the “Tax Act”). The Tax Act makes broad and complex changes to the U.S. tax code, including, but not limited to, reducing the U.S. federal corporate tax rate from 35% to 21% and has a positive impact on net income.</w:t>
      </w:r>
    </w:p>
    <w:p>
      <w:pPr>
        <w:spacing w:after="0" w:line="73" w:lineRule="exact"/>
        <w:rPr>
          <w:rFonts w:ascii="Arial" w:cs="Arial" w:eastAsia="Arial" w:hAnsi="Arial"/>
          <w:sz w:val="18"/>
          <w:szCs w:val="18"/>
          <w:color w:val="auto"/>
        </w:rPr>
      </w:pPr>
    </w:p>
    <w:p>
      <w:pPr>
        <w:ind w:left="1120" w:right="20" w:hanging="558"/>
        <w:spacing w:after="0" w:line="276"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Severe Weather </w:t>
      </w:r>
      <w:r>
        <w:rPr>
          <w:rFonts w:ascii="Arial" w:cs="Arial" w:eastAsia="Arial" w:hAnsi="Arial"/>
          <w:sz w:val="17"/>
          <w:szCs w:val="17"/>
          <w:color w:val="auto"/>
        </w:rPr>
        <w:t>– Our West segment’s operations are subject to seasonal variation, with our lowest business volume generally occurring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winter months. The northern Nevada region experienced record snowfall and severe weather conditions, including major snow storms during eleven of the fourteen weekends in the 2017 first quarter, making travel to Reno from northern California, our main feeder market, difficult or impossible due to road closures. As a result, there was a significant adverse effect on business levels, especially hotel occupancy and gaming volume, and our operating performance during the nine months ended September 30, 2017.</w:t>
      </w:r>
    </w:p>
    <w:p>
      <w:pPr>
        <w:spacing w:after="0" w:line="64" w:lineRule="exact"/>
        <w:rPr>
          <w:rFonts w:ascii="Arial" w:cs="Arial" w:eastAsia="Arial" w:hAnsi="Arial"/>
          <w:sz w:val="17"/>
          <w:szCs w:val="17"/>
          <w:color w:val="auto"/>
        </w:rPr>
      </w:pPr>
    </w:p>
    <w:p>
      <w:pPr>
        <w:ind w:left="1120" w:right="680"/>
        <w:spacing w:after="0" w:line="277" w:lineRule="auto"/>
        <w:rPr>
          <w:rFonts w:ascii="Arial" w:cs="Arial" w:eastAsia="Arial" w:hAnsi="Arial"/>
          <w:sz w:val="17"/>
          <w:szCs w:val="17"/>
          <w:color w:val="auto"/>
        </w:rPr>
      </w:pPr>
      <w:r>
        <w:rPr>
          <w:rFonts w:ascii="Arial" w:cs="Arial" w:eastAsia="Arial" w:hAnsi="Arial"/>
          <w:sz w:val="18"/>
          <w:szCs w:val="18"/>
          <w:color w:val="auto"/>
        </w:rPr>
        <w:t>Additionally, our operations were impacted system wide by challenging weather in January and February of 2018 as well as our Reno operations in March of 2018.</w:t>
      </w:r>
    </w:p>
    <w:p>
      <w:pPr>
        <w:spacing w:after="0" w:line="62" w:lineRule="exact"/>
        <w:rPr>
          <w:rFonts w:ascii="Arial" w:cs="Arial" w:eastAsia="Arial" w:hAnsi="Arial"/>
          <w:sz w:val="17"/>
          <w:szCs w:val="17"/>
          <w:color w:val="auto"/>
        </w:rPr>
      </w:pPr>
    </w:p>
    <w:p>
      <w:pPr>
        <w:ind w:left="1120" w:right="40" w:hanging="558"/>
        <w:spacing w:after="0" w:line="25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Execution of Cost Savings Program </w:t>
      </w:r>
      <w:r>
        <w:rPr>
          <w:rFonts w:ascii="Arial" w:cs="Arial" w:eastAsia="Arial" w:hAnsi="Arial"/>
          <w:sz w:val="18"/>
          <w:szCs w:val="18"/>
          <w:color w:val="auto"/>
        </w:rPr>
        <w:t>– We continue to achieve margin growth in 2018 through exercising financial discipline throughout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impacting the guest experience. In addition to cost savings relating to duplicative executive compensation, legal and accounting fees and other corporate expenses that have been eliminated as a result of our acquisitions, we have achieved savings in marketing and promotion, advertising, food and beverage and labor expense management as a result of operating efficiencies and purchasing power of the combined Eldorado organization.</w:t>
      </w:r>
    </w:p>
    <w:p>
      <w:pPr>
        <w:spacing w:after="0" w:line="80" w:lineRule="exact"/>
        <w:rPr>
          <w:rFonts w:ascii="Arial" w:cs="Arial" w:eastAsia="Arial" w:hAnsi="Arial"/>
          <w:sz w:val="18"/>
          <w:szCs w:val="18"/>
          <w:color w:val="auto"/>
        </w:rPr>
      </w:pPr>
    </w:p>
    <w:p>
      <w:pPr>
        <w:ind w:left="1120" w:hanging="558"/>
        <w:spacing w:after="0" w:line="272"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Property Enhancement Capital Expenditures </w:t>
      </w:r>
      <w:r>
        <w:rPr>
          <w:rFonts w:ascii="Arial" w:cs="Arial" w:eastAsia="Arial" w:hAnsi="Arial"/>
          <w:sz w:val="17"/>
          <w:szCs w:val="17"/>
          <w:color w:val="auto"/>
        </w:rPr>
        <w:t>– Property enhancement initiatives and targeted investments that improve our guests’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experiences and elevate our properties’ overall competitiveness in their markets continued throughout 2017 and 2018. As part of the continuing evolution of the Reno tri-properties, we are built a new 21,000 square foot spa at Silver Legacy which opened in early October 2018. We have substantially renovated every room at Circus Reno and will start the first phase of 400 rooms at Silver Legacy and 42 high-end suites at Eldorado after the busy summer season. In Black Hawk we expect to renovate all 402 hotel rooms this winter. In addition, recently we announced a joint venture with the Cordish Companies for the development of a new world-class, mixed-use entertainment and hospitality destination anchored by our Isle Casino Racing Pompano Park.</w:t>
      </w:r>
    </w:p>
    <w:p>
      <w:pPr>
        <w:spacing w:after="0" w:line="178"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A 118-room Hampton Inn Hotel at Scioto Downs developed by a third party opened in March 2017 and since opening has driven visitation and spend at the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25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487,253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472,878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4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1,384,247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1,050,897</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Operating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91,769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81,492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8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223,377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65,053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243.4</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84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(15,558)</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For the three and nine months ended September 30, 2018 compared to the same prior year period, Elgin contributed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revenues totaling $23.9 million. For the nine months ended September 30, 2018 compared to the same prior year period, Isle contributed $307.7 million of incremental net revenues from January 1, 2018 through April 30, 2018 (the comparative period preceding our acquisition of Isle on May 1, 2017). Including incremental Elgin and Isle net revenues, net revenues increased 3.0% and 31.7%, respectively, for the three and nine months ended September 30, 2018 compared to the same prior year periods. Incremental Elgin and Isle net revenues in both periods consisted primarily of gaming revenues. Excluding incremental Elgin and Isle net revenues, net revenues decreased 2.0% and remained flat, respectively, for the three and nine months ended September 30, 2018 compared to the same prior year periods.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ind w:right="140" w:firstLine="555"/>
        <w:spacing w:after="0" w:line="312" w:lineRule="auto"/>
        <w:rPr>
          <w:sz w:val="20"/>
          <w:szCs w:val="20"/>
          <w:color w:val="auto"/>
        </w:rPr>
      </w:pPr>
      <w:r>
        <w:rPr>
          <w:rFonts w:ascii="Arial" w:cs="Arial" w:eastAsia="Arial" w:hAnsi="Arial"/>
          <w:sz w:val="16"/>
          <w:szCs w:val="16"/>
          <w:color w:val="auto"/>
        </w:rPr>
        <w:t>Operating income increased $10.3 million and $158.3, respectively, for the three and nine months ended September 30, 2018 compared to the same prior year periods. In addition to the incremental operating income contributed by the acquired Isle properties and Elgin, these increases over prior year were mainly due to the significant amount of Isle transaction expenses incurred during the three and nine months ended September 30, 2017.</w:t>
      </w:r>
    </w:p>
    <w:p>
      <w:pPr>
        <w:spacing w:after="0" w:line="147" w:lineRule="exact"/>
        <w:rPr>
          <w:sz w:val="20"/>
          <w:szCs w:val="20"/>
          <w:color w:val="auto"/>
        </w:rPr>
      </w:pPr>
    </w:p>
    <w:p>
      <w:pPr>
        <w:ind w:right="180" w:firstLine="555"/>
        <w:spacing w:after="0" w:line="302" w:lineRule="auto"/>
        <w:rPr>
          <w:sz w:val="20"/>
          <w:szCs w:val="20"/>
          <w:color w:val="auto"/>
        </w:rPr>
      </w:pPr>
      <w:r>
        <w:rPr>
          <w:rFonts w:ascii="Arial" w:cs="Arial" w:eastAsia="Arial" w:hAnsi="Arial"/>
          <w:sz w:val="16"/>
          <w:szCs w:val="16"/>
          <w:color w:val="auto"/>
        </w:rPr>
        <w:t>Net income increased $8.0 million and $110.9 million for the three and nine months ended September 30, 2018, respectively, compared to the same prior year periods. These increases were due to the same factors impacting operating income combined with the loss on the early retirement of debt for the three and nine months ended September 30, 2017 associated with our refinancing completed in May of 2017. These increases were partially offset by higher interest expense during the 2018 periods resulting from increased debt following our acquisition of Isle along with increases in our tax provision.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highlight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Net Revenues for the Three Months Ended</w:t>
            </w:r>
          </w:p>
        </w:tc>
        <w:tc>
          <w:tcPr>
            <w:tcW w:w="220" w:type="dxa"/>
            <w:vAlign w:val="bottom"/>
          </w:tcPr>
          <w:p>
            <w:pPr>
              <w:spacing w:after="0"/>
              <w:rPr>
                <w:sz w:val="14"/>
                <w:szCs w:val="14"/>
                <w:color w:val="auto"/>
              </w:rPr>
            </w:pPr>
          </w:p>
        </w:tc>
        <w:tc>
          <w:tcPr>
            <w:tcW w:w="28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Operating Income (Loss) for the</w:t>
            </w: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left="695"/>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20" w:type="dxa"/>
            <w:vAlign w:val="bottom"/>
          </w:tcPr>
          <w:p>
            <w:pPr>
              <w:spacing w:after="0"/>
              <w:rPr>
                <w:sz w:val="14"/>
                <w:szCs w:val="14"/>
                <w:color w:val="auto"/>
              </w:rPr>
            </w:pPr>
          </w:p>
        </w:tc>
      </w:tr>
      <w:tr>
        <w:trPr>
          <w:trHeight w:val="156"/>
        </w:trPr>
        <w:tc>
          <w:tcPr>
            <w:tcW w:w="5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Midwest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99,834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106,569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East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127,722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126,796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Central</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(9,443)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(10,326)</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3"/>
        </w:trPr>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Net Revenues for the Nine Months Ended</w:t>
            </w:r>
          </w:p>
        </w:tc>
        <w:tc>
          <w:tcPr>
            <w:tcW w:w="220" w:type="dxa"/>
            <w:vAlign w:val="bottom"/>
          </w:tcPr>
          <w:p>
            <w:pPr>
              <w:spacing w:after="0"/>
              <w:rPr>
                <w:sz w:val="24"/>
                <w:szCs w:val="24"/>
                <w:color w:val="auto"/>
              </w:rPr>
            </w:pPr>
          </w:p>
        </w:tc>
        <w:tc>
          <w:tcPr>
            <w:tcW w:w="28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Operating Income (Loss) for the</w:t>
            </w:r>
          </w:p>
        </w:tc>
        <w:tc>
          <w:tcPr>
            <w:tcW w:w="20" w:type="dxa"/>
            <w:vAlign w:val="bottom"/>
          </w:tcPr>
          <w:p>
            <w:pPr>
              <w:spacing w:after="0"/>
              <w:rPr>
                <w:sz w:val="24"/>
                <w:szCs w:val="24"/>
                <w:color w:val="auto"/>
              </w:rPr>
            </w:pPr>
          </w:p>
        </w:tc>
      </w:tr>
      <w:tr>
        <w:trPr>
          <w:trHeight w:val="17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left="695"/>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Nine Months Ended September 30,</w:t>
            </w:r>
          </w:p>
        </w:tc>
        <w:tc>
          <w:tcPr>
            <w:tcW w:w="20" w:type="dxa"/>
            <w:vAlign w:val="bottom"/>
          </w:tcPr>
          <w:p>
            <w:pPr>
              <w:spacing w:after="0"/>
              <w:rPr>
                <w:sz w:val="14"/>
                <w:szCs w:val="14"/>
                <w:color w:val="auto"/>
              </w:rPr>
            </w:pPr>
          </w:p>
        </w:tc>
      </w:tr>
      <w:tr>
        <w:trPr>
          <w:trHeight w:val="156"/>
        </w:trPr>
        <w:tc>
          <w:tcPr>
            <w:tcW w:w="5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346,550</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297,564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Midwest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301,235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171,292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341,612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East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370,576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352,721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Central</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(41,377)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(111,834)</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1,384,247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1,050,897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223,377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615"/>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the Three Months Ended September 30,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Variance</w:t>
            </w:r>
          </w:p>
        </w:tc>
        <w:tc>
          <w:tcPr>
            <w:tcW w:w="11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60,912</w:t>
            </w:r>
          </w:p>
        </w:tc>
        <w:tc>
          <w:tcPr>
            <w:tcW w:w="6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(2,589)</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86,331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(3,151)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86,153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86,213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113,075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113,452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368,169</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352,648</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15,521</w:t>
            </w:r>
          </w:p>
        </w:tc>
        <w:tc>
          <w:tcPr>
            <w:tcW w:w="2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(2,643)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20,416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 %</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119,084</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120,230</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487,253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21,605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(1,709)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(1,794)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41,513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70,645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180,062</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173,979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6,083</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Non-gaming</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(4,013)</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(23.3)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(2,335)</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8,744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(1,068)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68,673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(7,692)</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(10.1) %</w:t>
            </w:r>
          </w:p>
        </w:tc>
      </w:tr>
      <w:tr>
        <w:trPr>
          <w:trHeight w:val="223"/>
        </w:trPr>
        <w:tc>
          <w:tcPr>
            <w:tcW w:w="46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23,122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(12.5)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396,220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389,273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Elgin contributed $21.7 million of incremental gaming revenues and pari-mutuel commissions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2018 resulting in an increase of 4.4% compared to the same prior year period.</w:t>
      </w:r>
    </w:p>
    <w:p>
      <w:pPr>
        <w:spacing w:after="0" w:line="211"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Excluding incremental Elgin gaming revenues and pari-mutuel commissions, gaming revenues and pari-mutuel commissions decreased 1.8% for the three months ended September 30, 2018 compared to the same prior year period due to decreased revenues in all segments. This decline was primarily due to reductions in free play associated with unprofitable play.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ind w:right="100" w:firstLine="555"/>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Elgin contributed $2.2 million of incremental non-gaming revenues for the three months ended September 30, 2018. Despite</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incremental revenues, non-gaming revenues decreased 1.0% over the same prior year period.</w:t>
      </w:r>
    </w:p>
    <w:p>
      <w:pPr>
        <w:spacing w:after="0" w:line="170"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Excluding incremental Elgin non-gaming revenues, non-gaming revenues decreased 1.8% for the three months ended September 30, 2018 compared to the same prior year period. Decreased non-gaming revenues in the West, Midwest, and South resulting from reductions in promotional offers were partially offset by increased non-gaming revenues in the East.</w:t>
      </w:r>
    </w:p>
    <w:p>
      <w:pPr>
        <w:spacing w:after="0" w:line="181"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Elgin contributed $10.6 million of incremental gaming expenses and pari-mutuel commissions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2018 resulting in an increase of 3.5% in gaming expenses and pari-mutuel commissions over the same prior year period.</w:t>
      </w:r>
    </w:p>
    <w:p>
      <w:pPr>
        <w:spacing w:after="0" w:line="181"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Excluding incremental Elgin gaming expenses and pari-mutuel commissions, gaming expenses and pari-mutuel commissions decreased 2.6% for the three months ended September 30, 2018 compared to the same prior year period. Gaming expenses declined in comparison to the same prior year period due to savings initiatives targeted at reducing variable expenses. Successful efforts to control costs and maximize departmental profit across all segments also drove the improved departmental profit margin during the three months ended September 30, 2018 compared to the same prior year period.</w:t>
      </w:r>
    </w:p>
    <w:p>
      <w:pPr>
        <w:spacing w:after="0" w:line="154"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Elgin contributed $2.0 million of incremental non-gaming expenses for the three months ended September 30, 2018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in a decrease of 10.1% over the same prior year period.</w:t>
      </w:r>
    </w:p>
    <w:p>
      <w:pPr>
        <w:spacing w:after="0" w:line="170"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Excluding incremental Elgin non-gaming expenses, non-gaming expenses decreased 12.7% for the three months ended September 30, 2018 compared to the same prior year period. Decreased non-gaming expenses in all segments were associated with decreased non-gaming revenues along with continued efforts to reduce variable expenses including labor and cost of sales.</w:t>
      </w:r>
    </w:p>
    <w:p>
      <w:pPr>
        <w:spacing w:after="0" w:line="181"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Elgin contributed $1.3 million of incremental marketing and promotions expense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Despite the increase resulting from incremental costs associated with the addition of Elgin, marketing and promotions expenses decreased 12.5% over the same prior year period.</w:t>
      </w:r>
    </w:p>
    <w:p>
      <w:pPr>
        <w:spacing w:after="0" w:line="181" w:lineRule="exact"/>
        <w:rPr>
          <w:sz w:val="20"/>
          <w:szCs w:val="20"/>
          <w:color w:val="auto"/>
        </w:rPr>
      </w:pPr>
    </w:p>
    <w:p>
      <w:pPr>
        <w:ind w:right="380" w:firstLine="555"/>
        <w:spacing w:after="0" w:line="264" w:lineRule="auto"/>
        <w:rPr>
          <w:sz w:val="20"/>
          <w:szCs w:val="20"/>
          <w:color w:val="auto"/>
        </w:rPr>
      </w:pPr>
      <w:r>
        <w:rPr>
          <w:rFonts w:ascii="Arial" w:cs="Arial" w:eastAsia="Arial" w:hAnsi="Arial"/>
          <w:sz w:val="18"/>
          <w:szCs w:val="18"/>
          <w:color w:val="auto"/>
        </w:rPr>
        <w:t>Excluding incremental Elgin marketing and promotions expenses, consolidated marketing and promotions expense decreased 17.3% for the three months ended September 30, 2018 compared to the same prior year period. This decline was primarily due to synergies achieved via the termination of certain marketing contracts and company-wide reductions in marketing and promotional spend.</w:t>
      </w:r>
    </w:p>
    <w:p>
      <w:pPr>
        <w:spacing w:after="0" w:line="181"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Elgin contributed $4.9 million of general and administrative expense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2018. Despite the additional general and administrative expenses associated with the acquisition of Elgin, general and administrative expense remained flat over the same prior year period.</w:t>
      </w:r>
    </w:p>
    <w:p>
      <w:pPr>
        <w:spacing w:after="0" w:line="181" w:lineRule="exact"/>
        <w:rPr>
          <w:sz w:val="20"/>
          <w:szCs w:val="20"/>
          <w:color w:val="auto"/>
        </w:rPr>
      </w:pPr>
    </w:p>
    <w:p>
      <w:pPr>
        <w:ind w:right="380" w:firstLine="555"/>
        <w:spacing w:after="0" w:line="264" w:lineRule="auto"/>
        <w:rPr>
          <w:sz w:val="20"/>
          <w:szCs w:val="20"/>
          <w:color w:val="auto"/>
        </w:rPr>
      </w:pPr>
      <w:r>
        <w:rPr>
          <w:rFonts w:ascii="Arial" w:cs="Arial" w:eastAsia="Arial" w:hAnsi="Arial"/>
          <w:sz w:val="18"/>
          <w:szCs w:val="18"/>
          <w:color w:val="auto"/>
        </w:rPr>
        <w:t>Excluding incremental Elgin general and administrative expenses, consolidated general and administrative expenses decreased 6.5% for the three months ended September 30, 2018 compared to the same prior year period mainly due to the centralization of certain corporate services provided to our properties and realized savings.</w:t>
      </w:r>
    </w:p>
    <w:p>
      <w:pPr>
        <w:spacing w:after="0" w:line="18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For the three months ended September 30, 2018 compared to the same prior year period, corporate expenses increased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payroll and other expenses associated with additional corporate costs, including stock comp expense, driven by growth related to the company’s acquisitions.</w:t>
      </w:r>
    </w:p>
    <w:p>
      <w:pPr>
        <w:spacing w:after="0" w:line="18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Based on the pending disposition, we recorded an impairment charge for the three months ended September 30, 2018 totaling</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related to our Nemacolin property.</w:t>
      </w:r>
    </w:p>
    <w:p>
      <w:pPr>
        <w:spacing w:after="0" w:line="170"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Elgin contributed $2.2 million of depreciation expense for the three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an increase of 22.8% over the same prior year period.</w:t>
      </w:r>
    </w:p>
    <w:p>
      <w:pPr>
        <w:spacing w:after="0" w:line="170" w:lineRule="exact"/>
        <w:rPr>
          <w:sz w:val="20"/>
          <w:szCs w:val="20"/>
          <w:color w:val="auto"/>
        </w:rPr>
      </w:pPr>
    </w:p>
    <w:p>
      <w:pPr>
        <w:ind w:right="360" w:firstLine="555"/>
        <w:spacing w:after="0" w:line="308" w:lineRule="auto"/>
        <w:rPr>
          <w:sz w:val="20"/>
          <w:szCs w:val="20"/>
          <w:color w:val="auto"/>
        </w:rPr>
      </w:pPr>
      <w:r>
        <w:rPr>
          <w:rFonts w:ascii="Arial" w:cs="Arial" w:eastAsia="Arial" w:hAnsi="Arial"/>
          <w:sz w:val="17"/>
          <w:szCs w:val="17"/>
          <w:color w:val="auto"/>
        </w:rPr>
        <w:t>Excluding incremental Elgin depreciation and amortization expense, depreciation and amortization expense increased 15.2% for the three months ended September 30, 2018 compared to the same prior year period mainly due asset additions primarily at our three Reno properties.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Nine Months Ended September 30, 2018 Compared to the Nine Months Ended September 30,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Variance</w:t>
            </w:r>
          </w:p>
        </w:tc>
        <w:tc>
          <w:tcPr>
            <w:tcW w:w="11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168,342</w:t>
            </w:r>
          </w:p>
        </w:tc>
        <w:tc>
          <w:tcPr>
            <w:tcW w:w="6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262,138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147,469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114,669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278,655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98,768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329,584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314,624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14,960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1,060,417</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774,543</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285,874</w:t>
            </w:r>
          </w:p>
        </w:tc>
        <w:tc>
          <w:tcPr>
            <w:tcW w:w="2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178,208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165,001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13,207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15,274</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62,957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13,890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323,830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276,354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47,476</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1,384,247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1,050,897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333,350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63,331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107,162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133,500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90,884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42,616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204,953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519,558</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398,904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120,654</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Non-gaming</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107,544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23,527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25,775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200,135</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179,605</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20,530</w:t>
            </w:r>
          </w:p>
        </w:tc>
        <w:tc>
          <w:tcPr>
            <w:tcW w:w="2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66,255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223,546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55,207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33,018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11,284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29,569</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1,155,318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896,316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259,002</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40" w:firstLine="555"/>
        <w:spacing w:after="0" w:line="342" w:lineRule="auto"/>
        <w:rPr>
          <w:sz w:val="20"/>
          <w:szCs w:val="20"/>
          <w:color w:val="auto"/>
        </w:rPr>
      </w:pPr>
      <w:r>
        <w:rPr>
          <w:rFonts w:ascii="Arial" w:cs="Arial" w:eastAsia="Arial" w:hAnsi="Arial"/>
          <w:sz w:val="16"/>
          <w:szCs w:val="16"/>
          <w:i w:val="1"/>
          <w:iCs w:val="1"/>
          <w:color w:val="auto"/>
        </w:rPr>
        <w:t xml:space="preserve">Gaming Revenues and Pari-Mutuel Commissions. </w:t>
      </w:r>
      <w:r>
        <w:rPr>
          <w:rFonts w:ascii="Arial" w:cs="Arial" w:eastAsia="Arial" w:hAnsi="Arial"/>
          <w:sz w:val="16"/>
          <w:szCs w:val="16"/>
          <w:color w:val="auto"/>
        </w:rPr>
        <w:t>Isle contributed $262.8 million and Elgin contributed $21.7 million of incremental gaming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and pari-mutuel commissions for the nine months ended September 30, 2018 resulting in an increase 36.9% compared to the same prior year period.</w:t>
      </w:r>
    </w:p>
    <w:p>
      <w:pPr>
        <w:spacing w:after="0" w:line="164"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Excluding incremental Isle and Elgin gaming revenues and pari-mutuel commissions, gaming revenues and pari-mutuel commissions remained flat for the nine months ended September 30, 2018 compared to the same prior year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right="280" w:firstLine="555"/>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Isle contributed $44.9 million and Elgin contributed $2.2 million of incremental non-gaming revenues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resulting in an increase of 17.2% in non-gaming revenues compared to the same prior year period.</w:t>
      </w:r>
    </w:p>
    <w:p>
      <w:pPr>
        <w:spacing w:after="0" w:line="170"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Excluding incremental Isle non-gaming revenues, non-gaming revenues remained flat for the nine months ended September 30, 2018 compared to the same prior year period.</w:t>
      </w:r>
    </w:p>
    <w:p>
      <w:pPr>
        <w:spacing w:after="0" w:line="170"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Isle contributed $116.1 million and Elgin contributed $10.6 million of incremental gaming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pari-mutuel commissions for the nine months ended September 30, 2018 resulting in an increase of 30.2% in gaming expenses and pari-mutuel commissions over the same prior year period.</w:t>
      </w:r>
    </w:p>
    <w:p>
      <w:pPr>
        <w:spacing w:after="0" w:line="181"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Excluding incremental Isle and Elgin gaming expenses and pari-mutuel commissions, gaming expenses and pari-mutuel commissions decreased 1.5% for the nine months ended September 30, 2018 compared to the same prior year period despite gaming revenues remaining flat due to savings initiatives targeted at reducing variable expenses along with continued synergies. Additionally, successful efforts to control costs and maximize departmental profit across all segments also drove the improved departmental profit margin during the three months ended September 30, 2018 compared to the same prior year period.</w:t>
      </w:r>
    </w:p>
    <w:p>
      <w:pPr>
        <w:spacing w:after="0" w:line="154"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Isle contributed $30.5 million and Elgin contributed $2.0 million of incremental non-gaming expenses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resulting in an increase of 11.4% compared to the same prior year period.</w:t>
      </w:r>
    </w:p>
    <w:p>
      <w:pPr>
        <w:spacing w:after="0" w:line="170" w:lineRule="exact"/>
        <w:rPr>
          <w:sz w:val="20"/>
          <w:szCs w:val="20"/>
          <w:color w:val="auto"/>
        </w:rPr>
      </w:pPr>
    </w:p>
    <w:p>
      <w:pPr>
        <w:jc w:val="both"/>
        <w:ind w:right="260" w:firstLine="555"/>
        <w:spacing w:after="0" w:line="264" w:lineRule="auto"/>
        <w:rPr>
          <w:sz w:val="20"/>
          <w:szCs w:val="20"/>
          <w:color w:val="auto"/>
        </w:rPr>
      </w:pPr>
      <w:r>
        <w:rPr>
          <w:rFonts w:ascii="Arial" w:cs="Arial" w:eastAsia="Arial" w:hAnsi="Arial"/>
          <w:sz w:val="18"/>
          <w:szCs w:val="18"/>
          <w:color w:val="auto"/>
        </w:rPr>
        <w:t>Excluding incremental Isle and Elgin non-gaming expenses, non-gaming expenses decreased 6.7% for the nine months ended September 30, 2018 compared to the same prior year period across all segments. Despite non-gaming revenues remaining flat, decreases in non-gaming expenses were realized due to cost saving initiatives in food and beverage cost of sales, labor and other variable expenses.</w:t>
      </w:r>
    </w:p>
    <w:p>
      <w:pPr>
        <w:spacing w:after="0" w:line="181" w:lineRule="exact"/>
        <w:rPr>
          <w:sz w:val="20"/>
          <w:szCs w:val="20"/>
          <w:color w:val="auto"/>
        </w:rPr>
      </w:pPr>
    </w:p>
    <w:p>
      <w:pPr>
        <w:ind w:right="360" w:firstLine="555"/>
        <w:spacing w:after="0" w:line="308" w:lineRule="auto"/>
        <w:rPr>
          <w:sz w:val="20"/>
          <w:szCs w:val="20"/>
          <w:color w:val="auto"/>
        </w:rPr>
      </w:pPr>
      <w:r>
        <w:rPr>
          <w:rFonts w:ascii="Arial" w:cs="Arial" w:eastAsia="Arial" w:hAnsi="Arial"/>
          <w:sz w:val="17"/>
          <w:szCs w:val="17"/>
          <w:i w:val="1"/>
          <w:iCs w:val="1"/>
          <w:color w:val="auto"/>
        </w:rPr>
        <w:t>Marketing and Promotions Expenses</w:t>
      </w:r>
      <w:r>
        <w:rPr>
          <w:rFonts w:ascii="Arial" w:cs="Arial" w:eastAsia="Arial" w:hAnsi="Arial"/>
          <w:sz w:val="17"/>
          <w:szCs w:val="17"/>
          <w:color w:val="auto"/>
        </w:rPr>
        <w:t>. Isle contributed $14.7 million and Elgin contributed $1.3 million of incremental marketing and promotions</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the nine months ended September 30, 2018 resulting in an increase of 14.0% compared to the same prior year period.</w:t>
      </w:r>
    </w:p>
    <w:p>
      <w:pPr>
        <w:spacing w:after="0" w:line="147"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Excluding incremental Isle and Elgin marketing and promotions expenses, consolidated marketing and promotions expense decreased 13.5% for the nine months ended September 30, 2018 compared to the same prior year period due to strategic changes to eliminate unprofitable promotional events and decrease advertising spend.</w:t>
      </w:r>
    </w:p>
    <w:p>
      <w:pPr>
        <w:spacing w:after="0" w:line="181" w:lineRule="exact"/>
        <w:rPr>
          <w:sz w:val="20"/>
          <w:szCs w:val="20"/>
          <w:color w:val="auto"/>
        </w:rPr>
      </w:pPr>
    </w:p>
    <w:p>
      <w:pPr>
        <w:ind w:right="220" w:firstLine="555"/>
        <w:spacing w:after="0" w:line="308"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Isle contributed $55.1 million and Elgin contributed $4.9 of incremental general and administrative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nine months ended September 30, 2018 resulting in an increase of 32.8% compared to the same prior year period.</w:t>
      </w:r>
    </w:p>
    <w:p>
      <w:pPr>
        <w:spacing w:after="0" w:line="147"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Excluding incremental Isle and Elgin general and administrative expenses, consolidated general and administrative expenses decreased 2.8% for the nine months ended September 30, 2018 compared to the same prior year period mainly due to the centralization of certain corporate services provided to our properties and realized savings.</w:t>
      </w:r>
    </w:p>
    <w:p>
      <w:pPr>
        <w:spacing w:after="0" w:line="181" w:lineRule="exact"/>
        <w:rPr>
          <w:sz w:val="20"/>
          <w:szCs w:val="20"/>
          <w:color w:val="auto"/>
        </w:rPr>
      </w:pPr>
    </w:p>
    <w:p>
      <w:pPr>
        <w:ind w:right="80" w:firstLine="555"/>
        <w:spacing w:after="0" w:line="342" w:lineRule="auto"/>
        <w:rPr>
          <w:sz w:val="20"/>
          <w:szCs w:val="20"/>
          <w:color w:val="auto"/>
        </w:rPr>
      </w:pPr>
      <w:r>
        <w:rPr>
          <w:rFonts w:ascii="Arial" w:cs="Arial" w:eastAsia="Arial" w:hAnsi="Arial"/>
          <w:sz w:val="16"/>
          <w:szCs w:val="16"/>
          <w:i w:val="1"/>
          <w:iCs w:val="1"/>
          <w:color w:val="auto"/>
        </w:rPr>
        <w:t>Corporate Expenses</w:t>
      </w:r>
      <w:r>
        <w:rPr>
          <w:rFonts w:ascii="Arial" w:cs="Arial" w:eastAsia="Arial" w:hAnsi="Arial"/>
          <w:sz w:val="16"/>
          <w:szCs w:val="16"/>
          <w:color w:val="auto"/>
        </w:rPr>
        <w:t>. For the nine months ended September 30, 2018 compared to the same prior year period, corporate expenses increased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payroll and other expenses associated with additional corporate costs, including stock comp expense, driven by growth related to our acquisitions.</w:t>
      </w:r>
    </w:p>
    <w:p>
      <w:pPr>
        <w:spacing w:after="0" w:line="124"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Based on the pending disposition, we recorded an impairment charge for the nine months ended September 30, 2018 totaling</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related to our Nemacolin property. Additionally, we recorded an impairment charge for the nine months ended September 30, 2018 totaling $9.8 million related to the sale of our Vicksburg property due to the carrying value of the net assets being sold exceeding the estimated net sales proceeds. The sale of Vicksburg was terminated effective July 6,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right="60" w:firstLine="555"/>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Isle contributed $23.3 million and Elgin contributed $2.2 of depreciation expense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resulting in an increase of 42.5% compared to the same prior year period.</w:t>
      </w:r>
    </w:p>
    <w:p>
      <w:pPr>
        <w:spacing w:after="0" w:line="170" w:lineRule="exact"/>
        <w:rPr>
          <w:sz w:val="20"/>
          <w:szCs w:val="20"/>
          <w:color w:val="auto"/>
        </w:rPr>
      </w:pPr>
    </w:p>
    <w:p>
      <w:pPr>
        <w:ind w:right="160" w:firstLine="555"/>
        <w:spacing w:after="0" w:line="308" w:lineRule="auto"/>
        <w:rPr>
          <w:sz w:val="20"/>
          <w:szCs w:val="20"/>
          <w:color w:val="auto"/>
        </w:rPr>
      </w:pPr>
      <w:r>
        <w:rPr>
          <w:rFonts w:ascii="Arial" w:cs="Arial" w:eastAsia="Arial" w:hAnsi="Arial"/>
          <w:sz w:val="17"/>
          <w:szCs w:val="17"/>
          <w:color w:val="auto"/>
        </w:rPr>
        <w:t>Excluding incremental Isle depreciation and amortization expense, depreciation and amortization expense increased 5.8% for the nine months ended September 30, 2018 compared to the same prior year period mainly due asset additions primarily at our three Reno properties.</w:t>
      </w:r>
    </w:p>
    <w:p>
      <w:pPr>
        <w:spacing w:after="0" w:line="25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and Nine Months Ended September 30, 2018 and 2017</w:t>
      </w:r>
    </w:p>
    <w:p>
      <w:pPr>
        <w:spacing w:after="0" w:line="58"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the Company’s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operating income (loss) before depreciation and amortization, stock-based compensation, transaction expenses, severance expense, costs associated with the Presque Isle Downs, Vicksburg, Lake Charles and Nemacolin sales, income related to the termination of the Vicksburg sale, impairment charges, equity in income (loss) of unconsolidated affiliates, (gain) loss on the sale or disposal of property and equipment, and other non-cash regulatory gaming assessments. Adjusted EBITDA is not a measure of performance or liquidity calculated in accordance 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440" w:firstLine="555"/>
        <w:spacing w:after="0" w:line="308" w:lineRule="auto"/>
        <w:rPr>
          <w:sz w:val="20"/>
          <w:szCs w:val="20"/>
          <w:color w:val="auto"/>
        </w:rPr>
      </w:pPr>
      <w:r>
        <w:rPr>
          <w:rFonts w:ascii="Arial" w:cs="Arial" w:eastAsia="Arial" w:hAnsi="Arial"/>
          <w:sz w:val="17"/>
          <w:szCs w:val="17"/>
          <w:color w:val="auto"/>
        </w:rPr>
        <w:t>The following table summarizes our Adjusted EBITDA for our operating segments for the three and nine months ended September 30, 2018 and 2017, in addition to reconciling Adjusted EBITDA to operating income (loss) in accordance with US GAAP (unaudited,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(7)</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31,894</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9,475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(9,443)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(4,992)</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Excluding Pre-Acquisition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91,769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35,760</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2,494</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4,091</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134,090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Pre-Acquisition (1):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Pre-Acquisition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727</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Including Pre-Acquisition: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31,894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26,637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(9,443)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(4,992)</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Including Pre-Acquisition (2)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94,839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36,487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2,494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4,091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138,042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jc w:val="center"/>
              <w:ind w:left="680"/>
              <w:spacing w:after="0"/>
              <w:rPr>
                <w:sz w:val="20"/>
                <w:szCs w:val="20"/>
                <w:color w:val="auto"/>
              </w:rPr>
            </w:pPr>
            <w:r>
              <w:rPr>
                <w:rFonts w:ascii="Arial" w:cs="Arial" w:eastAsia="Arial" w:hAnsi="Arial"/>
                <w:sz w:val="14"/>
                <w:szCs w:val="14"/>
                <w:b w:val="1"/>
                <w:bCs w:val="1"/>
                <w:color w:val="auto"/>
                <w:w w:val="93"/>
              </w:rPr>
              <w:t>Three Months Ended September 30, 2017 (8)</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(7)</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32,657</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7,653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(10,326)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(6,338)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Excluding Pre-Acquisition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81,492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29,122</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1,392</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2,094</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1,124</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115,224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Pre-Acquisition (3):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Pre-Acquisition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5,588</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1,742</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7,330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Including Pre-Acquisition: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32,657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(10,326)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(6,338)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Including Pre-Acquisition (4)</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87,080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30,864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1,392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2,094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1,124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122,554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2"/>
              </w:rPr>
              <w:t>Nine Months Ended September 30, 2018</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(7)</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63,898</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27,046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704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24,654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(41,377)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(3,710)</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(21,824)</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Excluding Pre-Acquisition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223,377</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99,204</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9,645</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10,043</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13,381</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355,650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Pre-Acquisition (1):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Pre-Acquisition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18,448</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4,420</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23,403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Including Pre-Acquisition: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63,898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27,046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80,725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(41,377)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(3,710)</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(21,824)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Including Pre-Acquisition (2)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241,825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103,624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9,645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10,043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13,916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379,053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jc w:val="center"/>
              <w:ind w:left="800"/>
              <w:spacing w:after="0"/>
              <w:rPr>
                <w:sz w:val="20"/>
                <w:szCs w:val="20"/>
                <w:color w:val="auto"/>
              </w:rPr>
            </w:pPr>
            <w:r>
              <w:rPr>
                <w:rFonts w:ascii="Arial" w:cs="Arial" w:eastAsia="Arial" w:hAnsi="Arial"/>
                <w:sz w:val="14"/>
                <w:szCs w:val="14"/>
                <w:b w:val="1"/>
                <w:bCs w:val="1"/>
                <w:color w:val="auto"/>
                <w:w w:val="93"/>
              </w:rPr>
              <w:t>Nine Months Ended September 30, 2017 (8)</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(7)</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50,590</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18,867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(111,834)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(17,016)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Excluding Pre-Acquisition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65,053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69,635</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4,454</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89,172</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2,991</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231,305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Pre-Acquisition (5):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34,819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Pre-Acquisition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80,596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27,955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1,725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111,311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Including Pre-Acquisition:</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60,115</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22,561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(120,645)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(23,012)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20" w:type="dxa"/>
            <w:vAlign w:val="bottom"/>
          </w:tcPr>
          <w:p>
            <w:pPr>
              <w:ind w:left="120"/>
              <w:spacing w:after="0"/>
              <w:rPr>
                <w:sz w:val="20"/>
                <w:szCs w:val="20"/>
                <w:color w:val="auto"/>
              </w:rPr>
            </w:pPr>
            <w:r>
              <w:rPr>
                <w:rFonts w:ascii="Arial" w:cs="Arial" w:eastAsia="Arial" w:hAnsi="Arial"/>
                <w:sz w:val="16"/>
                <w:szCs w:val="16"/>
                <w:b w:val="1"/>
                <w:bCs w:val="1"/>
                <w:color w:val="auto"/>
              </w:rPr>
              <w:t>Total Including Pre-Acquisition (4)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145,649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97,590</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6,179</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89,458</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3,740</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342,616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60" w:right="120" w:hanging="552"/>
        <w:spacing w:after="0" w:line="286" w:lineRule="auto"/>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Figures are for Elgin for the period beginning July 1, 2018 and ending August 6, 2018 for the three months ended September 30, 2018 and the period beginning January 1, 2018 and ending August 6, 2018 for the nine months ended September 30, 2018. The figures for Elgin for the period beginning July 1, 2018 and ending August 6, 2018 are unaudited and have not been reviewed by the Company’s auditors.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51" w:name="page52"/>
    <w:bookmarkEnd w:id="51"/>
    <w:p>
      <w:pPr>
        <w:ind w:left="560" w:right="200" w:hanging="552"/>
        <w:spacing w:after="0" w:line="25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figures for 2018 include combined results of operations for Elgin and the Company for periods preceding the date that the Company acquired Elgin. Such presentation does not conform with GAAP or the Securities and Exchange Commission rules for proforma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188" w:lineRule="exact"/>
        <w:rPr>
          <w:rFonts w:ascii="Arial" w:cs="Arial" w:eastAsia="Arial" w:hAnsi="Arial"/>
          <w:sz w:val="18"/>
          <w:szCs w:val="18"/>
          <w:color w:val="auto"/>
        </w:rPr>
      </w:pPr>
    </w:p>
    <w:p>
      <w:pPr>
        <w:ind w:left="560" w:right="160" w:hanging="552"/>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Figures are for Elgin for the three months ended September 30, 2017. Such figures are based on the unaudited internal financial statements and have not been reviewed by the Company’s auditors.</w:t>
      </w:r>
    </w:p>
    <w:p>
      <w:pPr>
        <w:spacing w:after="0" w:line="170" w:lineRule="exact"/>
        <w:rPr>
          <w:rFonts w:ascii="Arial" w:cs="Arial" w:eastAsia="Arial" w:hAnsi="Arial"/>
          <w:sz w:val="18"/>
          <w:szCs w:val="18"/>
          <w:color w:val="auto"/>
        </w:rPr>
      </w:pPr>
    </w:p>
    <w:p>
      <w:pPr>
        <w:ind w:left="560" w:right="40" w:hanging="552"/>
        <w:spacing w:after="0" w:line="293"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figures for three months ended September 30, 2017 include combined results of operations for Elgin and the Company for periods preceding the date that the Company acquired Elgin. Total figures for the nine months ended September 30, 2017 include combined results of operations for Elgin, Isle, and the Company for periods preceding the dates that the Company acquired Elgin and Isle. Such presentation does not conform with GAAP or the Securities and Exchange Commission rules for proforma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164" w:lineRule="exact"/>
        <w:rPr>
          <w:rFonts w:ascii="Arial" w:cs="Arial" w:eastAsia="Arial" w:hAnsi="Arial"/>
          <w:sz w:val="16"/>
          <w:szCs w:val="16"/>
          <w:color w:val="auto"/>
        </w:rPr>
      </w:pPr>
    </w:p>
    <w:p>
      <w:pPr>
        <w:ind w:left="560" w:right="100" w:hanging="552"/>
        <w:spacing w:after="0" w:line="259"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Figures are for Elgin for the nine months ended September 30, 2017 and for Isle for the four months ended April 30, 2017. The Isle figures were prepared by the Company to reflect Isle’s unaudited consolidated historical operating revenues, operating income and Adjusted EBITDA for periods corresponding to the Company’s fiscal calendar. Such figures are based on the unaudited internal financial statements and have not been reviewed by the Company’s auditors and do not conform to GAAP.</w:t>
      </w:r>
    </w:p>
    <w:p>
      <w:pPr>
        <w:spacing w:after="0" w:line="186" w:lineRule="exact"/>
        <w:rPr>
          <w:rFonts w:ascii="Arial" w:cs="Arial" w:eastAsia="Arial" w:hAnsi="Arial"/>
          <w:sz w:val="18"/>
          <w:szCs w:val="18"/>
          <w:color w:val="auto"/>
        </w:rPr>
      </w:pPr>
    </w:p>
    <w:p>
      <w:pPr>
        <w:ind w:left="560" w:right="60" w:hanging="552"/>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Transaction expenses represent costs related to the acquisition of Isle for the three and nine months ended September 30, 2017 and costs related to the acquisitions of Elgin and Tropicana for the three and nine months ended September 30, 2018.</w:t>
      </w:r>
    </w:p>
    <w:p>
      <w:pPr>
        <w:spacing w:after="0" w:line="170" w:lineRule="exact"/>
        <w:rPr>
          <w:rFonts w:ascii="Arial" w:cs="Arial" w:eastAsia="Arial" w:hAnsi="Arial"/>
          <w:sz w:val="18"/>
          <w:szCs w:val="18"/>
          <w:color w:val="auto"/>
        </w:rPr>
      </w:pPr>
    </w:p>
    <w:p>
      <w:pPr>
        <w:ind w:left="560" w:right="160" w:hanging="552"/>
        <w:spacing w:after="0" w:line="297"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is comprised of severance expense, (gain) loss on the sale or disposal of property and equipment, equity in income (loss) of unconsolidated affiliate, impairment charges, income totaling $5.0 million from the terminated sale of Vicksburg and other non-cash regulatory gaming assessments for the three and nine months ended September 30, 2018 and 2017. Also included are costs associated with the sales of Presque Isle Downs and Nemacolin, the terminated sale of Vicksburg and the purchase of Elgin for the three and nine months ended September 30, 2018. Costs associated with the terminated sale of Lake Charles are also included for the three and nine months ended September 30, 2017.</w:t>
      </w:r>
    </w:p>
    <w:p>
      <w:pPr>
        <w:spacing w:after="0" w:line="158" w:lineRule="exact"/>
        <w:rPr>
          <w:rFonts w:ascii="Arial" w:cs="Arial" w:eastAsia="Arial" w:hAnsi="Arial"/>
          <w:sz w:val="16"/>
          <w:szCs w:val="16"/>
          <w:color w:val="auto"/>
        </w:rPr>
      </w:pPr>
    </w:p>
    <w:p>
      <w:pPr>
        <w:jc w:val="both"/>
        <w:ind w:left="560" w:hanging="552"/>
        <w:spacing w:after="0" w:line="264"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prior period presentation has been adjusted for the adoption of Accounting Standards Codification (ASC) No. 606 “Revenue from Contracts with Customers” effective January 1, 2018 utilizing the full retrospective transition method. See Note 2 to our Condensed Notes to Unaudited Consolidated Financial Statements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555"/>
        <w:spacing w:after="0" w:line="308"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the cash flow of our subsidiaries and the ability of our subsidiaries to distribute or otherwise make funds available to us.</w:t>
      </w:r>
    </w:p>
    <w:p>
      <w:pPr>
        <w:spacing w:after="0" w:line="147"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Our primary sources of liquidity and capital resources have been existing cash, cash flow from operations, borrowings under our revolving credit facility and proceeds from the issuance of debt securities.</w:t>
      </w:r>
    </w:p>
    <w:p>
      <w:pPr>
        <w:spacing w:after="0" w:line="170"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Our cash requirements can fluctuate significantly depending on our decisions with respect to business acquisitions or dispositions and strategic capital investments to maintain the quality of our properties. We expect that our primary capital requirements going forward will relate to the operation and maintenance of our properties, servicing our outstanding indebtedness and costs associated with the Elgin and Tropicana acquisitions. During the remainder of 2018, we plan to spend $60.9 million on capital expenditures and are in the process of evaluating capital expenses for the properties purchased in the recent acquisitions. We also plan to spend $37.2 million during the remainder of 2018 to pay interest on our outstanding indebtedness, including interest on additional debt incurred in conjunction with the Elgin and Tropicana acquisitions. Our capital requirements have increased significantly following the consummation of the acquisitions of Tropicana and Elgin, the related obligation to pay annual rent in an initial amount of approximately $87.6 million under the Master Lease with respect to certain of the Tropicana properties and the required payments under the Lumière Note. We also expect that our capital expenditures will increase significantly in connection with the acquisitions of Tropicana and Elgin and the related increase in the number of properties in our portfolio.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2" w:name="page53"/>
    <w:bookmarkEnd w:id="52"/>
    <w:p>
      <w:pPr>
        <w:ind w:right="20" w:firstLine="555"/>
        <w:spacing w:after="0" w:line="271" w:lineRule="auto"/>
        <w:rPr>
          <w:sz w:val="20"/>
          <w:szCs w:val="20"/>
          <w:color w:val="auto"/>
        </w:rPr>
      </w:pPr>
      <w:r>
        <w:rPr>
          <w:rFonts w:ascii="Arial" w:cs="Arial" w:eastAsia="Arial" w:hAnsi="Arial"/>
          <w:sz w:val="17"/>
          <w:szCs w:val="17"/>
          <w:color w:val="auto"/>
        </w:rPr>
        <w:t>We funded the $328.9 million of cash consideration for the Elgin Acquisition using cash from ongoing operations and borrowings under our revolving credit facility and we funded the purchase of the real estate underlying Lumière Place with the proceeds of a $246 million Lumière Note and funded the $640 million of consideration payable by the Company in the Tropicana Acquisition and the repayment of amounts outstanding under the Tropicana credit facility with cash on hand at the Company and Tropicana, borrowings under the Company’s revolving credit facility and proceeds from the Company’s offering of $600 million of 6% Senior Notes due 2026. In addition, the Company’s borrowing capacity on its revolving credit facility increased from $300 million to $500 million effective substantially concurrently with the consummation of the Tropicana Acquisition on October 1, 2018 and extended the maturity of the revolving credit facility to October 1, 2023. We expect that cash generated from operations will be sufficient to fund our operations and capital requirements, and service our outstanding indebtedness for the next twelve months.</w:t>
      </w:r>
    </w:p>
    <w:p>
      <w:pPr>
        <w:spacing w:after="0" w:line="179"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At September 30, 2018, we had consolidated cash and cash equivalents of $164.1 million, excluding restricted cash. At September 30, 2017, we had consolidated cash and cash equivalents of $134.9 million, excluding restricted cash. This increase in cash was primarily due to cash generated from operations for the nine months ended September 30, 2018. We also had $604.1 million in escrow cash related to the issuance of the 6% Senior Notes due 2026 in conjunction with the Tropicana Acquisition that closed on October 1, 2018.</w:t>
      </w:r>
    </w:p>
    <w:p>
      <w:pPr>
        <w:spacing w:after="0" w:line="187" w:lineRule="exact"/>
        <w:rPr>
          <w:sz w:val="20"/>
          <w:szCs w:val="20"/>
          <w:color w:val="auto"/>
        </w:rPr>
      </w:pPr>
    </w:p>
    <w:p>
      <w:pPr>
        <w:ind w:right="180" w:firstLine="555"/>
        <w:spacing w:after="0" w:line="302" w:lineRule="auto"/>
        <w:rPr>
          <w:sz w:val="20"/>
          <w:szCs w:val="20"/>
          <w:color w:val="auto"/>
        </w:rPr>
      </w:pPr>
      <w:r>
        <w:rPr>
          <w:rFonts w:ascii="Arial" w:cs="Arial" w:eastAsia="Arial" w:hAnsi="Arial"/>
          <w:sz w:val="16"/>
          <w:szCs w:val="16"/>
          <w:i w:val="1"/>
          <w:iCs w:val="1"/>
          <w:color w:val="auto"/>
        </w:rPr>
        <w:t xml:space="preserve">Operating Cash Flow. </w:t>
      </w:r>
      <w:r>
        <w:rPr>
          <w:rFonts w:ascii="Arial" w:cs="Arial" w:eastAsia="Arial" w:hAnsi="Arial"/>
          <w:sz w:val="16"/>
          <w:szCs w:val="16"/>
          <w:color w:val="auto"/>
        </w:rPr>
        <w:t>For the nine months ended September 30, 2018, cash flows provided by operating activities totaled $263.4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$71.6 million for the same prior year period. The increase in operating cash was primarily due to cash generated from operations during the nine months ended September 30, 2018 combined with changes in the balance sheet accounts in the normal course of business. Additionally, significant payments were made during the nine months ended September 30, 2017 in conjunction with the acquisition of Isle and impacted operating cash flows.</w:t>
      </w:r>
    </w:p>
    <w:p>
      <w:pPr>
        <w:spacing w:after="0" w:line="154"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i w:val="1"/>
          <w:iCs w:val="1"/>
          <w:color w:val="auto"/>
        </w:rPr>
        <w:t>Investing Cash Flow and Capital Expenditures</w:t>
      </w:r>
      <w:r>
        <w:rPr>
          <w:rFonts w:ascii="Arial" w:cs="Arial" w:eastAsia="Arial" w:hAnsi="Arial"/>
          <w:sz w:val="18"/>
          <w:szCs w:val="18"/>
          <w:color w:val="auto"/>
        </w:rPr>
        <w:t>. Net cash flows used in investing activities totaled $395.1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compared to $1.4 billion for the same prior year period. Net cash flows used in investing activities in the nine months ended September 30, 2018 were primarily due to $306.3 million used in the Elgin Acquisition and $89.1 million in capital expenditures for various property enhancement and maintenance projects along with equipment purchases. Net cash flows used in investing activities for the nine months ended September 30, 2017 consisted of $1.3 billion related to funds used in the Isle Acquisition, and $52.9 million in capital expenditures for various property enhancement and maintenance projects and equipment purchases.</w:t>
      </w:r>
    </w:p>
    <w:p>
      <w:pPr>
        <w:spacing w:after="0" w:line="193"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i w:val="1"/>
          <w:iCs w:val="1"/>
          <w:color w:val="auto"/>
        </w:rPr>
        <w:t>Financing Cash Flow</w:t>
      </w:r>
      <w:r>
        <w:rPr>
          <w:rFonts w:ascii="Arial" w:cs="Arial" w:eastAsia="Arial" w:hAnsi="Arial"/>
          <w:sz w:val="17"/>
          <w:szCs w:val="17"/>
          <w:color w:val="auto"/>
        </w:rPr>
        <w:t>. Net cash provided by financing activities for the nine months ended September 30, 2018 totaled $763.7 million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$1.4 billion for the same prior year period. The cash provided by financing activities for the nine months ended September 30, 2018 was principally due to $600.0 million of proceeds from the issuance of the 6% Senior Notes due 2026 and $180.0 million of net borrowings under the Revolving Credit Facility related to the Elgin Acquisition. During the nine months ended September 30, 2017, cash provided by financing activities consisted primarily of $1.4 billion and $875.0 million of proceeds from the issuance of the credit facility and 6% Senior Notes due 2025, respectively, partially offset by payments of $866.8 million on our credit facility in conjunction with our refinancing of debt in May of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On November 8, 2018, the Company issued a press release announcing that its Board of Directors has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right="160" w:firstLine="555"/>
        <w:spacing w:after="0" w:line="274" w:lineRule="auto"/>
        <w:rPr>
          <w:sz w:val="20"/>
          <w:szCs w:val="20"/>
          <w:color w:val="auto"/>
        </w:rPr>
      </w:pPr>
      <w:r>
        <w:rPr>
          <w:rFonts w:ascii="Arial" w:cs="Arial" w:eastAsia="Arial" w:hAnsi="Arial"/>
          <w:sz w:val="17"/>
          <w:szCs w:val="17"/>
          <w:color w:val="auto"/>
        </w:rPr>
        <w:t>In April 2017, the Company entered into a credit agreement with JPMorgan Chase Bank, N.A., as administrative agent, and the lenders party thereto dated as of April 17, 2017 (the “Credit Facility”), consisting of a $1.45 billion term loan facility (the “Term Loan Facility” or “Term Loan”) and a</w:t>
      </w:r>
    </w:p>
    <w:p>
      <w:pPr>
        <w:ind w:right="20"/>
        <w:spacing w:after="0" w:line="253" w:lineRule="auto"/>
        <w:rPr>
          <w:sz w:val="20"/>
          <w:szCs w:val="20"/>
          <w:color w:val="auto"/>
        </w:rPr>
      </w:pPr>
      <w:r>
        <w:rPr>
          <w:rFonts w:ascii="Arial" w:cs="Arial" w:eastAsia="Arial" w:hAnsi="Arial"/>
          <w:sz w:val="18"/>
          <w:szCs w:val="18"/>
          <w:color w:val="auto"/>
        </w:rPr>
        <w:t>$300.0 million revolving credit facility (the “Revolving Credit Facility”). The Company’s obligations under the Revolving Credit Facility will mature on April 17, 2022. The Company’s obligations under the Term Loan Facility will mature on April 17, 2024. The Company was required to make quarterly principal payments of $3.6 million on the Term Loan Facility on the last day of each fiscal quarter beginning on June 30, 2017 but satisfied this requirement as a result of the principal prepayment of $444.5 million on September 13, 2017 in conjunction with the issuance of the additional 6% Senior Notes due 2025. In addition, the Company is required to make mandatory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right="160"/>
        <w:spacing w:after="0" w:line="264" w:lineRule="auto"/>
        <w:rPr>
          <w:sz w:val="20"/>
          <w:szCs w:val="20"/>
          <w:color w:val="auto"/>
        </w:rPr>
      </w:pPr>
      <w:r>
        <w:rPr>
          <w:rFonts w:ascii="Arial" w:cs="Arial" w:eastAsia="Arial" w:hAnsi="Arial"/>
          <w:sz w:val="18"/>
          <w:szCs w:val="18"/>
          <w:color w:val="auto"/>
        </w:rPr>
        <w:t>payments of amounts outstanding under the Credit Facility with the proceeds of certain casualty events, debt issuances, and asset sales and, depending on its consolidated total leverage ratio, the Company may be required to apply a portion of its excess cash flow to repay amounts outstanding under the Credit Facility.</w:t>
      </w:r>
    </w:p>
    <w:p>
      <w:pPr>
        <w:spacing w:after="0" w:line="181"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As of September 30, 2018, the Company had $956.8 million outstanding on the Term Loan and $180.0 million outstanding under the Revolving Credit Facility. The Company had $110.9 million of available borrowing capacity, after consideration of $9.1 million in outstanding letters of credit under its Revolving Credit Facility as of September 30, 2018.</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interest rate per annum applicable to loans under the Revolving Credit Facility are, at our option, either LIBOR plus a margin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1.75% to 2.50% or a base rate plus a margin from 0.75% to 1.50%, the margin is based on our total leverage ratio. The interest rate per annum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loans under the Term Loan Facility is, at our option, either LIBOR plus 2.25%, or a base rate plus 1.25%; provided, however, that in no event will LIBOR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less than zero or the base rate be less than 1.00%. Additionally, the Company pays a commitment fee on the unused portion of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of 0.50% per annum. At September 30, 2018, the weighted average interest rates on the Term Loan and Revolving Credit Facility were 4.17%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4.54%.</w:t>
      </w:r>
    </w:p>
    <w:p>
      <w:pPr>
        <w:spacing w:after="0" w:line="211"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On June 6, 2018, the Company executed an amendment that modified certain covenants in the Credit Facility to allow for considerations related to the acquisition of Tropicana. The borrowing capacity of the Revolving Credit Facility increased from $300 million to $500 million effective substantially concurrently with the consummation of the Tropicana Acquisition on October 1, 2018 and the maturity date of the Revolving Credit Facility extended to October 1, 2023.</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2018 we were in compliance with all covenants under the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7" w:lineRule="exact"/>
        <w:rPr>
          <w:sz w:val="20"/>
          <w:szCs w:val="20"/>
          <w:color w:val="auto"/>
        </w:rPr>
      </w:pPr>
    </w:p>
    <w:p>
      <w:pPr>
        <w:jc w:val="both"/>
        <w:ind w:right="220" w:firstLine="555"/>
        <w:spacing w:after="0" w:line="279" w:lineRule="auto"/>
        <w:rPr>
          <w:sz w:val="20"/>
          <w:szCs w:val="20"/>
          <w:color w:val="auto"/>
        </w:rPr>
      </w:pPr>
      <w:r>
        <w:rPr>
          <w:rFonts w:ascii="Arial" w:cs="Arial" w:eastAsia="Arial" w:hAnsi="Arial"/>
          <w:sz w:val="17"/>
          <w:szCs w:val="17"/>
          <w:color w:val="auto"/>
        </w:rPr>
        <w:t>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every semi-annually in arrears on March 15 and September 15, commencing March 15, 2019.</w:t>
      </w:r>
    </w:p>
    <w:p>
      <w:pPr>
        <w:spacing w:after="0" w:line="171"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existing senior secured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spacing w:after="0" w:line="178" w:lineRule="exact"/>
        <w:rPr>
          <w:sz w:val="20"/>
          <w:szCs w:val="20"/>
          <w:color w:val="auto"/>
        </w:rPr>
      </w:pPr>
    </w:p>
    <w:p>
      <w:pPr>
        <w:jc w:val="both"/>
        <w:ind w:right="40" w:firstLine="555"/>
        <w:spacing w:after="0" w:line="259" w:lineRule="auto"/>
        <w:rPr>
          <w:sz w:val="20"/>
          <w:szCs w:val="20"/>
          <w:color w:val="auto"/>
        </w:rPr>
      </w:pPr>
      <w:r>
        <w:rPr>
          <w:rFonts w:ascii="Arial" w:cs="Arial" w:eastAsia="Arial" w:hAnsi="Arial"/>
          <w:sz w:val="18"/>
          <w:szCs w:val="18"/>
          <w:color w:val="auto"/>
        </w:rPr>
        <w:t>On or after September 15, 2021, the Company may redeem all or a portion of the 6% Senior Notes due 2026 upon not less than 30 nor more than 60 days’ notice, at the redemption prices (expressed as percentages of the principal amount) set forth below plus accrued and unpaid interest and additional interest, if any, on the 6% Senior Notes due 2026 redeemed, to the applicable redemption date, if redeemed during the 12-month period beginning on September 15 of the years indicated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gridSpan w:val="2"/>
          </w:tcPr>
          <w:p>
            <w:pPr>
              <w:ind w:left="1720"/>
              <w:spacing w:after="0"/>
              <w:rPr>
                <w:sz w:val="20"/>
                <w:szCs w:val="20"/>
                <w:color w:val="auto"/>
              </w:rPr>
            </w:pPr>
            <w:r>
              <w:rPr>
                <w:rFonts w:ascii="Arial" w:cs="Arial" w:eastAsia="Arial" w:hAnsi="Arial"/>
                <w:sz w:val="14"/>
                <w:szCs w:val="14"/>
                <w:b w:val="1"/>
                <w:bCs w:val="1"/>
                <w:color w:val="auto"/>
              </w:rPr>
              <w:t>Year</w:t>
            </w: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39"/>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2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3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2022</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2024 and thereafter</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r>
      <w:tr>
        <w:trPr>
          <w:trHeight w:val="647"/>
        </w:trPr>
        <w:tc>
          <w:tcPr>
            <w:tcW w:w="1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40" w:type="dxa"/>
            <w:vAlign w:val="bottom"/>
          </w:tcPr>
          <w:p>
            <w:pPr>
              <w:jc w:val="right"/>
              <w:ind w:right="213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4" w:name="page55"/>
    <w:bookmarkEnd w:id="54"/>
    <w:p>
      <w:pPr>
        <w:ind w:firstLine="555"/>
        <w:spacing w:after="0" w:line="264" w:lineRule="auto"/>
        <w:rPr>
          <w:sz w:val="20"/>
          <w:szCs w:val="20"/>
          <w:color w:val="auto"/>
        </w:rPr>
      </w:pPr>
      <w:r>
        <w:rPr>
          <w:rFonts w:ascii="Arial" w:cs="Arial" w:eastAsia="Arial" w:hAnsi="Arial"/>
          <w:sz w:val="18"/>
          <w:szCs w:val="18"/>
          <w:color w:val="auto"/>
        </w:rPr>
        <w:t>Upon the occurrence of a Change of Control (if the 6% Senior Notes due 2026 do not have investment grade status) or a Change of Control Triggering Event (each as defined in the 2026 Indenture), the Company must offer to repurchase the 6% Senior Notes due 2026 at 101% of their principal amount, plus accrued and unpaid interest to the applicable repurchase date.</w:t>
      </w:r>
    </w:p>
    <w:p>
      <w:pPr>
        <w:spacing w:after="0" w:line="18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If the Company sells assets under certain circumstances and does not use the proceeds for specified purposes, the Company must apply the net proceeds of such sale to make an offer to repurchase the 6% Senior Notes due 2026 at 100% of their principal amount, plus accrued and unpaid interest to the applicable repurchase date.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2026 are subject to redemption imposed by gaming laws and regulations of applicable gaming regulatory authorities.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2026 Indenture contains certain covenants limiting, among other things, the Company’s ability to:</w:t>
      </w:r>
    </w:p>
    <w:p>
      <w:pPr>
        <w:spacing w:after="0" w:line="117" w:lineRule="exact"/>
        <w:rPr>
          <w:sz w:val="20"/>
          <w:szCs w:val="20"/>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incur or suffer to exist certain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or make distributions on capital stock or repurchase capital stock;</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distributions to the Issuer;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certain assets or merge with or consolidate into other companies;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certain types of transactions with the stockholders and affiliates.</w:t>
      </w:r>
    </w:p>
    <w:p>
      <w:pPr>
        <w:spacing w:after="0" w:line="225"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These covenants are subject to a number of exceptions and qualifications as set forth in the 2026 Indenture. The 2026 Indenture also provides for events of default which, if any of them occurs, would permit or require the principal of and accrued interest on such 6% Senior Notes due 2026 to be declared due and payable.</w:t>
      </w:r>
    </w:p>
    <w:p>
      <w:pPr>
        <w:spacing w:after="0" w:line="181"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The Company applied the net proceeds of the sale of the 6% Senior Notes due 2026, together with borrowings under its existing revolving credit, cash on hand and Tropicana’s cash on hand, to pay the consideration payable by the Company pursuant to the merger agreement, repay all of the debt outstanding under Tropicana’s existing credit facility and pay fees and costs associated with the Tropicana Acquisition that closed on October 1,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2025</w:t>
      </w:r>
    </w:p>
    <w:p>
      <w:pPr>
        <w:spacing w:after="0" w:line="117"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On March 29, 2017, Eagle II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spacing w:after="0" w:line="193"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7" w:lineRule="exact"/>
        <w:rPr>
          <w:sz w:val="20"/>
          <w:szCs w:val="20"/>
          <w:color w:val="auto"/>
        </w:rPr>
      </w:pPr>
    </w:p>
    <w:p>
      <w:pPr>
        <w:jc w:val="both"/>
        <w:ind w:right="280" w:firstLine="555"/>
        <w:spacing w:after="0" w:line="312"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39"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As of September 30, 2018 we were in compliance with all covenants under the 6% Senior Notes due 2025, 6% Senior Notes due 2026 and 7% Senior Notes due 2023.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0" w:firstLine="555"/>
        <w:spacing w:after="0" w:line="221" w:lineRule="exact"/>
        <w:rPr>
          <w:sz w:val="20"/>
          <w:szCs w:val="20"/>
          <w:color w:val="auto"/>
        </w:rPr>
      </w:pPr>
      <w:r>
        <w:rPr>
          <w:rFonts w:ascii="Arial" w:cs="Arial" w:eastAsia="Arial" w:hAnsi="Arial"/>
          <w:sz w:val="18"/>
          <w:szCs w:val="18"/>
          <w:color w:val="auto"/>
        </w:rPr>
        <w:t>Other than the obligations associated with the issuance of the 6% Senior Notes due 2026, the Lumière Loan and the Master Lease, there have been no material changes for the nine months ended September 30, 2018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“Part II, Item 1. Legal Proceedings” and Note 11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2017 and “Part II, Item IA. Risk Factors” which is included in this Quarterly Report on Form 10-Q for the quarter ended September 30,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firstLine="555"/>
        <w:spacing w:after="0" w:line="220"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Except as described in Notes 2 and 3 to the accompanying condensed notes of these consolidated financial statements, we believe there have been no material changes since December 31, 2017. We have not substantively changed the application of our policies and there have been no material changes in assumptions or estimation techniques used as compared to prior periods.</w:t>
      </w:r>
    </w:p>
    <w:p>
      <w:pPr>
        <w:spacing w:after="0" w:line="30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We are not party to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3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120" w:firstLine="555"/>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Specifically, forward-looking statements may include, among others, statements concerning:</w:t>
      </w:r>
    </w:p>
    <w:p>
      <w:pPr>
        <w:spacing w:after="0" w:line="95"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28" w:lineRule="exact"/>
        <w:rPr>
          <w:rFonts w:ascii="Arial" w:cs="Arial" w:eastAsia="Arial" w:hAnsi="Arial"/>
          <w:sz w:val="17"/>
          <w:szCs w:val="17"/>
          <w:color w:val="auto"/>
        </w:rPr>
      </w:pPr>
    </w:p>
    <w:p>
      <w:pPr>
        <w:ind w:left="1120" w:right="6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consummate the disposition of Presque Isle Downs and Nemacolin on the timeline and terms described herein or at all;</w:t>
      </w:r>
    </w:p>
    <w:p>
      <w:pPr>
        <w:spacing w:after="0" w:line="128" w:lineRule="exact"/>
        <w:rPr>
          <w:rFonts w:ascii="Arial" w:cs="Arial" w:eastAsia="Arial" w:hAnsi="Arial"/>
          <w:sz w:val="17"/>
          <w:szCs w:val="17"/>
          <w:color w:val="auto"/>
        </w:rPr>
      </w:pPr>
    </w:p>
    <w:p>
      <w:pPr>
        <w:ind w:left="1120" w:right="580" w:hanging="558"/>
        <w:spacing w:after="0" w:line="308" w:lineRule="auto"/>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including the development of a mixed-use entertainment and hospitality destination expected to be located on unused land adjacent to the Pompano casino and racetrack, and additional acquisition;</w:t>
      </w:r>
    </w:p>
    <w:p>
      <w:pPr>
        <w:spacing w:after="0" w:line="38" w:lineRule="exact"/>
        <w:rPr>
          <w:rFonts w:ascii="Arial" w:cs="Arial" w:eastAsia="Arial" w:hAnsi="Arial"/>
          <w:sz w:val="17"/>
          <w:szCs w:val="17"/>
          <w:color w:val="auto"/>
        </w:rPr>
      </w:pPr>
    </w:p>
    <w:p>
      <w:pPr>
        <w:ind w:left="1120" w:right="780" w:hanging="558"/>
        <w:spacing w:after="0" w:line="308" w:lineRule="auto"/>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ability to obtain financing for, and realize the anticipated benefits, of such development and acquisitions, including the acquisition of Tropicana Entertainment and the Grand Victoria Casino and the development of Pompano; and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6" w:name="page57"/>
    <w:bookmarkEnd w:id="56"/>
    <w:p>
      <w:pPr>
        <w:ind w:left="1120" w:right="40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70" w:lineRule="exact"/>
        <w:rPr>
          <w:sz w:val="20"/>
          <w:szCs w:val="20"/>
          <w:color w:val="auto"/>
        </w:rPr>
      </w:pPr>
    </w:p>
    <w:p>
      <w:pPr>
        <w:ind w:right="120" w:firstLine="555"/>
        <w:spacing w:after="0" w:line="218" w:lineRule="exact"/>
        <w:rPr>
          <w:sz w:val="20"/>
          <w:szCs w:val="20"/>
          <w:color w:val="auto"/>
        </w:rPr>
      </w:pPr>
      <w:r>
        <w:rPr>
          <w:rFonts w:ascii="Arial" w:cs="Arial" w:eastAsia="Arial" w:hAnsi="Arial"/>
          <w:sz w:val="16"/>
          <w:szCs w:val="16"/>
          <w:color w:val="auto"/>
        </w:rPr>
        <w:t>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made herein.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they are made, and we assume no duty to update forward-looking statements. Forward-looking statements should not be regarded as a representation by us or any other person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will be achieved. Undue reliance should not be placed on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 herein is subject include, but are not limited to, the following:</w:t>
      </w:r>
    </w:p>
    <w:p>
      <w:pPr>
        <w:spacing w:after="0" w:line="98" w:lineRule="exact"/>
        <w:rPr>
          <w:sz w:val="20"/>
          <w:szCs w:val="20"/>
          <w:color w:val="auto"/>
        </w:rPr>
      </w:pPr>
    </w:p>
    <w:p>
      <w:pPr>
        <w:ind w:left="1120" w:right="2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operate in very competitive environments and we face increasing competition;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construction factors relating to development, maintenance and expansion of operations;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117" w:lineRule="exact"/>
        <w:rPr>
          <w:rFonts w:ascii="Arial" w:cs="Arial" w:eastAsia="Arial" w:hAnsi="Arial"/>
          <w:sz w:val="18"/>
          <w:szCs w:val="18"/>
          <w:color w:val="auto"/>
        </w:rPr>
      </w:pPr>
    </w:p>
    <w:p>
      <w:pPr>
        <w:ind w:left="1120" w:right="56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online sportsbook, poker and gaming on our existing operations and our ability to participate in such markets through our partnerships with William Hill and other market service providers;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120" w:right="36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described in Part II, Item 1A. “Risk Factors” contained herein and our reports on Form 10-K, Form 10-Q and Form 8-K filed with the Securities and Exchange Commission.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the Tropicana Acquisition and the Elgin Acquisition, the dispositions of Presque Isle Downs and Nemacolin and our arrangement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William Hill create additional risks, uncertainties and other important factors, including but not limited to:</w:t>
      </w:r>
    </w:p>
    <w:p>
      <w:pPr>
        <w:spacing w:after="0" w:line="103" w:lineRule="exact"/>
        <w:rPr>
          <w:sz w:val="20"/>
          <w:szCs w:val="20"/>
          <w:color w:val="auto"/>
        </w:rPr>
      </w:pPr>
    </w:p>
    <w:p>
      <w:pPr>
        <w:ind w:left="1120" w:right="320" w:hanging="558"/>
        <w:spacing w:after="0" w:line="308" w:lineRule="auto"/>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obtain required regulatory approvals for the dispositions and the acquisition of William Hill capital stock (including approval from gaming regulators) and satisfy or waive other closing conditions to consummate such transactions on a timely basis;</w:t>
      </w:r>
    </w:p>
    <w:p>
      <w:pPr>
        <w:spacing w:after="0" w:line="38" w:lineRule="exact"/>
        <w:rPr>
          <w:rFonts w:ascii="Arial" w:cs="Arial" w:eastAsia="Arial" w:hAnsi="Arial"/>
          <w:sz w:val="17"/>
          <w:szCs w:val="17"/>
          <w:color w:val="auto"/>
        </w:rPr>
      </w:pPr>
    </w:p>
    <w:p>
      <w:pPr>
        <w:ind w:left="1120" w:right="30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possibility that the dispositions or the acquisition of William Hill capital stock do not close on the terms described herein or that we are required to modify aspects of one or more of such transactions to obtain regulatory approval;</w:t>
      </w:r>
    </w:p>
    <w:p>
      <w:pPr>
        <w:spacing w:after="0" w:line="62" w:lineRule="exact"/>
        <w:rPr>
          <w:rFonts w:ascii="Arial" w:cs="Arial" w:eastAsia="Arial" w:hAnsi="Arial"/>
          <w:sz w:val="18"/>
          <w:szCs w:val="18"/>
          <w:color w:val="auto"/>
        </w:rPr>
      </w:pPr>
    </w:p>
    <w:p>
      <w:pPr>
        <w:ind w:left="1120" w:right="64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promptly and effectively implement our operating strategies at the acquired properties and integrate our business and the business of the acquired companies to realize the synergies contemplated by the acquisitions;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retain key employees of the acquired companies;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left="1120" w:right="38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risks and uncertainties described in Part II, Item 1A. “Risk Factors” contained herein and our reports on Form 10-K, Form 10-Q and Form 8-K filed with the Securities and Exchange Commission.</w:t>
      </w:r>
    </w:p>
    <w:p>
      <w:pPr>
        <w:spacing w:after="0" w:line="170"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In light of these and other risks, uncertainties and assumptions, the forward</w:t>
      </w:r>
      <w:r>
        <w:rPr>
          <w:rFonts w:ascii="MS PGothic" w:cs="MS PGothic" w:eastAsia="MS PGothic" w:hAnsi="MS PGothic"/>
          <w:sz w:val="17"/>
          <w:szCs w:val="17"/>
          <w:color w:val="auto"/>
        </w:rPr>
        <w:t>‑</w:t>
      </w:r>
      <w:r>
        <w:rPr>
          <w:rFonts w:ascii="Arial" w:cs="Arial" w:eastAsia="Arial" w:hAnsi="Arial"/>
          <w:sz w:val="17"/>
          <w:szCs w:val="17"/>
          <w:color w:val="auto"/>
        </w:rPr>
        <w:t>looking events discussed in this report might not occur. These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on which this statement is made, even if subsequently made available on our website or otherwise, and</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that occur after the date on which the statement is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except as may be required by law.</w:t>
      </w:r>
    </w:p>
    <w:p>
      <w:pPr>
        <w:spacing w:after="0" w:line="211" w:lineRule="exact"/>
        <w:rPr>
          <w:sz w:val="20"/>
          <w:szCs w:val="20"/>
          <w:color w:val="auto"/>
        </w:rPr>
      </w:pPr>
    </w:p>
    <w:p>
      <w:pPr>
        <w:ind w:right="60" w:firstLine="555"/>
        <w:spacing w:after="0" w:line="220"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30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60" w:firstLine="555"/>
        <w:spacing w:after="0" w:line="221"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7"/>
          <w:szCs w:val="17"/>
          <w:color w:val="auto"/>
        </w:rPr>
        <w:t>‑</w:t>
      </w:r>
      <w:r>
        <w:rPr>
          <w:rFonts w:ascii="Arial" w:cs="Arial" w:eastAsia="Arial" w:hAnsi="Arial"/>
          <w:sz w:val="17"/>
          <w:szCs w:val="17"/>
          <w:color w:val="auto"/>
        </w:rPr>
        <w:t>term debt arrangements. At September 30, 2018, interest on borrowings under our Credit Facility was subject to fluctuation based on changes in short-term interest rates.</w:t>
      </w:r>
    </w:p>
    <w:p>
      <w:pPr>
        <w:spacing w:after="0" w:line="202" w:lineRule="exact"/>
        <w:rPr>
          <w:sz w:val="20"/>
          <w:szCs w:val="20"/>
          <w:color w:val="auto"/>
        </w:rPr>
      </w:pPr>
    </w:p>
    <w:p>
      <w:pPr>
        <w:ind w:right="20" w:firstLine="555"/>
        <w:spacing w:after="0" w:line="221" w:lineRule="exact"/>
        <w:rPr>
          <w:sz w:val="20"/>
          <w:szCs w:val="20"/>
          <w:color w:val="auto"/>
        </w:rPr>
      </w:pPr>
      <w:r>
        <w:rPr>
          <w:rFonts w:ascii="Arial" w:cs="Arial" w:eastAsia="Arial" w:hAnsi="Arial"/>
          <w:sz w:val="17"/>
          <w:szCs w:val="17"/>
          <w:color w:val="auto"/>
        </w:rPr>
        <w:t>As of September 30, 2018, our long</w:t>
      </w:r>
      <w:r>
        <w:rPr>
          <w:rFonts w:ascii="MS PGothic" w:cs="MS PGothic" w:eastAsia="MS PGothic" w:hAnsi="MS PGothic"/>
          <w:sz w:val="17"/>
          <w:szCs w:val="17"/>
          <w:color w:val="auto"/>
        </w:rPr>
        <w:t>‑</w:t>
      </w:r>
      <w:r>
        <w:rPr>
          <w:rFonts w:ascii="Arial" w:cs="Arial" w:eastAsia="Arial" w:hAnsi="Arial"/>
          <w:sz w:val="17"/>
          <w:szCs w:val="17"/>
          <w:color w:val="auto"/>
        </w:rPr>
        <w:t>term variable</w:t>
      </w:r>
      <w:r>
        <w:rPr>
          <w:rFonts w:ascii="MS PGothic" w:cs="MS PGothic" w:eastAsia="MS PGothic" w:hAnsi="MS PGothic"/>
          <w:sz w:val="17"/>
          <w:szCs w:val="17"/>
          <w:color w:val="auto"/>
        </w:rPr>
        <w:t>‑</w:t>
      </w:r>
      <w:r>
        <w:rPr>
          <w:rFonts w:ascii="Arial" w:cs="Arial" w:eastAsia="Arial" w:hAnsi="Arial"/>
          <w:sz w:val="17"/>
          <w:szCs w:val="17"/>
          <w:color w:val="auto"/>
        </w:rPr>
        <w:t>rate borrowings totaled $956.8 million under the Term Loan and $180.0 under the Revolving Credit Facility, representing approximately 38% of our long</w:t>
      </w:r>
      <w:r>
        <w:rPr>
          <w:rFonts w:ascii="MS PGothic" w:cs="MS PGothic" w:eastAsia="MS PGothic" w:hAnsi="MS PGothic"/>
          <w:sz w:val="17"/>
          <w:szCs w:val="17"/>
          <w:color w:val="auto"/>
        </w:rPr>
        <w:t>‑</w:t>
      </w:r>
      <w:r>
        <w:rPr>
          <w:rFonts w:ascii="Arial" w:cs="Arial" w:eastAsia="Arial" w:hAnsi="Arial"/>
          <w:sz w:val="17"/>
          <w:szCs w:val="17"/>
          <w:color w:val="auto"/>
        </w:rPr>
        <w:t>term debt compared to 44% of our long</w:t>
      </w:r>
      <w:r>
        <w:rPr>
          <w:rFonts w:ascii="MS PGothic" w:cs="MS PGothic" w:eastAsia="MS PGothic" w:hAnsi="MS PGothic"/>
          <w:sz w:val="17"/>
          <w:szCs w:val="17"/>
          <w:color w:val="auto"/>
        </w:rPr>
        <w:t>‑</w:t>
      </w:r>
      <w:r>
        <w:rPr>
          <w:rFonts w:ascii="Arial" w:cs="Arial" w:eastAsia="Arial" w:hAnsi="Arial"/>
          <w:sz w:val="17"/>
          <w:szCs w:val="17"/>
          <w:color w:val="auto"/>
        </w:rPr>
        <w:t>term debt as of September 30, 2017. During the nine months ended September 30, 2018, the weighted average interest rates on our variable and fixed rate debt were 4.30% and 6.28%, respectively.</w:t>
      </w:r>
    </w:p>
    <w:p>
      <w:pPr>
        <w:spacing w:after="0" w:line="202" w:lineRule="exact"/>
        <w:rPr>
          <w:sz w:val="20"/>
          <w:szCs w:val="20"/>
          <w:color w:val="auto"/>
        </w:rPr>
      </w:pPr>
    </w:p>
    <w:p>
      <w:pPr>
        <w:jc w:val="both"/>
        <w:ind w:right="60" w:firstLine="555"/>
        <w:spacing w:after="0" w:line="286" w:lineRule="auto"/>
        <w:rPr>
          <w:sz w:val="20"/>
          <w:szCs w:val="20"/>
          <w:color w:val="auto"/>
        </w:rPr>
      </w:pPr>
      <w:r>
        <w:rPr>
          <w:rFonts w:ascii="Arial" w:cs="Arial" w:eastAsia="Arial" w:hAnsi="Arial"/>
          <w:sz w:val="17"/>
          <w:szCs w:val="17"/>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three months ended September 30, 2018.</w:t>
      </w:r>
    </w:p>
    <w:p>
      <w:pPr>
        <w:spacing w:after="0" w:line="2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ind w:right="40" w:firstLine="555"/>
        <w:spacing w:after="0" w:line="218" w:lineRule="exact"/>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97" w:lineRule="exact"/>
        <w:rPr>
          <w:sz w:val="20"/>
          <w:szCs w:val="20"/>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ind w:right="260" w:firstLine="555"/>
        <w:spacing w:after="0" w:line="224" w:lineRule="exact"/>
        <w:rPr>
          <w:sz w:val="20"/>
          <w:szCs w:val="20"/>
          <w:color w:val="auto"/>
        </w:rPr>
      </w:pPr>
      <w:r>
        <w:rPr>
          <w:rFonts w:ascii="Arial" w:cs="Arial" w:eastAsia="Arial" w:hAnsi="Arial"/>
          <w:sz w:val="17"/>
          <w:szCs w:val="17"/>
          <w:color w:val="auto"/>
        </w:rPr>
        <w:t>Except as noted below, there were no changes in our internal control over financial reporting during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that have materially affected, or are reasonably likely to materially affect, our internal control over financial reporting.</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August 7, 2018 we completed the acquisition of Elgin. See Part I, Item 1, Condensed Notes to Unaudited Consolidated Financial Statements, Note</w:t>
      </w:r>
    </w:p>
    <w:p>
      <w:pPr>
        <w:spacing w:after="0" w:line="46" w:lineRule="exact"/>
        <w:rPr>
          <w:sz w:val="20"/>
          <w:szCs w:val="20"/>
          <w:color w:val="auto"/>
        </w:rPr>
      </w:pPr>
    </w:p>
    <w:p>
      <w:pPr>
        <w:ind w:right="320" w:firstLine="8"/>
        <w:spacing w:after="0" w:line="273" w:lineRule="auto"/>
        <w:tabs>
          <w:tab w:leader="none" w:pos="18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Acquisitions, Preliminary Purchase Price Accounting and Proforma Information, for a discussion of the acquisition and related financial data. The Company is in the process of integrating Elgin and our internal controls over financial reporting. As a result of these integration activities, certain controls will be evaluated and may be changed. Excluding the Elgin Acquisition, there were no changes in our internal control over financial reporting that have materially affected, or are reasonable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80" w:firstLine="555"/>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6" w:lineRule="exact"/>
        <w:rPr>
          <w:sz w:val="20"/>
          <w:szCs w:val="20"/>
          <w:color w:val="auto"/>
        </w:rPr>
      </w:pPr>
    </w:p>
    <w:p>
      <w:pPr>
        <w:ind w:right="180" w:firstLine="555"/>
        <w:spacing w:after="0" w:line="223" w:lineRule="exact"/>
        <w:rPr>
          <w:sz w:val="20"/>
          <w:szCs w:val="20"/>
          <w:color w:val="auto"/>
        </w:rPr>
      </w:pPr>
      <w:r>
        <w:rPr>
          <w:rFonts w:ascii="Arial" w:cs="Arial" w:eastAsia="Arial" w:hAnsi="Arial"/>
          <w:sz w:val="18"/>
          <w:szCs w:val="18"/>
          <w:color w:val="auto"/>
        </w:rPr>
        <w:t>Legal matters are discussed in greater detail in “Part I, Item 3. Legal Proceedings” and Note 15 to our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3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20" w:firstLine="555"/>
        <w:spacing w:after="0" w:line="221"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There have been no material changes to those risk factors during the three months ended September 30, 2018, except for the following additional risk factors related to certain acquisitions and dispositions.</w:t>
      </w:r>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Some of our casinos are located on leased property. If we default on one or more leases, the applicable lessors could terminate the affected leases and we could lose possession of the affected casino.</w:t>
      </w:r>
    </w:p>
    <w:p>
      <w:pPr>
        <w:spacing w:after="0" w:line="62"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We currently lease certain parcels of land on which several of our properties are located, including five of the properties that we acquired in the Tropicana Acquisition. As a ground lessee, we have the right to use the leased land; however, we do not hold fee ownership of the underlying land. Accordingly, with respect to the leased land, we have no interest in the land or improvements thereon at the expiration of the ground leases. Moreover, since we do not completely control the land underlying the property, a landowner could take certain actions to disrupt our rights in the land leased under the long-term leases which are beyond our control. If the entity owning any leased land chose to disrupt our use either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the Master Lease requires initial annual rent payments of $87.62 million and obligates us to make specified minimum capital expenditures with respect to the leased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the Master Lease could result in a default under our debt agreements and could have a material adverse effect on our business, financial condition and results of operations. Further, in the event that any lessor with respect to our leased properties, including properties that are subject to the Master Lease, encounters financial, operational, regulatory or other challenges, there can be no assurance that such lessor will be able to comply with its obligations under the applicable lease.</w:t>
      </w:r>
    </w:p>
    <w:p>
      <w:pPr>
        <w:spacing w:after="0" w:line="175"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Certain of our leases, including the Master Lease relating to certain of the properties acquired in the Tropicana Acquisition are “triple-net” leases. Accordingly, in addition to rent, we are required to pay, among other things, the following: (1) lease payments to the underlying ground lessor for properties that are subject to ground leases; (2) facility maintenance costs; (3) all insurance premiums for insurance with respect to the leased properties and the business conducted on the leased properties; (4) taxes levied on or with respect to the leased properties (other than taxes on the income of the lessor); and (5) all utilities and other services necessary or appropriate for the leased properties and the business conducted on the leased properties. We are responsible for incurring the costs described in the preceding sentence notwithstanding the fact that many of the benefits received in exchange for such costs shall in part accrue to the lessor as the owner of the associated facilities. In addition, we remain obligated for lease payments and other obligations under the Master Lease and other ground leases even if one or more of such leased facilities is unprofitable or if we decide 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ind w:right="360"/>
        <w:spacing w:after="0" w:line="342" w:lineRule="auto"/>
        <w:rPr>
          <w:sz w:val="20"/>
          <w:szCs w:val="20"/>
          <w:color w:val="auto"/>
        </w:rPr>
      </w:pPr>
      <w:r>
        <w:rPr>
          <w:rFonts w:ascii="Arial" w:cs="Arial" w:eastAsia="Arial" w:hAnsi="Arial"/>
          <w:sz w:val="16"/>
          <w:szCs w:val="16"/>
          <w:b w:val="1"/>
          <w:bCs w:val="1"/>
          <w:i w:val="1"/>
          <w:iCs w:val="1"/>
          <w:color w:val="auto"/>
        </w:rPr>
        <w:t>The sale of Presque Isle Downs and Nemacolin and our transaction with William Hill are subject to the receipt of approvals and clearances that may impose conditions that could have an adverse effect on us or, if not obtained, could prevent completion of the transactions.</w:t>
      </w:r>
    </w:p>
    <w:p>
      <w:pPr>
        <w:spacing w:after="0" w:line="16"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Completion of the dispositions of Presque Isle Downs and Nemacolin and the closing of our agreement to partner with William Hill is conditioned upon the receipt of certain governmental approvals, including, without limitation, gaming regulatory. There can be no assurance that these approvals will be obtained and that the other conditions to completing the dispositions will be satisfied in a timely fashion, or at all. In addition, the governmental authorities from which the regulatory approvals are required may impose conditions on the completion of the transactions or require changes to the terms of the agreements governing the transactions. Such conditions or changes and the process of obtaining regulatory approvals could have the effect of delaying or impeding consummation of the dispositions or of imposing additional costs or limitations on us following completion of the transactions, any of which might have an adverse effect on us. The waiting period under the Hart-Scott-Rodino Antitrust Improvement Acts of 1976, as amended, has been terminated with respect to the Presque Isle Downs disposition and the William Hill transaction.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pending dispositions may be disruptive to our business.</w:t>
      </w:r>
    </w:p>
    <w:p>
      <w:pPr>
        <w:spacing w:after="0" w:line="117"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Whether or not the dispositions are completed, the pendency of the transactions could cause disruptions in our business, which could have an adverse effect on our businesses and financial results. These disruptions could include the following:</w:t>
      </w:r>
    </w:p>
    <w:p>
      <w:pPr>
        <w:spacing w:after="0" w:line="62" w:lineRule="exact"/>
        <w:rPr>
          <w:sz w:val="20"/>
          <w:szCs w:val="20"/>
          <w:color w:val="auto"/>
        </w:rPr>
      </w:pPr>
    </w:p>
    <w:p>
      <w:pPr>
        <w:ind w:left="1120" w:right="420" w:hanging="558"/>
        <w:spacing w:after="0" w:line="308" w:lineRule="auto"/>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current and prospective employees may experience uncertainty about their future roles with the combined company or consider other employment alternatives, which might adversely affect our ability to retain or attract key managers and other employees;</w:t>
      </w:r>
    </w:p>
    <w:p>
      <w:pPr>
        <w:spacing w:after="0" w:line="38" w:lineRule="exact"/>
        <w:rPr>
          <w:rFonts w:ascii="Arial" w:cs="Arial" w:eastAsia="Arial" w:hAnsi="Arial"/>
          <w:sz w:val="17"/>
          <w:szCs w:val="17"/>
          <w:color w:val="auto"/>
        </w:rPr>
      </w:pPr>
    </w:p>
    <w:p>
      <w:pPr>
        <w:ind w:left="1120" w:right="60" w:hanging="558"/>
        <w:spacing w:after="0" w:line="277"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and prospective customers may anticipate changes in how they are served or the benefits offered our loyalty reward program and may, as a result, choose to discontinue their patronage;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attention of our management may be diverted from the operation of our business.</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integration of our operations with Tropicana and the Grand Victoria following the acquisitions may present significant challenges and impair our ability to realize the anticipated benefits of the acquisitions in the anticipated time frame or at all.</w:t>
      </w:r>
    </w:p>
    <w:p>
      <w:pPr>
        <w:spacing w:after="0" w:line="62"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Our ability to realize the anticipated benefits of the acquisitions will depend, to a large extent, on our ability to integrate the business of Tropicana and the Grand Victoria into our operations in the anticipated time frame or at all. We may face significant challenges in combining the operations of the acquired companies into our operations in a timely and efficient manner. The combination of independent businesses is a complex, costly and time-consuming process. As a result, we will be required to devote significant management attention and resources to integrating the business practices and operations of the acquired companies into our operations. The integration process may disrupt the business of the acquired properties and, if implemented ineffectively or inefficiently, could preclude realization of the full benefits that we expect. The failure to successfully integrate the acquired properties and to manage the challenges presented by the integration process successfully may result in an interruption of, or loss of momentum in, the combined business, which may have the effect of depressing the market price of our common stock following the closing of the transactions.</w:t>
      </w:r>
    </w:p>
    <w:p>
      <w:pPr>
        <w:spacing w:after="0" w:line="166" w:lineRule="exact"/>
        <w:rPr>
          <w:sz w:val="20"/>
          <w:szCs w:val="20"/>
          <w:color w:val="auto"/>
        </w:rPr>
      </w:pPr>
    </w:p>
    <w:p>
      <w:pPr>
        <w:ind w:right="260" w:firstLine="555"/>
        <w:spacing w:after="0" w:line="279" w:lineRule="auto"/>
        <w:rPr>
          <w:sz w:val="20"/>
          <w:szCs w:val="20"/>
          <w:color w:val="auto"/>
        </w:rPr>
      </w:pPr>
      <w:r>
        <w:rPr>
          <w:rFonts w:ascii="Arial" w:cs="Arial" w:eastAsia="Arial" w:hAnsi="Arial"/>
          <w:sz w:val="17"/>
          <w:szCs w:val="17"/>
          <w:color w:val="auto"/>
        </w:rPr>
        <w:t>In addition, while we expect to realize cost synergies from combining the sales and general and administrative functions of the acquired businesses with ours, we will be required to incur costs, including severance and related expenses, to realize the anticipated cost savings. While we believe that the combined entity will benefit from cost synergies, we may be unable to realize all of the expected cost synergies within the time frame expected or at all. In addition, we may incur additional or unexpected costs in order to realize these cost synergies.</w:t>
      </w:r>
    </w:p>
    <w:p>
      <w:pPr>
        <w:spacing w:after="0" w:line="2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acquisition of Tropicana and the Grand Victoria may not be accretive and may cause dilution to our earnings per share, which may negatively affect the price of our common stock.</w:t>
      </w:r>
    </w:p>
    <w:p>
      <w:pPr>
        <w:spacing w:after="0" w:line="62"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currently anticipate that the acquisitions will be accretive to the earnings per share of the combined company in 2019. This expectation is based on preliminary estimates and assumes certain synergies expected to be realized by the combined company over a 12-month period following the completion of the acquisitions. Such estimates and assumptions could materially change due to additional transaction-related costs, delays in regulatory approvals, the failure to realize any or all of the benefits expected in the acquisitions or other factors beyond our control. All of these factors could delay, decrease or eliminate the expected accretive effect of the acquisitions and cause resulting dilution to our earnings per share or to the price of our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0" w:name="page61"/>
    <w:bookmarkEnd w:id="60"/>
    <w:p>
      <w:pPr>
        <w:ind w:right="90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debt outstanding following the acquisition of Tropicana and the Grand Victoria and we may incur additional indebtedness.</w:t>
      </w:r>
    </w:p>
    <w:p>
      <w:pPr>
        <w:spacing w:after="0" w:line="62"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As of September 30, 2018 and after giving effect to the acquisition of Tropicana and the Grand Victoria, we had approximately $3.2 billion of debt and an additional $87.6 million of other annual obligations relating to the Master Lease following the completion of such acquisitions. In addition, we had an additional $310.9 million of borrowing capacity under our revolving credit facility after giving effect to the increase in borrowing capacity from $300 million to $500 million effective at the time of the consummation of the Tropicana acquisition. In addition, we may incur debt to finance costs associated with the development of a mixed-use entertainment and hospitality destination expected to be located on unused land adjacent to the Pompano casino and racetrack or for other purposes. As a result of the increased levels of outstanding indebtedness following the acquisition of Tropicana and the Grand Victoria and rent payments under the Master Lease, future interest expense, rent and debt service obligations will be significantly higher than our historic interest expense and other obligations associated with financing.</w:t>
      </w:r>
    </w:p>
    <w:p>
      <w:pPr>
        <w:spacing w:after="0" w:line="2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have entered into a partnership agreement to expand our sportsbook business and engage in online sportsbook, casino gaming and poker. There can be no assurance that regulations authorizing such activities will be approved in the jurisdictions in which we operate or that the market for such gaming activities will develop as expected</w:t>
      </w:r>
      <w:r>
        <w:rPr>
          <w:rFonts w:ascii="Arial" w:cs="Arial" w:eastAsia="Arial" w:hAnsi="Arial"/>
          <w:sz w:val="18"/>
          <w:szCs w:val="18"/>
          <w:color w:val="auto"/>
        </w:rPr>
        <w:t>.</w:t>
      </w:r>
    </w:p>
    <w:p>
      <w:pPr>
        <w:spacing w:after="0" w:line="73"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During the second quarter of 2018, the U.S. Supreme Court overturned the Federal ban on sports betting. As a result of the change in regulations, we expanded, and expect to further expand, our sportsbook and online sportsbook, casino gaming and poker business. We currently accept wagers on sporting events in Nevada, New Jersey and Mississippi and anticipate accepting wagers on sporting events during the fourth quarter of 2018 or first quarter of 2019 at our casinos located in West Virginia and Pennsylvania. Our ability to expand our sports betting and online operations is dependent on adoption of regulations permitting sports betting industry in the United States. There can be no assurances as to when, or if, such regulations will be adopted, or the terms of such regulations, in certain of the jurisdictions in which we operate.</w:t>
      </w:r>
    </w:p>
    <w:p>
      <w:pPr>
        <w:spacing w:after="0" w:line="178"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Following the repeal of the Federal ban on sports betting, we entered into a definitive agreement with William Hill PLC and its U.S. subsidiary (“William Hill”) pursuant to which William Hill has agreed to operate as our sports betting operator, including with respect to mobile and online sports wagering, for a period of 25 years. Pursuant to our agreement with William Hill, we will receive a 20% equity stake in a U.S. subsidiary of William Hill as well as ordinary shares of William Hill with a value of $50 million. In addition, we may in the future enter into agreements that provide other online gaming operators with the ability to operate online and mobile betting and gaming activities under the authority of our licenses. The closing of the transaction with William Hill is, and any similar arrangement in the future may be, subject to the receipt of required regulatory approvals. There can be no assurance that these approvals will be obtained and that the other conditions to completing such transactions will be satisfied in a timely fashion, or at all.</w:t>
      </w:r>
    </w:p>
    <w:p>
      <w:pPr>
        <w:spacing w:after="0" w:line="16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The market for sports betting and online gaming is rapidly evolving and highly competitive with an increasing number of competitors. The success of our sportsbook and online betting and gaming partners, the value of our equity interest William Hill and the results of operations from sports betting and online sportsbook and gaming conducted at our properties or under the authority of our licenses are dependent on a number of factors that are beyond our control, including:</w:t>
      </w:r>
    </w:p>
    <w:p>
      <w:pPr>
        <w:spacing w:after="0" w:line="79" w:lineRule="exact"/>
        <w:rPr>
          <w:sz w:val="20"/>
          <w:szCs w:val="20"/>
          <w:color w:val="auto"/>
        </w:rPr>
      </w:pPr>
    </w:p>
    <w:p>
      <w:pPr>
        <w:ind w:left="1520" w:hanging="553"/>
        <w:spacing w:after="0"/>
        <w:tabs>
          <w:tab w:leader="none" w:pos="1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of adoption of regulations authorizing such betting and gaming activities and the restrictions contained in such regulations;</w:t>
      </w:r>
    </w:p>
    <w:p>
      <w:pPr>
        <w:spacing w:after="0" w:line="140" w:lineRule="exact"/>
        <w:rPr>
          <w:rFonts w:ascii="Arial" w:cs="Arial" w:eastAsia="Arial" w:hAnsi="Arial"/>
          <w:sz w:val="16"/>
          <w:szCs w:val="16"/>
          <w:color w:val="auto"/>
        </w:rPr>
      </w:pPr>
    </w:p>
    <w:p>
      <w:pPr>
        <w:ind w:left="1520" w:hanging="553"/>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tax rates and license fees ;</w:t>
      </w:r>
    </w:p>
    <w:p>
      <w:pPr>
        <w:spacing w:after="0" w:line="117" w:lineRule="exact"/>
        <w:rPr>
          <w:rFonts w:ascii="Arial" w:cs="Arial" w:eastAsia="Arial" w:hAnsi="Arial"/>
          <w:sz w:val="18"/>
          <w:szCs w:val="18"/>
          <w:color w:val="auto"/>
        </w:rPr>
      </w:pPr>
    </w:p>
    <w:p>
      <w:pPr>
        <w:ind w:left="1520" w:hanging="553"/>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gain market share in a newly developing market;</w:t>
      </w:r>
    </w:p>
    <w:p>
      <w:pPr>
        <w:spacing w:after="0" w:line="117" w:lineRule="exact"/>
        <w:rPr>
          <w:rFonts w:ascii="Arial" w:cs="Arial" w:eastAsia="Arial" w:hAnsi="Arial"/>
          <w:sz w:val="18"/>
          <w:szCs w:val="18"/>
          <w:color w:val="auto"/>
        </w:rPr>
      </w:pPr>
    </w:p>
    <w:p>
      <w:pPr>
        <w:ind w:left="1520" w:hanging="553"/>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that the market does not develop at all or does not develop as we anticipate;</w:t>
      </w:r>
    </w:p>
    <w:p>
      <w:pPr>
        <w:spacing w:after="0" w:line="117" w:lineRule="exact"/>
        <w:rPr>
          <w:rFonts w:ascii="Arial" w:cs="Arial" w:eastAsia="Arial" w:hAnsi="Arial"/>
          <w:sz w:val="18"/>
          <w:szCs w:val="18"/>
          <w:color w:val="auto"/>
        </w:rPr>
      </w:pPr>
    </w:p>
    <w:p>
      <w:pPr>
        <w:ind w:left="1520" w:hanging="553"/>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with new entrants in the market;</w:t>
      </w:r>
    </w:p>
    <w:p>
      <w:pPr>
        <w:spacing w:after="0" w:line="117" w:lineRule="exact"/>
        <w:rPr>
          <w:rFonts w:ascii="Arial" w:cs="Arial" w:eastAsia="Arial" w:hAnsi="Arial"/>
          <w:sz w:val="18"/>
          <w:szCs w:val="18"/>
          <w:color w:val="auto"/>
        </w:rPr>
      </w:pPr>
    </w:p>
    <w:p>
      <w:pPr>
        <w:ind w:left="1520" w:hanging="553"/>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 and</w:t>
      </w:r>
    </w:p>
    <w:p>
      <w:pPr>
        <w:spacing w:after="0" w:line="117" w:lineRule="exact"/>
        <w:rPr>
          <w:rFonts w:ascii="Arial" w:cs="Arial" w:eastAsia="Arial" w:hAnsi="Arial"/>
          <w:sz w:val="18"/>
          <w:szCs w:val="18"/>
          <w:color w:val="auto"/>
        </w:rPr>
      </w:pPr>
    </w:p>
    <w:p>
      <w:pPr>
        <w:ind w:left="1520" w:hanging="553"/>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popularity of other forms of entertainment.</w:t>
      </w:r>
    </w:p>
    <w:p>
      <w:pPr>
        <w:spacing w:after="0" w:line="225"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There can be no assurance as to the returns that we will receive from our current and anticipated sports betting and online gaming operations or our partnership with William Hill or future similar arrangements with other market service providers.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54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42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24"/>
                <w:szCs w:val="24"/>
                <w:color w:val="auto"/>
              </w:rPr>
            </w:pPr>
          </w:p>
        </w:tc>
        <w:tc>
          <w:tcPr>
            <w:tcW w:w="28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74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440"/>
          </w:cols>
          <w:pgMar w:left="240" w:top="337" w:right="219" w:bottom="1440" w:gutter="0" w:footer="0" w:header="0"/>
        </w:sectPr>
      </w:pPr>
    </w:p>
    <w:tbl>
      <w:tblPr>
        <w:tblLayout w:type="fixed"/>
        <w:tblInd w:w="240" w:type="dxa"/>
        <w:tblCellMar>
          <w:top w:w="0" w:type="dxa"/>
          <w:left w:w="0" w:type="dxa"/>
          <w:bottom w:w="0" w:type="dxa"/>
          <w:right w:w="0" w:type="dxa"/>
        </w:tblCellMar>
      </w:tblPr>
      <w:tr>
        <w:trPr>
          <w:trHeight w:val="207"/>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2.1</w:t>
            </w:r>
          </w:p>
        </w:tc>
        <w:tc>
          <w:tcPr>
            <w:tcW w:w="7140" w:type="dxa"/>
            <w:vAlign w:val="bottom"/>
            <w:tcBorders>
              <w:bottom w:val="single" w:sz="8" w:color="0000EE"/>
            </w:tcBorders>
            <w:gridSpan w:val="6"/>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Agreement and Plan of Merger by and among Eldorado Resorts, Inc., Delta Merger Sub, Inc., GLP</w:t>
              </w:r>
            </w:hyperlink>
          </w:p>
        </w:tc>
        <w:tc>
          <w:tcPr>
            <w:tcW w:w="24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7380" w:type="dxa"/>
            <w:vAlign w:val="bottom"/>
            <w:gridSpan w:val="8"/>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Capital, L.P. and Tropicana Entertainment Inc., dated as of April 15, 2018</w:t>
              </w:r>
            </w:hyperlink>
          </w:p>
        </w:tc>
      </w:tr>
      <w:tr>
        <w:trPr>
          <w:trHeight w:val="20"/>
        </w:trPr>
        <w:tc>
          <w:tcPr>
            <w:tcW w:w="8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2.2</w:t>
            </w:r>
          </w:p>
        </w:tc>
        <w:tc>
          <w:tcPr>
            <w:tcW w:w="7380" w:type="dxa"/>
            <w:vAlign w:val="bottom"/>
            <w:gridSpan w:val="8"/>
          </w:tcPr>
          <w:p>
            <w:pPr>
              <w:spacing w:after="0"/>
              <w:rPr>
                <w:rFonts w:ascii="Arial" w:cs="Arial" w:eastAsia="Arial" w:hAnsi="Arial"/>
                <w:sz w:val="18"/>
                <w:szCs w:val="18"/>
                <w:color w:val="0000EE"/>
                <w:w w:val="95"/>
              </w:rPr>
            </w:pPr>
            <w:hyperlink r:id="rId83">
              <w:r>
                <w:rPr>
                  <w:rFonts w:ascii="Arial" w:cs="Arial" w:eastAsia="Arial" w:hAnsi="Arial"/>
                  <w:sz w:val="18"/>
                  <w:szCs w:val="18"/>
                  <w:color w:val="0000EE"/>
                  <w:w w:val="95"/>
                </w:rPr>
                <w:t>Interest Purchase Agreement by and among MGM Elgin Sub, Inc., Illinois RBG, L.L.C., Eldorado</w:t>
              </w:r>
            </w:hyperlink>
          </w:p>
        </w:tc>
      </w:tr>
      <w:tr>
        <w:trPr>
          <w:trHeight w:val="20"/>
        </w:trPr>
        <w:tc>
          <w:tcPr>
            <w:tcW w:w="8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738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Resorts, Inc., Elgin Holdings I LLC, Elgin Holdings II LLC, Elgin Riverboat Resort-Riverboat Casino</w:t>
              </w:r>
            </w:hyperlink>
          </w:p>
        </w:tc>
      </w:tr>
      <w:tr>
        <w:trPr>
          <w:trHeight w:val="196"/>
        </w:trPr>
        <w:tc>
          <w:tcPr>
            <w:tcW w:w="800" w:type="dxa"/>
            <w:vAlign w:val="bottom"/>
          </w:tcPr>
          <w:p>
            <w:pPr>
              <w:spacing w:after="0"/>
              <w:rPr>
                <w:sz w:val="17"/>
                <w:szCs w:val="17"/>
                <w:color w:val="auto"/>
              </w:rPr>
            </w:pPr>
          </w:p>
        </w:tc>
        <w:tc>
          <w:tcPr>
            <w:tcW w:w="7380" w:type="dxa"/>
            <w:vAlign w:val="bottom"/>
            <w:gridSpan w:val="8"/>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and MGM Resorts International, dated as of April 15, 2018</w:t>
              </w:r>
            </w:hyperlink>
          </w:p>
        </w:tc>
      </w:tr>
      <w:tr>
        <w:trPr>
          <w:trHeight w:val="20"/>
        </w:trPr>
        <w:tc>
          <w:tcPr>
            <w:tcW w:w="8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4.1</w:t>
            </w:r>
          </w:p>
        </w:tc>
        <w:tc>
          <w:tcPr>
            <w:tcW w:w="7260" w:type="dxa"/>
            <w:vAlign w:val="bottom"/>
            <w:tcBorders>
              <w:bottom w:val="single" w:sz="8" w:color="0000EE"/>
            </w:tcBorders>
            <w:gridSpan w:val="7"/>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Sixth Supplemental Indenture, dated as of August 7, 2018, by and among Eldorado Resorts, Inc., the</w:t>
              </w:r>
            </w:hyperlink>
          </w:p>
        </w:tc>
        <w:tc>
          <w:tcPr>
            <w:tcW w:w="1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68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guarantors party thereto and U.S. Bank National Association, as Trustee, under the 2023 Notes</w:t>
              </w:r>
            </w:hyperlink>
          </w:p>
        </w:tc>
        <w:tc>
          <w:tcPr>
            <w:tcW w:w="54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Indenture</w:t>
              </w:r>
            </w:hyperlink>
          </w:p>
        </w:tc>
        <w:tc>
          <w:tcPr>
            <w:tcW w:w="6680" w:type="dxa"/>
            <w:vAlign w:val="bottom"/>
            <w:gridSpan w:val="7"/>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Previously filed on Form 8-K filed on April 16, 2018.</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Previously filed on Form 8-K filed on April 16, 2018.</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Previously filed on Form 10-Q filed on August 7, 2018.</w:t>
      </w:r>
    </w:p>
    <w:p>
      <w:pPr>
        <w:spacing w:after="0" w:line="274" w:lineRule="exact"/>
        <w:rPr>
          <w:sz w:val="20"/>
          <w:szCs w:val="20"/>
          <w:color w:val="auto"/>
        </w:rPr>
      </w:pPr>
    </w:p>
    <w:p>
      <w:pPr>
        <w:sectPr>
          <w:pgSz w:w="11900" w:h="16838" w:orient="portrait"/>
          <w:cols w:equalWidth="0" w:num="2">
            <w:col w:w="8420" w:space="160"/>
            <w:col w:w="2860"/>
          </w:cols>
          <w:pgMar w:left="240" w:top="337" w:right="219" w:bottom="1440" w:gutter="0" w:footer="0" w:header="0"/>
          <w:type w:val="continuous"/>
        </w:sectPr>
      </w:pPr>
    </w:p>
    <w:tbl>
      <w:tblPr>
        <w:tblLayout w:type="fixed"/>
        <w:tblInd w:w="240" w:type="dxa"/>
        <w:tblCellMar>
          <w:top w:w="0" w:type="dxa"/>
          <w:left w:w="0" w:type="dxa"/>
          <w:bottom w:w="0" w:type="dxa"/>
          <w:right w:w="0" w:type="dxa"/>
        </w:tblCellMar>
      </w:tblPr>
      <w:tr>
        <w:trPr>
          <w:trHeight w:val="207"/>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4.2</w:t>
            </w:r>
          </w:p>
        </w:tc>
        <w:tc>
          <w:tcPr>
            <w:tcW w:w="7280" w:type="dxa"/>
            <w:vAlign w:val="bottom"/>
            <w:tcBorders>
              <w:bottom w:val="single" w:sz="8" w:color="0000EE"/>
            </w:tcBorders>
            <w:gridSpan w:val="3"/>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Third Supplemental Indenture, dated as of August 7, 2018, by and among Eldorado Resorts, Inc., the</w:t>
              </w:r>
            </w:hyperlink>
          </w:p>
        </w:tc>
      </w:tr>
      <w:tr>
        <w:trPr>
          <w:trHeight w:val="196"/>
        </w:trPr>
        <w:tc>
          <w:tcPr>
            <w:tcW w:w="800" w:type="dxa"/>
            <w:vAlign w:val="bottom"/>
          </w:tcPr>
          <w:p>
            <w:pPr>
              <w:spacing w:after="0"/>
              <w:rPr>
                <w:sz w:val="17"/>
                <w:szCs w:val="17"/>
                <w:color w:val="auto"/>
              </w:rPr>
            </w:pPr>
          </w:p>
        </w:tc>
        <w:tc>
          <w:tcPr>
            <w:tcW w:w="68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guarantors party thereto and U.S. Bank National Association, as Trustee, under the 2025 Notes</w:t>
              </w:r>
            </w:hyperlink>
          </w:p>
        </w:tc>
        <w:tc>
          <w:tcPr>
            <w:tcW w:w="4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Indenture</w:t>
              </w:r>
            </w:hyperlink>
          </w:p>
        </w:tc>
        <w:tc>
          <w:tcPr>
            <w:tcW w:w="658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Previously filed on Form 10-Q filed on August 7, 2018.</w:t>
      </w:r>
    </w:p>
    <w:p>
      <w:pPr>
        <w:spacing w:after="0" w:line="274" w:lineRule="exact"/>
        <w:rPr>
          <w:sz w:val="20"/>
          <w:szCs w:val="20"/>
          <w:color w:val="auto"/>
        </w:rPr>
      </w:pPr>
    </w:p>
    <w:p>
      <w:pPr>
        <w:sectPr>
          <w:pgSz w:w="11900" w:h="16838" w:orient="portrait"/>
          <w:cols w:equalWidth="0" w:num="2">
            <w:col w:w="8320" w:space="260"/>
            <w:col w:w="2860"/>
          </w:cols>
          <w:pgMar w:left="240" w:top="337" w:right="21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860" w:type="dxa"/>
            <w:vAlign w:val="bottom"/>
          </w:tcPr>
          <w:p>
            <w:pPr>
              <w:jc w:val="right"/>
              <w:ind w:right="530"/>
              <w:spacing w:after="0"/>
              <w:rPr>
                <w:sz w:val="20"/>
                <w:szCs w:val="20"/>
                <w:color w:val="auto"/>
              </w:rPr>
            </w:pPr>
            <w:r>
              <w:rPr>
                <w:rFonts w:ascii="Arial" w:cs="Arial" w:eastAsia="Arial" w:hAnsi="Arial"/>
                <w:sz w:val="18"/>
                <w:szCs w:val="18"/>
                <w:color w:val="auto"/>
                <w:w w:val="87"/>
              </w:rPr>
              <w:t>4.3</w:t>
            </w:r>
          </w:p>
        </w:tc>
        <w:tc>
          <w:tcPr>
            <w:tcW w:w="7360" w:type="dxa"/>
            <w:vAlign w:val="bottom"/>
            <w:gridSpan w:val="7"/>
          </w:tcPr>
          <w:p>
            <w:pPr>
              <w:spacing w:after="0"/>
              <w:rPr>
                <w:rFonts w:ascii="Arial" w:cs="Arial" w:eastAsia="Arial" w:hAnsi="Arial"/>
                <w:sz w:val="18"/>
                <w:szCs w:val="18"/>
                <w:color w:val="0000EE"/>
                <w:w w:val="93"/>
              </w:rPr>
            </w:pPr>
            <w:hyperlink r:id="rId86">
              <w:r>
                <w:rPr>
                  <w:rFonts w:ascii="Arial" w:cs="Arial" w:eastAsia="Arial" w:hAnsi="Arial"/>
                  <w:sz w:val="18"/>
                  <w:szCs w:val="18"/>
                  <w:color w:val="0000EE"/>
                  <w:w w:val="93"/>
                </w:rPr>
                <w:t>Indenture dated as of September 20, 2018, by and between Delta Merger Sub, Inc. and U.S. Bank,</w:t>
              </w:r>
            </w:hyperlink>
          </w:p>
        </w:tc>
      </w:tr>
      <w:tr>
        <w:trPr>
          <w:trHeight w:val="196"/>
        </w:trPr>
        <w:tc>
          <w:tcPr>
            <w:tcW w:w="860" w:type="dxa"/>
            <w:vAlign w:val="bottom"/>
          </w:tcPr>
          <w:p>
            <w:pPr>
              <w:spacing w:after="0"/>
              <w:rPr>
                <w:sz w:val="17"/>
                <w:szCs w:val="17"/>
                <w:color w:val="auto"/>
              </w:rPr>
            </w:pPr>
          </w:p>
        </w:tc>
        <w:tc>
          <w:tcPr>
            <w:tcW w:w="7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National Association</w:t>
              </w:r>
            </w:hyperlink>
          </w:p>
        </w:tc>
        <w:tc>
          <w:tcPr>
            <w:tcW w:w="30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860" w:type="dxa"/>
            <w:vAlign w:val="bottom"/>
          </w:tcPr>
          <w:p>
            <w:pPr>
              <w:jc w:val="right"/>
              <w:ind w:right="530"/>
              <w:spacing w:after="0"/>
              <w:rPr>
                <w:sz w:val="20"/>
                <w:szCs w:val="20"/>
                <w:color w:val="auto"/>
              </w:rPr>
            </w:pPr>
            <w:r>
              <w:rPr>
                <w:rFonts w:ascii="Arial" w:cs="Arial" w:eastAsia="Arial" w:hAnsi="Arial"/>
                <w:sz w:val="18"/>
                <w:szCs w:val="18"/>
                <w:color w:val="auto"/>
                <w:w w:val="87"/>
              </w:rPr>
              <w:t>4.4</w:t>
            </w:r>
          </w:p>
        </w:tc>
        <w:tc>
          <w:tcPr>
            <w:tcW w:w="7360" w:type="dxa"/>
            <w:vAlign w:val="bottom"/>
            <w:tcBorders>
              <w:bottom w:val="single" w:sz="8" w:color="0000EE"/>
            </w:tcBorders>
            <w:gridSpan w:val="7"/>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Loan Agreement, dated as of October 1, 2018, by and among Eldorado Resorts, Inc. and GLP Capital,</w:t>
              </w:r>
            </w:hyperlink>
          </w:p>
        </w:tc>
      </w:tr>
      <w:tr>
        <w:trPr>
          <w:trHeight w:val="196"/>
        </w:trPr>
        <w:tc>
          <w:tcPr>
            <w:tcW w:w="860" w:type="dxa"/>
            <w:vAlign w:val="bottom"/>
          </w:tcPr>
          <w:p>
            <w:pPr>
              <w:spacing w:after="0"/>
              <w:rPr>
                <w:sz w:val="17"/>
                <w:szCs w:val="17"/>
                <w:color w:val="auto"/>
              </w:rPr>
            </w:pPr>
          </w:p>
        </w:tc>
        <w:tc>
          <w:tcPr>
            <w:tcW w:w="7360" w:type="dxa"/>
            <w:vAlign w:val="bottom"/>
            <w:gridSpan w:val="7"/>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L.P.</w:t>
              </w:r>
            </w:hyperlink>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860" w:type="dxa"/>
            <w:vAlign w:val="bottom"/>
          </w:tcPr>
          <w:p>
            <w:pPr>
              <w:jc w:val="right"/>
              <w:ind w:right="530"/>
              <w:spacing w:after="0"/>
              <w:rPr>
                <w:sz w:val="20"/>
                <w:szCs w:val="20"/>
                <w:color w:val="auto"/>
              </w:rPr>
            </w:pPr>
            <w:r>
              <w:rPr>
                <w:rFonts w:ascii="Arial" w:cs="Arial" w:eastAsia="Arial" w:hAnsi="Arial"/>
                <w:sz w:val="18"/>
                <w:szCs w:val="18"/>
                <w:color w:val="auto"/>
                <w:w w:val="87"/>
              </w:rPr>
              <w:t>4.5</w:t>
            </w:r>
          </w:p>
        </w:tc>
        <w:tc>
          <w:tcPr>
            <w:tcW w:w="7360" w:type="dxa"/>
            <w:vAlign w:val="bottom"/>
            <w:gridSpan w:val="7"/>
          </w:tcPr>
          <w:p>
            <w:pPr>
              <w:spacing w:after="0"/>
              <w:rPr>
                <w:rFonts w:ascii="Arial" w:cs="Arial" w:eastAsia="Arial" w:hAnsi="Arial"/>
                <w:sz w:val="18"/>
                <w:szCs w:val="18"/>
                <w:color w:val="0000EE"/>
                <w:w w:val="95"/>
              </w:rPr>
            </w:pPr>
            <w:hyperlink r:id="rId88">
              <w:r>
                <w:rPr>
                  <w:rFonts w:ascii="Arial" w:cs="Arial" w:eastAsia="Arial" w:hAnsi="Arial"/>
                  <w:sz w:val="18"/>
                  <w:szCs w:val="18"/>
                  <w:color w:val="0000EE"/>
                  <w:w w:val="95"/>
                </w:rPr>
                <w:t>Supplemental Indenture, dated as of October 1, 2018, by and among Eldorado Resorts, Inc., the</w:t>
              </w:r>
            </w:hyperlink>
          </w:p>
        </w:tc>
      </w:tr>
      <w:tr>
        <w:trPr>
          <w:trHeight w:val="196"/>
        </w:trPr>
        <w:tc>
          <w:tcPr>
            <w:tcW w:w="86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guarantors party thereto and U.S. Bank National Association, as Trustee, under the 2026 Notes</w:t>
              </w:r>
            </w:hyperlink>
          </w:p>
        </w:tc>
        <w:tc>
          <w:tcPr>
            <w:tcW w:w="40" w:type="dxa"/>
            <w:vAlign w:val="bottom"/>
            <w:tcBorders>
              <w:top w:val="single" w:sz="8" w:color="0000EE"/>
            </w:tcBorders>
          </w:tcPr>
          <w:p>
            <w:pPr>
              <w:spacing w:after="0"/>
              <w:rPr>
                <w:sz w:val="17"/>
                <w:szCs w:val="17"/>
                <w:color w:val="auto"/>
              </w:rPr>
            </w:pPr>
          </w:p>
        </w:tc>
        <w:tc>
          <w:tcPr>
            <w:tcW w:w="48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Indenture</w:t>
              </w:r>
            </w:hyperlink>
          </w:p>
        </w:tc>
        <w:tc>
          <w:tcPr>
            <w:tcW w:w="6660" w:type="dxa"/>
            <w:vAlign w:val="bottom"/>
            <w:gridSpan w:val="5"/>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Previously filed on Form 8-K filed on September 20, 2018</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Previously filed on Form 8-K filed on October 1, 2018</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Previously filed on Form 8-K filed on October 1, 2018</w:t>
      </w:r>
    </w:p>
    <w:p>
      <w:pPr>
        <w:spacing w:after="0" w:line="274" w:lineRule="exact"/>
        <w:rPr>
          <w:sz w:val="20"/>
          <w:szCs w:val="20"/>
          <w:color w:val="auto"/>
        </w:rPr>
      </w:pPr>
    </w:p>
    <w:p>
      <w:pPr>
        <w:sectPr>
          <w:pgSz w:w="11900" w:h="16838" w:orient="portrait"/>
          <w:cols w:equalWidth="0" w:num="2">
            <w:col w:w="8400" w:space="180"/>
            <w:col w:w="2860"/>
          </w:cols>
          <w:pgMar w:left="240" w:top="337" w:right="21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860" w:type="dxa"/>
            <w:vAlign w:val="bottom"/>
          </w:tcPr>
          <w:p>
            <w:pPr>
              <w:jc w:val="right"/>
              <w:ind w:right="530"/>
              <w:spacing w:after="0"/>
              <w:rPr>
                <w:sz w:val="20"/>
                <w:szCs w:val="20"/>
                <w:color w:val="auto"/>
              </w:rPr>
            </w:pPr>
            <w:r>
              <w:rPr>
                <w:rFonts w:ascii="Arial" w:cs="Arial" w:eastAsia="Arial" w:hAnsi="Arial"/>
                <w:sz w:val="18"/>
                <w:szCs w:val="18"/>
                <w:color w:val="auto"/>
                <w:w w:val="87"/>
              </w:rPr>
              <w:t>4.6</w:t>
            </w:r>
          </w:p>
        </w:tc>
        <w:tc>
          <w:tcPr>
            <w:tcW w:w="7240" w:type="dxa"/>
            <w:vAlign w:val="bottom"/>
            <w:tcBorders>
              <w:bottom w:val="single" w:sz="8" w:color="0000EE"/>
            </w:tcBorders>
            <w:gridSpan w:val="3"/>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Seventh Supplemental Indenture, dated as of October 1, 2018, by and among Eldorado Resorts, Inc.,</w:t>
              </w:r>
            </w:hyperlink>
          </w:p>
        </w:tc>
      </w:tr>
      <w:tr>
        <w:trPr>
          <w:trHeight w:val="196"/>
        </w:trPr>
        <w:tc>
          <w:tcPr>
            <w:tcW w:w="860" w:type="dxa"/>
            <w:vAlign w:val="bottom"/>
          </w:tcPr>
          <w:p>
            <w:pPr>
              <w:spacing w:after="0"/>
              <w:rPr>
                <w:sz w:val="17"/>
                <w:szCs w:val="17"/>
                <w:color w:val="auto"/>
              </w:rPr>
            </w:pPr>
          </w:p>
        </w:tc>
        <w:tc>
          <w:tcPr>
            <w:tcW w:w="71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the guarantors party thereto and U.S. Bank National Association, as Trustee, under the 2023 Notes</w:t>
              </w:r>
            </w:hyperlink>
          </w:p>
        </w:tc>
        <w:tc>
          <w:tcPr>
            <w:tcW w:w="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Indenture</w:t>
              </w:r>
            </w:hyperlink>
          </w:p>
        </w:tc>
        <w:tc>
          <w:tcPr>
            <w:tcW w:w="654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Previously filed on Form 8-K filed on October 1, 2018</w:t>
      </w:r>
    </w:p>
    <w:p>
      <w:pPr>
        <w:spacing w:after="0" w:line="274" w:lineRule="exact"/>
        <w:rPr>
          <w:sz w:val="20"/>
          <w:szCs w:val="20"/>
          <w:color w:val="auto"/>
        </w:rPr>
      </w:pPr>
    </w:p>
    <w:p>
      <w:pPr>
        <w:sectPr>
          <w:pgSz w:w="11900" w:h="16838" w:orient="portrait"/>
          <w:cols w:equalWidth="0" w:num="2">
            <w:col w:w="8280" w:space="300"/>
            <w:col w:w="2860"/>
          </w:cols>
          <w:pgMar w:left="240" w:top="337" w:right="21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94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7420" w:type="dxa"/>
            <w:vAlign w:val="bottom"/>
            <w:tcBorders>
              <w:bottom w:val="single" w:sz="8" w:color="0000EE"/>
            </w:tcBorders>
            <w:gridSpan w:val="7"/>
          </w:tcPr>
          <w:p>
            <w:pPr>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Fourth Supplemental Indenture, dated as of October 1, 2018, by and among Eldorado Resorts, Inc., the</w:t>
              </w:r>
            </w:hyperlink>
          </w:p>
        </w:tc>
      </w:tr>
      <w:tr>
        <w:trPr>
          <w:trHeight w:val="196"/>
        </w:trPr>
        <w:tc>
          <w:tcPr>
            <w:tcW w:w="940" w:type="dxa"/>
            <w:vAlign w:val="bottom"/>
          </w:tcPr>
          <w:p>
            <w:pPr>
              <w:spacing w:after="0"/>
              <w:rPr>
                <w:sz w:val="17"/>
                <w:szCs w:val="17"/>
                <w:color w:val="auto"/>
              </w:rPr>
            </w:pPr>
          </w:p>
        </w:tc>
        <w:tc>
          <w:tcPr>
            <w:tcW w:w="6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guarantors party thereto and U.S. Bank National Association, as Trustee, under the 2025 Notes</w:t>
              </w:r>
            </w:hyperlink>
          </w:p>
        </w:tc>
        <w:tc>
          <w:tcPr>
            <w:tcW w:w="580" w:type="dxa"/>
            <w:vAlign w:val="bottom"/>
            <w:gridSpan w:val="4"/>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Indenture</w:t>
              </w:r>
            </w:hyperlink>
          </w:p>
        </w:tc>
        <w:tc>
          <w:tcPr>
            <w:tcW w:w="6720" w:type="dxa"/>
            <w:vAlign w:val="bottom"/>
            <w:gridSpan w:val="6"/>
          </w:tcPr>
          <w:p>
            <w:pPr>
              <w:spacing w:after="0"/>
              <w:rPr>
                <w:sz w:val="17"/>
                <w:szCs w:val="17"/>
                <w:color w:val="auto"/>
              </w:rPr>
            </w:pPr>
          </w:p>
        </w:tc>
      </w:tr>
      <w:tr>
        <w:trPr>
          <w:trHeight w:val="318"/>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10.1</w:t>
            </w:r>
          </w:p>
        </w:tc>
        <w:tc>
          <w:tcPr>
            <w:tcW w:w="7400" w:type="dxa"/>
            <w:vAlign w:val="bottom"/>
            <w:tcBorders>
              <w:bottom w:val="single" w:sz="8" w:color="0000EE"/>
            </w:tcBorders>
            <w:gridSpan w:val="6"/>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Master Lease by and among Eldorado Resorts, Inc. and GLP Capital, L.P., dated as of October 1, 2018</w:t>
              </w:r>
            </w:hyperlink>
          </w:p>
        </w:tc>
        <w:tc>
          <w:tcPr>
            <w:tcW w:w="20" w:type="dxa"/>
            <w:vAlign w:val="bottom"/>
          </w:tcPr>
          <w:p>
            <w:pPr>
              <w:spacing w:after="0"/>
              <w:rPr>
                <w:sz w:val="24"/>
                <w:szCs w:val="24"/>
                <w:color w:val="auto"/>
              </w:rPr>
            </w:pPr>
          </w:p>
        </w:tc>
      </w:tr>
      <w:tr>
        <w:trPr>
          <w:trHeight w:val="534"/>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10.2</w:t>
            </w:r>
          </w:p>
        </w:tc>
        <w:tc>
          <w:tcPr>
            <w:tcW w:w="7060" w:type="dxa"/>
            <w:vAlign w:val="bottom"/>
            <w:tcBorders>
              <w:bottom w:val="single" w:sz="8" w:color="0000EE"/>
            </w:tcBorders>
            <w:gridSpan w:val="4"/>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Amendment Agreement No. 3, dated October 1, 2018, by and between Eldorado Resorts, Inc. and</w:t>
              </w:r>
            </w:hyperlink>
          </w:p>
        </w:tc>
        <w:tc>
          <w:tcPr>
            <w:tcW w:w="360" w:type="dxa"/>
            <w:vAlign w:val="bottom"/>
            <w:gridSpan w:val="3"/>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72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JPMorgan Chase, N.A., as administrative agent in connection with the Credit Agreement, dated as of</w:t>
              </w:r>
            </w:hyperlink>
          </w:p>
        </w:tc>
        <w:tc>
          <w:tcPr>
            <w:tcW w:w="140" w:type="dxa"/>
            <w:vAlign w:val="bottom"/>
            <w:gridSpan w:val="2"/>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7420" w:type="dxa"/>
            <w:vAlign w:val="bottom"/>
            <w:gridSpan w:val="7"/>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April 17, 2017</w:t>
              </w:r>
            </w:hyperlink>
          </w:p>
        </w:tc>
      </w:tr>
      <w:tr>
        <w:trPr>
          <w:trHeight w:val="20"/>
        </w:trPr>
        <w:tc>
          <w:tcPr>
            <w:tcW w:w="9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Previously filed on Form 8-K filed on October 1, 2018</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Previously filed on Form 8-K filed on October 1, 2018</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Previously filed on Form 8-K filed on October 1, 2018</w:t>
      </w:r>
    </w:p>
    <w:p>
      <w:pPr>
        <w:spacing w:after="0" w:line="274" w:lineRule="exact"/>
        <w:rPr>
          <w:sz w:val="20"/>
          <w:szCs w:val="20"/>
          <w:color w:val="auto"/>
        </w:rPr>
      </w:pPr>
    </w:p>
    <w:p>
      <w:pPr>
        <w:sectPr>
          <w:pgSz w:w="11900" w:h="16838" w:orient="portrait"/>
          <w:cols w:equalWidth="0" w:num="2">
            <w:col w:w="8460" w:space="120"/>
            <w:col w:w="2860"/>
          </w:cols>
          <w:pgMar w:left="240" w:top="337"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10.3</w:t>
            </w:r>
          </w:p>
        </w:tc>
        <w:tc>
          <w:tcPr>
            <w:tcW w:w="7420" w:type="dxa"/>
            <w:vAlign w:val="bottom"/>
            <w:gridSpan w:val="8"/>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Amendment No. 1 to Amended and Restated Employment Agreement, dated September 28, 2018, by</w:t>
              </w:r>
            </w:hyperlink>
          </w:p>
        </w:tc>
        <w:tc>
          <w:tcPr>
            <w:tcW w:w="2980" w:type="dxa"/>
            <w:vAlign w:val="bottom"/>
          </w:tcPr>
          <w:p>
            <w:pPr>
              <w:ind w:left="120"/>
              <w:spacing w:after="0"/>
              <w:rPr>
                <w:sz w:val="20"/>
                <w:szCs w:val="20"/>
                <w:color w:val="auto"/>
              </w:rPr>
            </w:pPr>
            <w:r>
              <w:rPr>
                <w:rFonts w:ascii="Arial" w:cs="Arial" w:eastAsia="Arial" w:hAnsi="Arial"/>
                <w:sz w:val="18"/>
                <w:szCs w:val="18"/>
                <w:color w:val="auto"/>
                <w:w w:val="98"/>
              </w:rPr>
              <w:t>Previously filed on Form 8-K filed on</w:t>
            </w:r>
          </w:p>
        </w:tc>
      </w:tr>
      <w:tr>
        <w:trPr>
          <w:trHeight w:val="196"/>
        </w:trPr>
        <w:tc>
          <w:tcPr>
            <w:tcW w:w="104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93">
              <w:r>
                <w:rPr>
                  <w:rFonts w:ascii="Arial" w:cs="Arial" w:eastAsia="Arial" w:hAnsi="Arial"/>
                  <w:sz w:val="18"/>
                  <w:szCs w:val="18"/>
                  <w:color w:val="0000EE"/>
                  <w:w w:val="88"/>
                </w:rPr>
                <w:t>and between Thomas Reeg and Eldorado Resorts, Inc.</w:t>
              </w:r>
            </w:hyperlink>
          </w:p>
        </w:tc>
        <w:tc>
          <w:tcPr>
            <w:tcW w:w="3380" w:type="dxa"/>
            <w:vAlign w:val="bottom"/>
            <w:tcBorders>
              <w:top w:val="single" w:sz="8" w:color="0000EE"/>
            </w:tcBorders>
            <w:gridSpan w:val="5"/>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ind w:left="120"/>
              <w:spacing w:after="0" w:line="196" w:lineRule="exact"/>
              <w:rPr>
                <w:sz w:val="20"/>
                <w:szCs w:val="20"/>
                <w:color w:val="auto"/>
              </w:rPr>
            </w:pPr>
            <w:r>
              <w:rPr>
                <w:rFonts w:ascii="Arial" w:cs="Arial" w:eastAsia="Arial" w:hAnsi="Arial"/>
                <w:sz w:val="18"/>
                <w:szCs w:val="18"/>
                <w:color w:val="auto"/>
              </w:rPr>
              <w:t>October 1, 2018</w:t>
            </w: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7420" w:type="dxa"/>
            <w:vAlign w:val="bottom"/>
            <w:gridSpan w:val="8"/>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Amendment No. 1 to Amended and Restated Employment Agreement, dated September 28, 2018, by</w:t>
              </w:r>
            </w:hyperlink>
          </w:p>
        </w:tc>
        <w:tc>
          <w:tcPr>
            <w:tcW w:w="2980" w:type="dxa"/>
            <w:vAlign w:val="bottom"/>
          </w:tcPr>
          <w:p>
            <w:pPr>
              <w:ind w:left="120"/>
              <w:spacing w:after="0"/>
              <w:rPr>
                <w:sz w:val="20"/>
                <w:szCs w:val="20"/>
                <w:color w:val="auto"/>
              </w:rPr>
            </w:pPr>
            <w:r>
              <w:rPr>
                <w:rFonts w:ascii="Arial" w:cs="Arial" w:eastAsia="Arial" w:hAnsi="Arial"/>
                <w:sz w:val="18"/>
                <w:szCs w:val="18"/>
                <w:color w:val="auto"/>
                <w:w w:val="98"/>
              </w:rPr>
              <w:t>Previously filed on Form 8-K filed on</w:t>
            </w:r>
          </w:p>
        </w:tc>
      </w:tr>
      <w:tr>
        <w:trPr>
          <w:trHeight w:val="196"/>
        </w:trPr>
        <w:tc>
          <w:tcPr>
            <w:tcW w:w="1040" w:type="dxa"/>
            <w:vAlign w:val="bottom"/>
          </w:tcPr>
          <w:p>
            <w:pPr>
              <w:spacing w:after="0"/>
              <w:rPr>
                <w:sz w:val="17"/>
                <w:szCs w:val="17"/>
                <w:color w:val="auto"/>
              </w:rPr>
            </w:pPr>
          </w:p>
        </w:tc>
        <w:tc>
          <w:tcPr>
            <w:tcW w:w="73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and between Gary Carano and Eldorado Resorts, Inc.</w:t>
              </w:r>
            </w:hyperlink>
          </w:p>
        </w:tc>
        <w:tc>
          <w:tcPr>
            <w:tcW w:w="120" w:type="dxa"/>
            <w:vAlign w:val="bottom"/>
          </w:tcPr>
          <w:p>
            <w:pPr>
              <w:spacing w:after="0"/>
              <w:rPr>
                <w:sz w:val="17"/>
                <w:szCs w:val="17"/>
                <w:color w:val="auto"/>
              </w:rPr>
            </w:pPr>
          </w:p>
        </w:tc>
        <w:tc>
          <w:tcPr>
            <w:tcW w:w="2980" w:type="dxa"/>
            <w:vAlign w:val="bottom"/>
          </w:tcPr>
          <w:p>
            <w:pPr>
              <w:ind w:left="120"/>
              <w:spacing w:after="0" w:line="196" w:lineRule="exact"/>
              <w:rPr>
                <w:sz w:val="20"/>
                <w:szCs w:val="20"/>
                <w:color w:val="auto"/>
              </w:rPr>
            </w:pPr>
            <w:r>
              <w:rPr>
                <w:rFonts w:ascii="Arial" w:cs="Arial" w:eastAsia="Arial" w:hAnsi="Arial"/>
                <w:sz w:val="18"/>
                <w:szCs w:val="18"/>
                <w:color w:val="auto"/>
              </w:rPr>
              <w:t>October 1, 2018</w:t>
            </w:r>
          </w:p>
        </w:tc>
      </w:tr>
      <w:tr>
        <w:trPr>
          <w:trHeight w:val="20"/>
        </w:trPr>
        <w:tc>
          <w:tcPr>
            <w:tcW w:w="104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10.5</w:t>
            </w:r>
          </w:p>
        </w:tc>
        <w:tc>
          <w:tcPr>
            <w:tcW w:w="7420" w:type="dxa"/>
            <w:vAlign w:val="bottom"/>
            <w:gridSpan w:val="8"/>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Amendment No. 1 to Amended and Restated Employment Agreement, dated September 29, 2018, by</w:t>
              </w:r>
            </w:hyperlink>
          </w:p>
        </w:tc>
        <w:tc>
          <w:tcPr>
            <w:tcW w:w="2980" w:type="dxa"/>
            <w:vAlign w:val="bottom"/>
          </w:tcPr>
          <w:p>
            <w:pPr>
              <w:ind w:left="120"/>
              <w:spacing w:after="0"/>
              <w:rPr>
                <w:sz w:val="20"/>
                <w:szCs w:val="20"/>
                <w:color w:val="auto"/>
              </w:rPr>
            </w:pPr>
            <w:r>
              <w:rPr>
                <w:rFonts w:ascii="Arial" w:cs="Arial" w:eastAsia="Arial" w:hAnsi="Arial"/>
                <w:sz w:val="18"/>
                <w:szCs w:val="18"/>
                <w:color w:val="auto"/>
                <w:w w:val="98"/>
              </w:rPr>
              <w:t>Previously filed on Form 8-K filed on</w:t>
            </w:r>
          </w:p>
        </w:tc>
      </w:tr>
      <w:tr>
        <w:trPr>
          <w:trHeight w:val="196"/>
        </w:trPr>
        <w:tc>
          <w:tcPr>
            <w:tcW w:w="10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and between Anthony Carano and Eldorado Resorts, Inc.</w:t>
              </w:r>
            </w:hyperlink>
          </w:p>
        </w:tc>
        <w:tc>
          <w:tcPr>
            <w:tcW w:w="3100" w:type="dxa"/>
            <w:vAlign w:val="bottom"/>
            <w:tcBorders>
              <w:top w:val="single" w:sz="8" w:color="0000EE"/>
            </w:tcBorders>
            <w:gridSpan w:val="4"/>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ind w:left="120"/>
              <w:spacing w:after="0" w:line="196" w:lineRule="exact"/>
              <w:rPr>
                <w:sz w:val="20"/>
                <w:szCs w:val="20"/>
                <w:color w:val="auto"/>
              </w:rPr>
            </w:pPr>
            <w:r>
              <w:rPr>
                <w:rFonts w:ascii="Arial" w:cs="Arial" w:eastAsia="Arial" w:hAnsi="Arial"/>
                <w:sz w:val="18"/>
                <w:szCs w:val="18"/>
                <w:color w:val="auto"/>
              </w:rPr>
              <w:t>October 1, 2018</w:t>
            </w: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7420" w:type="dxa"/>
            <w:vAlign w:val="bottom"/>
            <w:gridSpan w:val="8"/>
          </w:tcPr>
          <w:p>
            <w:pPr>
              <w:spacing w:after="0" w:line="207" w:lineRule="exact"/>
              <w:rPr>
                <w:rFonts w:ascii="Arial" w:cs="Arial" w:eastAsia="Arial" w:hAnsi="Arial"/>
                <w:sz w:val="18"/>
                <w:szCs w:val="18"/>
                <w:color w:val="0000EE"/>
              </w:rPr>
            </w:pPr>
            <w:hyperlink w:anchor="page65">
              <w:r>
                <w:rPr>
                  <w:rFonts w:ascii="Arial" w:cs="Arial" w:eastAsia="Arial" w:hAnsi="Arial"/>
                  <w:sz w:val="18"/>
                  <w:szCs w:val="18"/>
                  <w:color w:val="0000EE"/>
                </w:rPr>
                <w:t>Certification of Gary L. Carano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0"/>
        </w:trPr>
        <w:tc>
          <w:tcPr>
            <w:tcW w:w="1040" w:type="dxa"/>
            <w:vAlign w:val="bottom"/>
          </w:tcPr>
          <w:p>
            <w:pPr>
              <w:spacing w:after="0" w:line="20" w:lineRule="exact"/>
              <w:rPr>
                <w:sz w:val="1"/>
                <w:szCs w:val="1"/>
                <w:color w:val="auto"/>
              </w:rPr>
            </w:pPr>
          </w:p>
        </w:tc>
        <w:tc>
          <w:tcPr>
            <w:tcW w:w="544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7420" w:type="dxa"/>
            <w:vAlign w:val="bottom"/>
            <w:gridSpan w:val="8"/>
          </w:tcPr>
          <w:p>
            <w:pPr>
              <w:spacing w:after="0" w:line="207" w:lineRule="exact"/>
              <w:rPr>
                <w:rFonts w:ascii="Arial" w:cs="Arial" w:eastAsia="Arial" w:hAnsi="Arial"/>
                <w:sz w:val="18"/>
                <w:szCs w:val="18"/>
                <w:color w:val="0000EE"/>
              </w:rPr>
            </w:pPr>
            <w:hyperlink w:anchor="page66">
              <w:r>
                <w:rPr>
                  <w:rFonts w:ascii="Arial" w:cs="Arial" w:eastAsia="Arial" w:hAnsi="Arial"/>
                  <w:sz w:val="18"/>
                  <w:szCs w:val="18"/>
                  <w:color w:val="0000EE"/>
                </w:rPr>
                <w:t>Certification of Thomas R. Reeg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54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Certification of Gary L. Carano in accordance with 18 U.S.C. Section 1350</w:t>
              </w:r>
            </w:hyperlink>
          </w:p>
        </w:tc>
        <w:tc>
          <w:tcPr>
            <w:tcW w:w="220" w:type="dxa"/>
            <w:vAlign w:val="bottom"/>
            <w:tcBorders>
              <w:top w:val="single" w:sz="8" w:color="0000EE"/>
            </w:tcBorders>
            <w:gridSpan w:val="2"/>
          </w:tcPr>
          <w:p>
            <w:pPr>
              <w:spacing w:after="0"/>
              <w:rPr>
                <w:sz w:val="24"/>
                <w:szCs w:val="24"/>
                <w:color w:val="auto"/>
              </w:rPr>
            </w:pPr>
          </w:p>
        </w:tc>
        <w:tc>
          <w:tcPr>
            <w:tcW w:w="1760" w:type="dxa"/>
            <w:vAlign w:val="bottom"/>
            <w:gridSpan w:val="2"/>
          </w:tcPr>
          <w:p>
            <w:pPr>
              <w:spacing w:after="0"/>
              <w:rPr>
                <w:sz w:val="24"/>
                <w:szCs w:val="24"/>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32.2</w:t>
            </w:r>
          </w:p>
        </w:tc>
        <w:tc>
          <w:tcPr>
            <w:tcW w:w="55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of Thomas R. Reeg in accordance with 18 U.S.C. Section 1350</w:t>
              </w:r>
            </w:hyperlink>
          </w:p>
        </w:tc>
        <w:tc>
          <w:tcPr>
            <w:tcW w:w="1840" w:type="dxa"/>
            <w:vAlign w:val="bottom"/>
            <w:gridSpan w:val="3"/>
          </w:tcPr>
          <w:p>
            <w:pPr>
              <w:spacing w:after="0"/>
              <w:rPr>
                <w:sz w:val="24"/>
                <w:szCs w:val="24"/>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5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101.1</w:t>
            </w:r>
          </w:p>
        </w:tc>
        <w:tc>
          <w:tcPr>
            <w:tcW w:w="74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101.2</w:t>
            </w:r>
          </w:p>
        </w:tc>
        <w:tc>
          <w:tcPr>
            <w:tcW w:w="74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101.3</w:t>
            </w:r>
          </w:p>
        </w:tc>
        <w:tc>
          <w:tcPr>
            <w:tcW w:w="74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101.4</w:t>
            </w:r>
          </w:p>
        </w:tc>
        <w:tc>
          <w:tcPr>
            <w:tcW w:w="74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101.5</w:t>
            </w:r>
          </w:p>
        </w:tc>
        <w:tc>
          <w:tcPr>
            <w:tcW w:w="74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33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101.6</w:t>
            </w:r>
          </w:p>
        </w:tc>
        <w:tc>
          <w:tcPr>
            <w:tcW w:w="74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567"/>
        </w:trPr>
        <w:tc>
          <w:tcPr>
            <w:tcW w:w="1040" w:type="dxa"/>
            <w:vAlign w:val="bottom"/>
          </w:tcPr>
          <w:p>
            <w:pPr>
              <w:spacing w:after="0"/>
              <w:rPr>
                <w:sz w:val="24"/>
                <w:szCs w:val="24"/>
                <w:color w:val="auto"/>
              </w:rPr>
            </w:pPr>
          </w:p>
        </w:tc>
        <w:tc>
          <w:tcPr>
            <w:tcW w:w="5440" w:type="dxa"/>
            <w:vAlign w:val="bottom"/>
            <w:gridSpan w:val="4"/>
          </w:tcPr>
          <w:p>
            <w:pPr>
              <w:ind w:left="458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ELDORADO RESORTS,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8, 2018</w:t>
            </w:r>
          </w:p>
        </w:tc>
        <w:tc>
          <w:tcPr>
            <w:tcW w:w="31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G</w:t>
            </w:r>
            <w:r>
              <w:rPr>
                <w:rFonts w:ascii="Arial" w:cs="Arial" w:eastAsia="Arial" w:hAnsi="Arial"/>
                <w:sz w:val="12"/>
                <w:szCs w:val="12"/>
                <w:color w:val="auto"/>
                <w:w w:val="97"/>
              </w:rPr>
              <w:t>ARY</w:t>
            </w:r>
            <w:r>
              <w:rPr>
                <w:rFonts w:ascii="Arial" w:cs="Arial" w:eastAsia="Arial" w:hAnsi="Arial"/>
                <w:sz w:val="18"/>
                <w:szCs w:val="18"/>
                <w:color w:val="auto"/>
                <w:w w:val="97"/>
              </w:rPr>
              <w:t xml:space="preserve"> L. C</w:t>
            </w:r>
            <w:r>
              <w:rPr>
                <w:rFonts w:ascii="Arial" w:cs="Arial" w:eastAsia="Arial" w:hAnsi="Arial"/>
                <w:sz w:val="12"/>
                <w:szCs w:val="12"/>
                <w:color w:val="auto"/>
                <w:w w:val="97"/>
              </w:rPr>
              <w:t>ARANO</w:t>
            </w:r>
          </w:p>
        </w:tc>
      </w:tr>
      <w:tr>
        <w:trPr>
          <w:trHeight w:val="195"/>
        </w:trPr>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0"/>
              </w:rPr>
              <w:t>Gary L. Carano</w:t>
            </w:r>
          </w:p>
        </w:tc>
      </w:tr>
      <w:tr>
        <w:trPr>
          <w:trHeight w:val="230"/>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Chairman of the Board</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8, 2018</w:t>
            </w:r>
          </w:p>
        </w:tc>
        <w:tc>
          <w:tcPr>
            <w:tcW w:w="31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w:t>
            </w:r>
            <w:r>
              <w:rPr>
                <w:rFonts w:ascii="Arial" w:cs="Arial" w:eastAsia="Arial" w:hAnsi="Arial"/>
                <w:sz w:val="12"/>
                <w:szCs w:val="12"/>
                <w:color w:val="auto"/>
                <w:w w:val="94"/>
              </w:rPr>
              <w:t>HOMAS</w:t>
            </w:r>
            <w:r>
              <w:rPr>
                <w:rFonts w:ascii="Arial" w:cs="Arial" w:eastAsia="Arial" w:hAnsi="Arial"/>
                <w:sz w:val="18"/>
                <w:szCs w:val="18"/>
                <w:color w:val="auto"/>
                <w:w w:val="94"/>
              </w:rPr>
              <w:t xml:space="preserve"> R. R</w:t>
            </w:r>
            <w:r>
              <w:rPr>
                <w:rFonts w:ascii="Arial" w:cs="Arial" w:eastAsia="Arial" w:hAnsi="Arial"/>
                <w:sz w:val="12"/>
                <w:szCs w:val="12"/>
                <w:color w:val="auto"/>
                <w:w w:val="94"/>
              </w:rPr>
              <w:t>EEG</w:t>
            </w:r>
          </w:p>
        </w:tc>
      </w:tr>
      <w:tr>
        <w:trPr>
          <w:trHeight w:val="195"/>
        </w:trPr>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Thomas R. Reeg</w:t>
            </w:r>
          </w:p>
        </w:tc>
      </w:tr>
      <w:tr>
        <w:trPr>
          <w:trHeight w:val="216"/>
        </w:trPr>
        <w:tc>
          <w:tcPr>
            <w:tcW w:w="3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and Chief Financial Officer</w:t>
            </w:r>
          </w:p>
        </w:tc>
      </w:tr>
      <w:tr>
        <w:trPr>
          <w:trHeight w:val="230"/>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648"/>
        </w:trPr>
        <w:tc>
          <w:tcPr>
            <w:tcW w:w="3700" w:type="dxa"/>
            <w:vAlign w:val="bottom"/>
          </w:tcPr>
          <w:p>
            <w:pPr>
              <w:spacing w:after="0"/>
              <w:rPr>
                <w:sz w:val="24"/>
                <w:szCs w:val="24"/>
                <w:color w:val="auto"/>
              </w:rPr>
            </w:pPr>
          </w:p>
        </w:tc>
        <w:tc>
          <w:tcPr>
            <w:tcW w:w="3160" w:type="dxa"/>
            <w:vAlign w:val="bottom"/>
          </w:tcPr>
          <w:p>
            <w:pPr>
              <w:jc w:val="right"/>
              <w:ind w:right="970"/>
              <w:spacing w:after="0"/>
              <w:rPr>
                <w:sz w:val="20"/>
                <w:szCs w:val="20"/>
                <w:color w:val="auto"/>
              </w:rPr>
            </w:pPr>
            <w:r>
              <w:rPr>
                <w:rFonts w:ascii="Arial" w:cs="Arial" w:eastAsia="Arial" w:hAnsi="Arial"/>
                <w:sz w:val="18"/>
                <w:szCs w:val="18"/>
                <w:color w:val="auto"/>
              </w:rPr>
              <w:t>62</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1" w:lineRule="exact"/>
        <w:rPr>
          <w:sz w:val="20"/>
          <w:szCs w:val="20"/>
          <w:color w:val="auto"/>
        </w:rPr>
      </w:pPr>
    </w:p>
    <w:p>
      <w:pPr>
        <w:ind w:right="300" w:firstLine="518"/>
        <w:spacing w:after="0" w:line="223" w:lineRule="exact"/>
        <w:rPr>
          <w:sz w:val="20"/>
          <w:szCs w:val="20"/>
          <w:color w:val="auto"/>
        </w:rPr>
      </w:pPr>
      <w:r>
        <w:rPr>
          <w:rFonts w:ascii="Arial" w:cs="Arial" w:eastAsia="Arial" w:hAnsi="Arial"/>
          <w:sz w:val="18"/>
          <w:szCs w:val="18"/>
          <w:color w:val="auto"/>
        </w:rPr>
        <w:t>I, Gary L. Carano, Chief Executive Officer and Chairman of the Board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95" w:lineRule="exact"/>
        <w:rPr>
          <w:sz w:val="20"/>
          <w:szCs w:val="20"/>
          <w:color w:val="auto"/>
        </w:rPr>
      </w:pPr>
    </w:p>
    <w:p>
      <w:pPr>
        <w:ind w:left="1040" w:right="140" w:hanging="519"/>
        <w:spacing w:after="0" w:line="223" w:lineRule="exact"/>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30, 2018 (the “Periodic Report”) fully complies with the requirements of Section 13(a) or 15(d) of the Securities Exchange Act of 1934 (15 U.S.C. 78m or 78o(d)); and</w:t>
      </w:r>
    </w:p>
    <w:p>
      <w:pPr>
        <w:spacing w:after="0" w:line="95"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Thomas R. Reeg, President and Chief Financial Officer of Eldorado Resorts, Inc. (the “Company”), do hereby certify in accordance with 18 U.S.C.</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03" w:lineRule="exact"/>
        <w:rPr>
          <w:sz w:val="20"/>
          <w:szCs w:val="20"/>
          <w:color w:val="auto"/>
        </w:rPr>
      </w:pPr>
    </w:p>
    <w:p>
      <w:pPr>
        <w:ind w:left="1040" w:right="140" w:hanging="519"/>
        <w:spacing w:after="0" w:line="223" w:lineRule="exact"/>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30, 2018 (the “Periodic Report”) fully complies with the requirements of Section 13(a) or 15(d) of the Securities Exchange Act of 1934 (15 U.S.C. 78m or 78o(d)); and</w:t>
      </w:r>
    </w:p>
    <w:p>
      <w:pPr>
        <w:spacing w:after="0" w:line="95"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lowerRoman"/>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2"/>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1:"/>
      <w:numFmt w:val="decimal"/>
      <w:start w:val="3"/>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82" Type="http://schemas.openxmlformats.org/officeDocument/2006/relationships/hyperlink" Target="http://www.sec.gov/Archives/edgar/data/1590895/000119312518117700/d565201dex21.htm" TargetMode="External"/><Relationship Id="rId83" Type="http://schemas.openxmlformats.org/officeDocument/2006/relationships/hyperlink" Target="http://www.sec.gov/Archives/edgar/data/1590895/000119312518117704/d565207dex21.htm" TargetMode="External"/><Relationship Id="rId84" Type="http://schemas.openxmlformats.org/officeDocument/2006/relationships/hyperlink" Target="http://www.sec.gov/Archives/edgar/data/1590895/000156459018019805/eri-ex43_409.htm" TargetMode="External"/><Relationship Id="rId85" Type="http://schemas.openxmlformats.org/officeDocument/2006/relationships/hyperlink" Target="http://www.sec.gov/Archives/edgar/data/1590895/000156459018019805/eri-ex44_410.htm" TargetMode="External"/><Relationship Id="rId86" Type="http://schemas.openxmlformats.org/officeDocument/2006/relationships/hyperlink" Target="http://www.sec.gov/Archives/edgar/data/1590895/000119312518278536/d627152dex41.htm" TargetMode="External"/><Relationship Id="rId87" Type="http://schemas.openxmlformats.org/officeDocument/2006/relationships/hyperlink" Target="http://www.sec.gov/Archives/edgar/data/1590895/000119312518289591/d625611dex41.htm" TargetMode="External"/><Relationship Id="rId88" Type="http://schemas.openxmlformats.org/officeDocument/2006/relationships/hyperlink" Target="http://www.sec.gov/Archives/edgar/data/1590895/000119312518289591/d625611dex42.htm" TargetMode="External"/><Relationship Id="rId89" Type="http://schemas.openxmlformats.org/officeDocument/2006/relationships/hyperlink" Target="http://www.sec.gov/Archives/edgar/data/1590895/000119312518289591/d625611dex43.htm" TargetMode="External"/><Relationship Id="rId90" Type="http://schemas.openxmlformats.org/officeDocument/2006/relationships/hyperlink" Target="http://www.sec.gov/Archives/edgar/data/1590895/000119312518289591/d625611dex44.htm" TargetMode="External"/><Relationship Id="rId91" Type="http://schemas.openxmlformats.org/officeDocument/2006/relationships/hyperlink" Target="http://www.sec.gov/Archives/edgar/data/1590895/000119312518289591/d625611dex101.htm" TargetMode="External"/><Relationship Id="rId92" Type="http://schemas.openxmlformats.org/officeDocument/2006/relationships/hyperlink" Target="http://www.sec.gov/Archives/edgar/data/1590895/000119312518289591/d625611dex102.htm" TargetMode="External"/><Relationship Id="rId93" Type="http://schemas.openxmlformats.org/officeDocument/2006/relationships/hyperlink" Target="http://www.sec.gov/Archives/edgar/data/1590895/000119312518289591/d625611dex103.htm" TargetMode="External"/><Relationship Id="rId94" Type="http://schemas.openxmlformats.org/officeDocument/2006/relationships/hyperlink" Target="http://www.sec.gov/Archives/edgar/data/1590895/000119312518289591/d625611dex104.htm" TargetMode="External"/><Relationship Id="rId95" Type="http://schemas.openxmlformats.org/officeDocument/2006/relationships/hyperlink" Target="http://www.sec.gov/Archives/edgar/data/1590895/000119312518289591/d625611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2020-01-10T23:09:07Z</dcterms:created>
  <dcterms:modified xsi:type="dcterms:W3CDTF">2020-01-10T23:09:07Z</dcterms:modified>
</cp:coreProperties>
</file>