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3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7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2002"/>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left="2022"/>
              <w:spacing w:after="0" w:line="207" w:lineRule="exact"/>
              <w:rPr>
                <w:sz w:val="20"/>
                <w:szCs w:val="20"/>
                <w:color w:val="auto"/>
              </w:rPr>
            </w:pPr>
            <w:r>
              <w:rPr>
                <w:rFonts w:ascii="Arial" w:cs="Arial" w:eastAsia="Arial" w:hAnsi="Arial"/>
                <w:sz w:val="18"/>
                <w:szCs w:val="18"/>
                <w:b w:val="1"/>
                <w:bCs w:val="1"/>
                <w:color w:val="auto"/>
                <w:w w:val="89"/>
              </w:rPr>
              <w:t>46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3657681</w:t>
            </w:r>
          </w:p>
        </w:tc>
      </w:tr>
      <w:tr>
        <w:trPr>
          <w:trHeight w:val="149"/>
        </w:trPr>
        <w:tc>
          <w:tcPr>
            <w:tcW w:w="398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5"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8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49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The number of shares of the Registrant’s Common Stock, $0.00001 par value per share, outstanding as of August 3, 2018 was 77,337,667.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FOR THE THREE AND SIX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23"/>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00" w:type="dxa"/>
            <w:vAlign w:val="bottom"/>
            <w:gridSpan w:val="12"/>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900" w:type="dxa"/>
            <w:vAlign w:val="bottom"/>
            <w:gridSpan w:val="1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59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June 30, 2018 (unaudited) and December 31, 2017</w:t>
              </w:r>
            </w:hyperlink>
          </w:p>
        </w:tc>
        <w:tc>
          <w:tcPr>
            <w:tcW w:w="4100" w:type="dxa"/>
            <w:vAlign w:val="bottom"/>
            <w:gridSpan w:val="7"/>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100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2018 and 2017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(Loss) for the Three and Six Months Ended June 30, 2018 and 2017 (unaudited)</w:t>
              </w:r>
            </w:hyperlink>
          </w:p>
        </w:tc>
        <w:tc>
          <w:tcPr>
            <w:tcW w:w="50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74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June 30, 2018 and 2017 (unaudited)</w:t>
              </w:r>
            </w:hyperlink>
          </w:p>
        </w:tc>
        <w:tc>
          <w:tcPr>
            <w:tcW w:w="2640" w:type="dxa"/>
            <w:vAlign w:val="bottom"/>
            <w:gridSpan w:val="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Notes to Unaudited Consolidated Financial Statements</w:t>
              </w:r>
            </w:hyperlink>
          </w:p>
        </w:tc>
        <w:tc>
          <w:tcPr>
            <w:tcW w:w="5260" w:type="dxa"/>
            <w:vAlign w:val="bottom"/>
            <w:gridSpan w:val="8"/>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1140" w:type="dxa"/>
            <w:vAlign w:val="bottom"/>
            <w:gridSpan w:val="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3920" w:type="dxa"/>
            <w:vAlign w:val="bottom"/>
            <w:gridSpan w:val="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 OTHER INFORMATION</w:t>
              </w:r>
            </w:hyperlink>
          </w:p>
        </w:tc>
        <w:tc>
          <w:tcPr>
            <w:tcW w:w="8200" w:type="dxa"/>
            <w:vAlign w:val="bottom"/>
            <w:gridSpan w:val="1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UNREGISTERED SALES OF EQUITY SECURITIES AND USE OF PROCEEDS</w:t>
              </w:r>
            </w:hyperlink>
          </w:p>
        </w:tc>
        <w:tc>
          <w:tcPr>
            <w:tcW w:w="3980" w:type="dxa"/>
            <w:vAlign w:val="bottom"/>
            <w:gridSpan w:val="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DEFAULTS UPON SENIOR SECURITIES</w:t>
              </w:r>
            </w:hyperlink>
          </w:p>
        </w:tc>
        <w:tc>
          <w:tcPr>
            <w:tcW w:w="6860" w:type="dxa"/>
            <w:vAlign w:val="bottom"/>
            <w:gridSpan w:val="9"/>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1"/>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0980" w:type="dxa"/>
            <w:vAlign w:val="bottom"/>
            <w:gridSpan w:val="20"/>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SIGNATURES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720" w:type="dxa"/>
            <w:vAlign w:val="bottom"/>
            <w:gridSpan w:val="11"/>
          </w:tcPr>
          <w:p>
            <w:pPr>
              <w:jc w:val="right"/>
              <w:ind w:right="1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5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rPr>
              <w:t>PART I-FINANCIAL INFORMATION</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5160" w:type="dxa"/>
            <w:vAlign w:val="bottom"/>
          </w:tcPr>
          <w:p>
            <w:pPr>
              <w:ind w:left="4560"/>
              <w:spacing w:after="0"/>
              <w:rPr>
                <w:sz w:val="20"/>
                <w:szCs w:val="20"/>
                <w:color w:val="auto"/>
              </w:rPr>
            </w:pPr>
            <w:r>
              <w:rPr>
                <w:rFonts w:ascii="Arial" w:cs="Arial" w:eastAsia="Arial" w:hAnsi="Arial"/>
                <w:sz w:val="18"/>
                <w:szCs w:val="18"/>
                <w:b w:val="1"/>
                <w:bCs w:val="1"/>
                <w:color w:val="auto"/>
              </w:rPr>
              <w:t>Item 1.</w:t>
            </w:r>
          </w:p>
        </w:tc>
        <w:tc>
          <w:tcPr>
            <w:tcW w:w="340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w w:val="90"/>
              </w:rPr>
              <w:t>Financial Statements.</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560" w:type="dxa"/>
            <w:vAlign w:val="bottom"/>
            <w:gridSpan w:val="3"/>
          </w:tcPr>
          <w:p>
            <w:pPr>
              <w:jc w:val="center"/>
              <w:ind w:left="2770"/>
              <w:spacing w:after="0"/>
              <w:rPr>
                <w:sz w:val="20"/>
                <w:szCs w:val="20"/>
                <w:color w:val="auto"/>
              </w:rPr>
            </w:pPr>
            <w:r>
              <w:rPr>
                <w:rFonts w:ascii="Arial" w:cs="Arial" w:eastAsia="Arial" w:hAnsi="Arial"/>
                <w:sz w:val="18"/>
                <w:szCs w:val="18"/>
                <w:b w:val="1"/>
                <w:bCs w:val="1"/>
                <w:color w:val="auto"/>
                <w:w w:val="98"/>
              </w:rPr>
              <w:t>ELDORADO RESORTS, INC.</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5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CONSOLIDATED BALANCE SHEETS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560" w:type="dxa"/>
            <w:vAlign w:val="bottom"/>
            <w:gridSpan w:val="3"/>
          </w:tcPr>
          <w:p>
            <w:pPr>
              <w:jc w:val="center"/>
              <w:ind w:left="2770"/>
              <w:spacing w:after="0"/>
              <w:rPr>
                <w:sz w:val="20"/>
                <w:szCs w:val="20"/>
                <w:color w:val="auto"/>
              </w:rPr>
            </w:pPr>
            <w:r>
              <w:rPr>
                <w:rFonts w:ascii="Arial" w:cs="Arial" w:eastAsia="Arial" w:hAnsi="Arial"/>
                <w:sz w:val="18"/>
                <w:szCs w:val="18"/>
                <w:b w:val="1"/>
                <w:bCs w:val="1"/>
                <w:color w:val="auto"/>
                <w:w w:val="88"/>
              </w:rPr>
              <w:t>(dollars in thousands)</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5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60" w:type="dxa"/>
            <w:vAlign w:val="bottom"/>
            <w:shd w:val="clear" w:color="auto" w:fill="CFF0FC"/>
          </w:tcPr>
          <w:p>
            <w:pPr>
              <w:ind w:left="3680"/>
              <w:spacing w:after="0"/>
              <w:rPr>
                <w:sz w:val="20"/>
                <w:szCs w:val="20"/>
                <w:color w:val="auto"/>
              </w:rPr>
            </w:pPr>
            <w:r>
              <w:rPr>
                <w:rFonts w:ascii="Arial" w:cs="Arial" w:eastAsia="Arial" w:hAnsi="Arial"/>
                <w:sz w:val="18"/>
                <w:szCs w:val="18"/>
                <w:b w:val="1"/>
                <w:bCs w:val="1"/>
                <w:color w:val="auto"/>
              </w:rPr>
              <w:t>ASSETS</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202,016</w:t>
            </w:r>
          </w:p>
        </w:tc>
        <w:tc>
          <w:tcPr>
            <w:tcW w:w="4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134,596</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34,808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45,797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affiliates</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14,847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16,870</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30,469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27,823</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201,202</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505,403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251,032</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1,400,088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1,502,817</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Gaming licenses and other intangibles, net</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915,936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996,816</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719,254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18,069</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3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30,632</w:t>
            </w:r>
          </w:p>
        </w:tc>
        <w:tc>
          <w:tcPr>
            <w:tcW w:w="120" w:type="dxa"/>
            <w:vAlign w:val="bottom"/>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3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3,599,746</w:t>
            </w: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Borders>
              <w:bottom w:val="single" w:sz="8" w:color="CFF0FC"/>
            </w:tcBorders>
          </w:tcPr>
          <w:p>
            <w:pPr>
              <w:spacing w:after="0"/>
              <w:rPr>
                <w:sz w:val="22"/>
                <w:szCs w:val="22"/>
                <w:color w:val="auto"/>
              </w:rPr>
            </w:pPr>
          </w:p>
        </w:tc>
      </w:tr>
      <w:tr>
        <w:trPr>
          <w:trHeight w:val="210"/>
        </w:trPr>
        <w:tc>
          <w:tcPr>
            <w:tcW w:w="8340" w:type="dxa"/>
            <w:vAlign w:val="bottom"/>
            <w:gridSpan w:val="2"/>
            <w:shd w:val="clear" w:color="auto" w:fill="CFF0FC"/>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CURRENT LIABILITIES: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3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4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28,949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34,778</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to affiliates</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35,133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43,212</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50,936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53,330</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26,788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25,607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Accrued other liabilities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69,341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66,037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217,692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223,750</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2,190,749</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2,189,578</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176,607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162,967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28,579</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2,603,023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2,604,874</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Commitments and contingencies (Note 11)</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STOCKHOLDERS' EQUITY:</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5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Common stock, 200,000,000 and 100,000,000 shares authorized, 77,326,124</w:t>
            </w: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5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and 76,825,966 issued and outstanding, par value $0.00001 as of June 30, 2018</w:t>
            </w: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December 31, 2017, respectively</w:t>
            </w:r>
          </w:p>
        </w:tc>
        <w:tc>
          <w:tcPr>
            <w:tcW w:w="3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Paid-in capital</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744,020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746,547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3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252,623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194,972</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996,723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941,598</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3,599,746</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Casino</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343,675</w:t>
            </w:r>
          </w:p>
        </w:tc>
        <w:tc>
          <w:tcPr>
            <w:tcW w:w="3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275,593</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683,133</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Pari-mutuel commissions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54,293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Hotel</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456,802</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165,353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21,832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73,745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60,887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31,910</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376,439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320,480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759,098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Gain (loss) on sale or disposal of property and equipment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Transaction expenses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(3,404)</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(85,464)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(5,952)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(87,078)</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Equity in income (loss) of unconsolidated affiliates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77,414</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131,608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(31,405)</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(27,527)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(62,494)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Loss on early retirement of debt, net</w:t>
            </w: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(27,317)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(31,405)</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(62,656)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(9,213)</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(11,301)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36,796</w:t>
            </w:r>
          </w:p>
        </w:tc>
        <w:tc>
          <w:tcPr>
            <w:tcW w:w="3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(46,190)</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57,651</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of common stock:</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340" w:type="dxa"/>
            <w:vAlign w:val="bottom"/>
          </w:tcPr>
          <w:p>
            <w:pPr>
              <w:spacing w:after="0"/>
              <w:rPr>
                <w:sz w:val="23"/>
                <w:szCs w:val="23"/>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0"/>
        </w:trPr>
        <w:tc>
          <w:tcPr>
            <w:tcW w:w="60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77,458,584</w:t>
            </w:r>
          </w:p>
        </w:tc>
        <w:tc>
          <w:tcPr>
            <w:tcW w:w="3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67,453,095</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77,406,447</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57,405,834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78,258,629</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67,453,095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78,169,629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57,405,834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36,796</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(45,245)</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36,796</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(46,190</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(45,245)</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gridSpan w:val="3"/>
          </w:tcPr>
          <w:p>
            <w:pPr>
              <w:jc w:val="right"/>
              <w:ind w:right="113"/>
              <w:spacing w:after="0"/>
              <w:rPr>
                <w:sz w:val="20"/>
                <w:szCs w:val="20"/>
                <w:color w:val="auto"/>
              </w:rPr>
            </w:pPr>
            <w:r>
              <w:rPr>
                <w:rFonts w:ascii="Arial" w:cs="Arial" w:eastAsia="Arial" w:hAnsi="Arial"/>
                <w:sz w:val="13"/>
                <w:szCs w:val="13"/>
                <w:b w:val="1"/>
                <w:bCs w:val="1"/>
                <w:color w:val="auto"/>
              </w:rPr>
              <w:t>Six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June 30,</w:t>
            </w: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30"/>
              <w:spacing w:after="0" w:line="143" w:lineRule="exact"/>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auto"/>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7"/>
              <w:spacing w:after="0" w:line="143"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Net income (loss)</w:t>
            </w:r>
          </w:p>
        </w:tc>
        <w:tc>
          <w:tcPr>
            <w:tcW w:w="900" w:type="dxa"/>
            <w:vAlign w:val="bottom"/>
          </w:tcPr>
          <w:p>
            <w:pPr>
              <w:jc w:val="right"/>
              <w:ind w:right="790"/>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57,651</w:t>
            </w:r>
          </w:p>
        </w:tc>
        <w:tc>
          <w:tcPr>
            <w:tcW w:w="440" w:type="dxa"/>
            <w:vAlign w:val="bottom"/>
          </w:tcPr>
          <w:p>
            <w:pPr>
              <w:spacing w:after="0"/>
              <w:rPr>
                <w:sz w:val="12"/>
                <w:szCs w:val="12"/>
                <w:color w:val="auto"/>
              </w:rPr>
            </w:pP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(45,245)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income (loss) to net cash provided by operating</w:t>
            </w:r>
          </w:p>
        </w:tc>
        <w:tc>
          <w:tcPr>
            <w:tcW w:w="9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80"/>
              <w:spacing w:after="0"/>
              <w:rPr>
                <w:sz w:val="20"/>
                <w:szCs w:val="20"/>
                <w:color w:val="auto"/>
              </w:rPr>
            </w:pPr>
            <w:r>
              <w:rPr>
                <w:rFonts w:ascii="Arial" w:cs="Arial" w:eastAsia="Arial" w:hAnsi="Arial"/>
                <w:sz w:val="13"/>
                <w:szCs w:val="13"/>
                <w:color w:val="auto"/>
              </w:rPr>
              <w:t>activities:</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63,444</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40,513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2,533</w:t>
            </w: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Loss on early retirement of debt</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162</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27,317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compensation expense</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7,151</w:t>
            </w: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Impairment charges</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9,815</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(benefit) for deferred income taxes</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10,461</w:t>
            </w: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(38,072)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Other</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1,212</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20"/>
                <w:szCs w:val="20"/>
                <w:color w:val="auto"/>
              </w:rPr>
            </w:pPr>
            <w:r>
              <w:rPr>
                <w:rFonts w:ascii="Arial" w:cs="Arial" w:eastAsia="Arial" w:hAnsi="Arial"/>
                <w:sz w:val="13"/>
                <w:szCs w:val="13"/>
                <w:color w:val="auto"/>
              </w:rPr>
              <w:t>Change in operating assets and liabilities:</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Sale of trading securities</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565</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receivable</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7,507</w:t>
            </w: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198</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Prepaid expenses and other assets</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(1,722)</w:t>
            </w: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Accounts payable and accrued liabilities</w:t>
            </w:r>
          </w:p>
        </w:tc>
        <w:tc>
          <w:tcPr>
            <w:tcW w:w="90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(10,473)</w:t>
            </w: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90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7"/>
              </w:rPr>
              <w:t>148,504</w:t>
            </w:r>
          </w:p>
        </w:tc>
        <w:tc>
          <w:tcPr>
            <w:tcW w:w="44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3,043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Purchase of property and equipment, net</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(55,181)</w:t>
            </w: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(29,824)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Proceeds from sale of property and equipment</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840</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cash used in business combinations</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(1,313,051)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Escrow deposit</w:t>
            </w:r>
          </w:p>
        </w:tc>
        <w:tc>
          <w:tcPr>
            <w:tcW w:w="90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(15,000)</w:t>
            </w:r>
          </w:p>
        </w:tc>
        <w:tc>
          <w:tcPr>
            <w:tcW w:w="4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used in investing activities</w:t>
            </w:r>
          </w:p>
        </w:tc>
        <w:tc>
          <w:tcPr>
            <w:tcW w:w="90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9"/>
              </w:rPr>
              <w:t>(69,341)</w:t>
            </w:r>
          </w:p>
        </w:tc>
        <w:tc>
          <w:tcPr>
            <w:tcW w:w="44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(1,342,875)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issuance of Term Loan</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Proceeds from issuance of 6% Senior Notes</w:t>
            </w:r>
          </w:p>
        </w:tc>
        <w:tc>
          <w:tcPr>
            <w:tcW w:w="90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Borrowings under Revolving Credit Facility</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189,953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Payments under Term Loan</w:t>
            </w:r>
          </w:p>
        </w:tc>
        <w:tc>
          <w:tcPr>
            <w:tcW w:w="90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(422,250)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under Revolving Credit Facility</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(128,953)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Debt issuance costs</w:t>
            </w:r>
          </w:p>
        </w:tc>
        <w:tc>
          <w:tcPr>
            <w:tcW w:w="90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(305)</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(44,992)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(9,677)</w:t>
            </w: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(8,993)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Proceeds from exercise of stock options</w:t>
            </w:r>
          </w:p>
        </w:tc>
        <w:tc>
          <w:tcPr>
            <w:tcW w:w="90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on other long-term payables</w:t>
            </w:r>
          </w:p>
        </w:tc>
        <w:tc>
          <w:tcPr>
            <w:tcW w:w="9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(344)</w:t>
            </w: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(used in) provided by financing activities</w:t>
            </w:r>
          </w:p>
        </w:tc>
        <w:tc>
          <w:tcPr>
            <w:tcW w:w="9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(10,326)</w:t>
            </w:r>
          </w:p>
        </w:tc>
        <w:tc>
          <w:tcPr>
            <w:tcW w:w="440" w:type="dxa"/>
            <w:vAlign w:val="bottom"/>
            <w:tcBorders>
              <w:bottom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1,412,453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Increase in cash, cash equivalents and restricted cash</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68,837</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72,621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cash equivalents and restricted cash, beginning of period</w:t>
            </w:r>
          </w:p>
        </w:tc>
        <w:tc>
          <w:tcPr>
            <w:tcW w:w="9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7"/>
              </w:rPr>
              <w:t>147,749</w:t>
            </w:r>
          </w:p>
        </w:tc>
        <w:tc>
          <w:tcPr>
            <w:tcW w:w="44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63,444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40" w:type="dxa"/>
            <w:vAlign w:val="bottom"/>
            <w:tcBorders>
              <w:bottom w:val="single" w:sz="8" w:color="CFF0FC"/>
            </w:tcBorders>
          </w:tcPr>
          <w:p>
            <w:pPr>
              <w:ind w:left="240"/>
              <w:spacing w:after="0" w:line="143" w:lineRule="exact"/>
              <w:rPr>
                <w:sz w:val="20"/>
                <w:szCs w:val="20"/>
                <w:color w:val="auto"/>
              </w:rPr>
            </w:pPr>
            <w:r>
              <w:rPr>
                <w:rFonts w:ascii="Arial" w:cs="Arial" w:eastAsia="Arial" w:hAnsi="Arial"/>
                <w:sz w:val="13"/>
                <w:szCs w:val="13"/>
                <w:color w:val="auto"/>
              </w:rPr>
              <w:t>Cash, cash equivalents and restricted cash, end of period</w:t>
            </w: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7"/>
              </w:rPr>
              <w:t>216,586</w:t>
            </w:r>
          </w:p>
        </w:tc>
        <w:tc>
          <w:tcPr>
            <w:tcW w:w="44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136,065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8040" w:type="dxa"/>
            <w:vAlign w:val="bottom"/>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 TO</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80"/>
              <w:spacing w:after="0"/>
              <w:rPr>
                <w:sz w:val="20"/>
                <w:szCs w:val="20"/>
                <w:color w:val="auto"/>
              </w:rPr>
            </w:pPr>
            <w:r>
              <w:rPr>
                <w:rFonts w:ascii="Arial" w:cs="Arial" w:eastAsia="Arial" w:hAnsi="Arial"/>
                <w:sz w:val="13"/>
                <w:szCs w:val="13"/>
                <w:color w:val="auto"/>
              </w:rPr>
              <w:t>AMOUNTS REPORTED WITHIN THE CONDENSED CONSOLIDATED BALANCE SHEETS: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and cash equivalents</w:t>
            </w:r>
          </w:p>
        </w:tc>
        <w:tc>
          <w:tcPr>
            <w:tcW w:w="900" w:type="dxa"/>
            <w:vAlign w:val="bottom"/>
            <w:shd w:val="clear" w:color="auto" w:fill="CFF0FC"/>
          </w:tcPr>
          <w:p>
            <w:pPr>
              <w:jc w:val="right"/>
              <w:ind w:right="790"/>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202,016</w:t>
            </w: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Restricted cash</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4,683</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22,566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Restricted cash included in other noncurrent assets</w:t>
            </w:r>
          </w:p>
        </w:tc>
        <w:tc>
          <w:tcPr>
            <w:tcW w:w="9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9,887</w:t>
            </w:r>
          </w:p>
        </w:tc>
        <w:tc>
          <w:tcPr>
            <w:tcW w:w="44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Total cash, cash equivalents and restricted cash</w:t>
            </w: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7"/>
              </w:rPr>
              <w:t>216,586</w:t>
            </w:r>
          </w:p>
        </w:tc>
        <w:tc>
          <w:tcPr>
            <w:tcW w:w="440" w:type="dxa"/>
            <w:vAlign w:val="bottom"/>
          </w:tcPr>
          <w:p>
            <w:pPr>
              <w:spacing w:after="0"/>
              <w:rPr>
                <w:sz w:val="15"/>
                <w:szCs w:val="15"/>
                <w:color w:val="auto"/>
              </w:rPr>
            </w:pPr>
          </w:p>
        </w:tc>
        <w:tc>
          <w:tcPr>
            <w:tcW w:w="420" w:type="dxa"/>
            <w:vAlign w:val="bottom"/>
            <w:tcBorders>
              <w:bottom w:val="single" w:sz="8" w:color="auto"/>
            </w:tcBorders>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136,065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SUPPLEMENTAL DISCLOSURE OF CASH FLOW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Interest paid</w:t>
            </w:r>
          </w:p>
        </w:tc>
        <w:tc>
          <w:tcPr>
            <w:tcW w:w="900" w:type="dxa"/>
            <w:vAlign w:val="bottom"/>
            <w:shd w:val="clear" w:color="auto" w:fill="CFF0FC"/>
          </w:tcPr>
          <w:p>
            <w:pPr>
              <w:jc w:val="right"/>
              <w:ind w:right="790"/>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58,694</w:t>
            </w: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Income taxes (refunded) paid</w:t>
            </w:r>
          </w:p>
        </w:tc>
        <w:tc>
          <w:tcPr>
            <w:tcW w:w="90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(3,829)</w:t>
            </w: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Net change in payables for capital expenditures</w:t>
            </w:r>
          </w:p>
        </w:tc>
        <w:tc>
          <w:tcPr>
            <w:tcW w:w="90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(5,018)</w:t>
            </w:r>
          </w:p>
        </w:tc>
        <w:tc>
          <w:tcPr>
            <w:tcW w:w="4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(1,156)</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(the “MTR Merger”) with MTR Gaming Group, Inc. (“MTR Gaming”) and in November 2015 it acquired Circus Reno and the interests in the Silver Legacy that it did not own prior to such date (the “Reno Acquisition”).</w:t>
      </w:r>
    </w:p>
    <w:p>
      <w:pPr>
        <w:spacing w:after="0" w:line="171"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On May 1, 2017 (the “Isle Acquisition Date”), the Company completed its acquisition of Isle of Capri Casinos, Inc. pursuant to the Agreement and Plan of Merger (the “Merger Agreement”) dated as of September 19, 2016 with Isle of Capri Casinos, Inc. (“Isle” or “Isle of Capri”). As a result of the Isle Merger, Isle became a wholly-owned subsidiary of ERI.</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ERI owns and operates the following properties:</w:t>
      </w:r>
    </w:p>
    <w:p>
      <w:pPr>
        <w:spacing w:after="0" w:line="117" w:lineRule="exact"/>
        <w:rPr>
          <w:sz w:val="20"/>
          <w:szCs w:val="20"/>
          <w:color w:val="auto"/>
        </w:rPr>
      </w:pPr>
    </w:p>
    <w:p>
      <w:pPr>
        <w:ind w:left="1120" w:right="40" w:hanging="558"/>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1,128 slot machines and 36 table games;</w:t>
      </w:r>
    </w:p>
    <w:p>
      <w:pPr>
        <w:spacing w:after="0" w:line="38" w:lineRule="exact"/>
        <w:rPr>
          <w:rFonts w:ascii="Arial" w:cs="Arial" w:eastAsia="Arial" w:hAnsi="Arial"/>
          <w:sz w:val="17"/>
          <w:szCs w:val="17"/>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1,208 slot machines, 58 table games and a 13 table poker room;</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706 slot machines and 24 table games;</w:t>
      </w:r>
    </w:p>
    <w:p>
      <w:pPr>
        <w:spacing w:after="0" w:line="62" w:lineRule="exact"/>
        <w:rPr>
          <w:rFonts w:ascii="Arial" w:cs="Arial" w:eastAsia="Arial" w:hAnsi="Arial"/>
          <w:sz w:val="18"/>
          <w:szCs w:val="18"/>
          <w:color w:val="auto"/>
        </w:rPr>
      </w:pPr>
    </w:p>
    <w:p>
      <w:pPr>
        <w:ind w:left="1120" w:right="260" w:hanging="558"/>
        <w:spacing w:after="0" w:line="342"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 table poker room;</w:t>
      </w:r>
    </w:p>
    <w:p>
      <w:pPr>
        <w:spacing w:after="0" w:line="15" w:lineRule="exact"/>
        <w:rPr>
          <w:rFonts w:ascii="Arial" w:cs="Arial" w:eastAsia="Arial" w:hAnsi="Arial"/>
          <w:sz w:val="16"/>
          <w:szCs w:val="16"/>
          <w:color w:val="auto"/>
        </w:rPr>
      </w:pPr>
    </w:p>
    <w:p>
      <w:pPr>
        <w:ind w:left="1120" w:right="4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1,487 slot machines and 36 table games, including a 10 table poker room;</w:t>
      </w:r>
    </w:p>
    <w:p>
      <w:pPr>
        <w:spacing w:after="0" w:line="73" w:lineRule="exact"/>
        <w:rPr>
          <w:rFonts w:ascii="Arial" w:cs="Arial" w:eastAsia="Arial" w:hAnsi="Arial"/>
          <w:sz w:val="18"/>
          <w:szCs w:val="18"/>
          <w:color w:val="auto"/>
        </w:rPr>
      </w:pPr>
    </w:p>
    <w:p>
      <w:pPr>
        <w:ind w:left="1120" w:right="30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 table poker room located in Erie, Pennsylvania;</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2,237 video lottery terminals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1,005 slot machines, 30 table games, a nine table poker room and a 238-room hotel;</w:t>
      </w:r>
    </w:p>
    <w:p>
      <w:pPr>
        <w:spacing w:after="0" w:line="62" w:lineRule="exact"/>
        <w:rPr>
          <w:rFonts w:ascii="Arial" w:cs="Arial" w:eastAsia="Arial" w:hAnsi="Arial"/>
          <w:sz w:val="18"/>
          <w:szCs w:val="18"/>
          <w:color w:val="auto"/>
        </w:rPr>
      </w:pPr>
    </w:p>
    <w:p>
      <w:pPr>
        <w:ind w:left="1120" w:right="18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472 slot machines, eleven table games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120" w:right="100" w:hanging="558"/>
        <w:spacing w:after="0" w:line="259"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1,461 slot machines and a 45 table poker room. In April 2018, the Company announced the formation of a joint venture with the Cordish Companies to master plan and develop a mixed-use entertainment and hospitality destination expected to be located on unused land adjacent to the casino and racetrack;</w:t>
      </w:r>
    </w:p>
    <w:p>
      <w:pPr>
        <w:spacing w:after="0" w:line="78"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974 slot machines and 20 table games with two hotel towers with 509 hotel rooms;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left="11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936 slot machines, 25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1,173 slot machines, 45 table games, including 13 poker tables, and two hotels offering 493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871 slot machines and 19 table games, two on-site hotels with a total of 486 rooms and a 28-space RV Park;</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603 slot machines, eight table games and a hotel with a total of 89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885 slot machines, 20 table games and a 140-room hotel;</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870 slot machines and 24 table games, including four poker tables;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512 slot machines and nine table games;</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969 slot machines and 13 table games; and</w:t>
      </w:r>
    </w:p>
    <w:p>
      <w:pPr>
        <w:spacing w:after="0" w:line="62" w:lineRule="exact"/>
        <w:rPr>
          <w:rFonts w:ascii="Arial" w:cs="Arial" w:eastAsia="Arial" w:hAnsi="Arial"/>
          <w:sz w:val="18"/>
          <w:szCs w:val="18"/>
          <w:color w:val="auto"/>
        </w:rPr>
      </w:pPr>
    </w:p>
    <w:p>
      <w:pPr>
        <w:ind w:left="1120" w:right="6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27 table games.</w:t>
      </w:r>
    </w:p>
    <w:p>
      <w:pPr>
        <w:spacing w:after="0" w:line="170"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93" w:lineRule="exact"/>
        <w:rPr>
          <w:sz w:val="20"/>
          <w:szCs w:val="20"/>
          <w:color w:val="auto"/>
        </w:rPr>
      </w:pPr>
    </w:p>
    <w:p>
      <w:pPr>
        <w:jc w:val="both"/>
        <w:ind w:right="280" w:firstLine="555"/>
        <w:spacing w:after="0" w:line="264" w:lineRule="auto"/>
        <w:rPr>
          <w:sz w:val="20"/>
          <w:szCs w:val="20"/>
          <w:color w:val="auto"/>
        </w:rPr>
      </w:pPr>
      <w:r>
        <w:rPr>
          <w:rFonts w:ascii="Arial" w:cs="Arial" w:eastAsia="Arial" w:hAnsi="Arial"/>
          <w:sz w:val="18"/>
          <w:szCs w:val="18"/>
          <w:color w:val="auto"/>
        </w:rPr>
        <w:t>The financial information included for periods prior to our acquisition of Isle are those of ERI and its subsidiaries. The presentation of information herein for periods prior to our acquisition of Isle and after our acquisition of Isle are not fully comparable because the results of operations for Isle are not included for periods prior to our acquisition of Isle.</w:t>
      </w:r>
    </w:p>
    <w:p>
      <w:pPr>
        <w:spacing w:after="0" w:line="18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New Developments and Adoptions of New Accounting Standards</w:t>
      </w:r>
    </w:p>
    <w:p>
      <w:pPr>
        <w:spacing w:after="0" w:line="117"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In May 2014 (amended January 2017), the Financial Accounting Standards Board (“FASB”) issued Accounting Standard Update (“ASU”) No. 2014-09, “Revenue from Contracts with Customers,” (ASC Topic 606) which provides a single comprehensive model for entities to use in accounting for revenue arising from contracts with customers and eliminates existing industry guidance, including revenue recognition guidance specific to the gaming industry.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 w:name="page9"/>
    <w:bookmarkEnd w:id="8"/>
    <w:p>
      <w:pPr>
        <w:ind w:right="220" w:firstLine="555"/>
        <w:spacing w:after="0" w:line="277" w:lineRule="auto"/>
        <w:rPr>
          <w:sz w:val="20"/>
          <w:szCs w:val="20"/>
          <w:color w:val="auto"/>
        </w:rPr>
      </w:pPr>
      <w:r>
        <w:rPr>
          <w:rFonts w:ascii="Arial" w:cs="Arial" w:eastAsia="Arial" w:hAnsi="Arial"/>
          <w:sz w:val="18"/>
          <w:szCs w:val="18"/>
          <w:color w:val="auto"/>
        </w:rPr>
        <w:t>We adopted this standard effective January 1, 2018, and elected to apply the full retrospective adoption method. The most significant impacts of the adoption are summarized below in Note 2.</w:t>
      </w:r>
    </w:p>
    <w:p>
      <w:pPr>
        <w:spacing w:after="0" w:line="170"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In November 2016, ASU No. 2016-18 was issued related to the inclusion of restricted cash in the statement of cash flows. This new guidance requires that a statement of cash flows present the change during the period in the total of cash, cash equivalents and amounts generally described as restricted cash or restricted cash equivalent. This update is effective in fiscal years, including interim periods, beginning after December 15, 2017. The Company retrospectively adopted this guidance on December 31, 2017. Upon adoption, the Company included a reconciliation of Cash and cash equivalents and restricted cash reported within the Consolidated Balance Sheets to the total shown in the Consolidated Statements of Cash Flows. Adoptions of this guidance had no other impact on the Consolidated Financial Statements or disclosures.</w:t>
      </w:r>
    </w:p>
    <w:p>
      <w:pPr>
        <w:spacing w:after="0" w:line="178" w:lineRule="exact"/>
        <w:rPr>
          <w:sz w:val="20"/>
          <w:szCs w:val="20"/>
          <w:color w:val="auto"/>
        </w:rPr>
      </w:pPr>
    </w:p>
    <w:p>
      <w:pPr>
        <w:ind w:right="60" w:firstLine="555"/>
        <w:spacing w:after="0" w:line="308" w:lineRule="auto"/>
        <w:rPr>
          <w:sz w:val="20"/>
          <w:szCs w:val="20"/>
          <w:color w:val="auto"/>
        </w:rPr>
      </w:pPr>
      <w:r>
        <w:rPr>
          <w:rFonts w:ascii="Arial" w:cs="Arial" w:eastAsia="Arial" w:hAnsi="Arial"/>
          <w:sz w:val="17"/>
          <w:szCs w:val="17"/>
          <w:color w:val="auto"/>
        </w:rPr>
        <w:t>Certain amounts have been retrospectively reclassified for the three and six months ended June 30, 2017 to conform to the current period presentation and reflect the change in the Company’s Consolidated Statements of Cash Flows required with the adoption of ASU No. 2016-15.</w:t>
      </w:r>
    </w:p>
    <w:p>
      <w:pPr>
        <w:spacing w:after="0" w:line="147"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January 2017, the FASB issued ASU No. 2017-01, “Business Combinations – Clarifying the Definition of a Business.” This amendment is intended to clarify the definition of a business with the objective of adding guidance to assist 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for interim and annual periods beginning after December 15, 2017, with early adoption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We adopted this accounting standard during the first quarter of 2018, which did not have an impact on our consolidated financial statements, and will result in future acquisitions which do not involve substantive processes being accounted for as asset acquisitions.</w:t>
      </w:r>
    </w:p>
    <w:p>
      <w:pPr>
        <w:spacing w:after="0" w:line="183"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consolidated financial statements.</w:t>
      </w:r>
    </w:p>
    <w:p>
      <w:pPr>
        <w:spacing w:after="0" w:line="166"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Currently, we do not have any material capital leases nor any material operating leases where we are the lessor. Our operating leases, primarily relating to certain ground leases and slot machines or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we are in the process of evaluating the full effect the new guidance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Company’s revenue contracts with customers consists primarily of casino wagers, pari-mutuel commissions, food and beverage transactions, hotel, retail and entertainment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Revenue and Pari-mutuel Commissions</w:t>
      </w:r>
    </w:p>
    <w:p>
      <w:pPr>
        <w:spacing w:after="0" w:line="117"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The Company recognizes as casino revenue (transaction price)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Such fees are based upon a predetermined percentage of handle as contracted with the other race tracks.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right="80" w:firstLine="555"/>
        <w:spacing w:after="0" w:line="257" w:lineRule="auto"/>
        <w:rPr>
          <w:sz w:val="20"/>
          <w:szCs w:val="20"/>
          <w:color w:val="auto"/>
        </w:rPr>
      </w:pPr>
      <w:r>
        <w:rPr>
          <w:rFonts w:ascii="Arial" w:cs="Arial" w:eastAsia="Arial" w:hAnsi="Arial"/>
          <w:sz w:val="18"/>
          <w:szCs w:val="18"/>
          <w:color w:val="auto"/>
        </w:rPr>
        <w:t>Gaming wager contracts involve two performance obligations for those customers earning points under the Company’s loyalty program and a single performance obligation for customers who don’t participate in the program. The Company applies a practical expedient by accounting for its gaming contracts on a portfolio basis as such wagers have similar characteristics and the Company reasonably expects the effects on the financial statements of applying the revenue recognition guidance to the portfolio to not differ materially from that which would result if applying the guidance to an individual wagering contract.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Programs and Other Contract Obligations</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Company offers programs at its properties whereby our participating customers can accumulate points for wagering that 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retail value of such benefits owed to the customer and recognized as departmental revenue based on where such points are redeemed, upon fulfillment of the performance obligation. The loyalty program liability represents a deferral of revenue until redemption occurs, which is typically less than one year.</w:t>
      </w:r>
    </w:p>
    <w:p>
      <w:pPr>
        <w:spacing w:after="0" w:line="193"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For purposes of allocating the transaction price in a wagering contract between the wagering performance obligation and the obligation associated with the loyalty points earned, the Company allocates an amount to the loyalty point contract liability based on the stand-alone selling price of the points earned, which is determined by the value of a point that can be redeemed for a non-gaming good or service. An amount is allocated to the gaming wager performance obligation using the residual approach as the stand-alone price for wagers is highly variable and no set established price exists for such wagers. The allocated revenue for gaming wagers is recognized when the wagers occur as all such wagers settle immediately. The loyalty point contract liability amount is deferred and recognized as revenue when the customer redeems the points for the non-gaming good or service at the time such goods or services are delivered to the customer.</w:t>
      </w:r>
    </w:p>
    <w:p>
      <w:pPr>
        <w:spacing w:after="0" w:line="189"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The Company’s liability for its loyalty point performance obligations totaled $11.0 million and $11.8 million at June 30, 2018 and December 31, 2017, respectively, inclusive of liabilities associated with assets held for sale. Historically, the Company’s loyalty points earned and redeemed are substantially constant over time, which results in the loyalty point performance obligation balance remaining fairly consistent across our reporting periods.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Non-gaming Revenue</w:t>
      </w:r>
    </w:p>
    <w:p>
      <w:pPr>
        <w:spacing w:after="0" w:line="117" w:lineRule="exact"/>
        <w:rPr>
          <w:sz w:val="20"/>
          <w:szCs w:val="20"/>
          <w:color w:val="auto"/>
        </w:rPr>
      </w:pPr>
    </w:p>
    <w:p>
      <w:pPr>
        <w:jc w:val="both"/>
        <w:ind w:right="60" w:firstLine="555"/>
        <w:spacing w:after="0" w:line="297" w:lineRule="auto"/>
        <w:rPr>
          <w:sz w:val="20"/>
          <w:szCs w:val="20"/>
          <w:color w:val="auto"/>
        </w:rPr>
      </w:pPr>
      <w:r>
        <w:rPr>
          <w:rFonts w:ascii="Arial" w:cs="Arial" w:eastAsia="Arial" w:hAnsi="Arial"/>
          <w:sz w:val="16"/>
          <w:szCs w:val="16"/>
          <w:color w:val="auto"/>
        </w:rPr>
        <w:t>Hotel, food and beverage, and other operating revenues are recognized as services are performed. The transaction price for hotel, food and beverage contracts is the net amount collected from the customer for such goods and services. Hotel, food and beverage services have been determined to be separate, stand-alone performance obligations and the transaction price for such contracts is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w:t>
      </w:r>
    </w:p>
    <w:p>
      <w:pPr>
        <w:spacing w:after="0" w:line="158"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Company also provides goods and services that may include multiple performance obligations, such as for packages, for which revenues are allocated on a pro rata basis based on each service's stand-alone selling price.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Complimentaries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Company offers discretionary coupons and other discretionary complimentaries to customers outside of the loyalty program. The retail value of complimentary food, beverage, hotel rooms and other services provided to customers, including loyalty point redemptions, is recognized in revenues when the goods or services are transferred to the customer. Complimentaries provided by third parties at the discretion and under the control of the Company is recorded as an expense when incurred. The Company’s revenues included complimentaries and loyalty point redemptions of $48.9 million and $43.2 million for the three months ended June 30, 2018 and 2017, respectively, and $96.1 million and $66.9 million for the six months ended June 30, 2018 and 2017, respectively.</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Adoption of ASC Topic 606</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adoption of ASC Topic 606 on January 1, 2018 principally affected the presentation of promotional allowances and how the Company measured the liability associated with our customer loyalty programs. The presentation of gross revenues for complimentary goods and services provided to guests with a corresponding offsetting amount included in promotional allowances was eliminated. This adjustment in presentation of promotional allowances did not have an impact on the Company’s historically reported net operating revenues. The majority of such amounts previously included in promotional allowances now offset casino revenues based on an allocation of revenues to performance obligations using stand-alone selling price. Food, beverage, lodging and other services furnished to our guests on a complimentary basis are measured at the respective estimated standalone selling prices and included as revenues within food and beverage, lodging, and retail, entertainment and other, which generally resulted in a corresponding decrease in gaming revenues. The costs of providing such complimentary goods and services are included as expenses within food and beverage, lodging, and retail, entertainment and other.</w:t>
      </w:r>
    </w:p>
    <w:p>
      <w:pPr>
        <w:spacing w:after="0" w:line="166"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Additionally, as a result of the adoption of the new standard, certain adjustments and other reclassifications to and between revenue categories and to and between expense categories were required; however, the amounts associated with such adjustments did not have a significant impact on the Company’s previously reported operating income or net income.</w:t>
      </w:r>
    </w:p>
    <w:p>
      <w:pPr>
        <w:spacing w:after="0" w:line="181" w:lineRule="exact"/>
        <w:rPr>
          <w:sz w:val="20"/>
          <w:szCs w:val="20"/>
          <w:color w:val="auto"/>
        </w:rPr>
      </w:pPr>
    </w:p>
    <w:p>
      <w:pPr>
        <w:ind w:right="360" w:firstLine="555"/>
        <w:spacing w:after="0" w:line="257" w:lineRule="auto"/>
        <w:rPr>
          <w:sz w:val="20"/>
          <w:szCs w:val="20"/>
          <w:color w:val="auto"/>
        </w:rPr>
      </w:pPr>
      <w:r>
        <w:rPr>
          <w:rFonts w:ascii="Arial" w:cs="Arial" w:eastAsia="Arial" w:hAnsi="Arial"/>
          <w:sz w:val="18"/>
          <w:szCs w:val="18"/>
          <w:color w:val="auto"/>
        </w:rPr>
        <w:t>Liabilities associated with our customer loyalty programs are no longer valued at cost; rather a deferred revenue model is used to account for the classification and timing of revenue to be recognized related to the redemption of loyalty program liabilities by our customers. Points earned under the Company’s loyalty programs are deemed to be separate performance obligations, and recorded as a reduction of casino revenues when earned at the retail value of such benefits owed to the customer and recognized as departmental revenue based on where such points are redeemed, upon fulfillment of the performance obligation.</w:t>
      </w:r>
    </w:p>
    <w:p>
      <w:pPr>
        <w:spacing w:after="0" w:line="188"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The Company elected to adopt the full retrospective method to apply the new guidance to each prior reporting period presented as if it had been in effect since January 1, 2015, with a pre-tax cumulative effect adjustment to our retained earnings upon adoption of $4.7 million. Net of tax, the cumulative effect adjustment to our retained earnings upon adoption was $3.5 million. This was primarily related to our loyalty program point liability, which increased from an estimated incremental cost model to a deferred revenue model at retail value.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Adoption of the new standard did not have a significant impact on our previously reported net revenue, expenses, operating income, and net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of the new standard to previously reported selected financial statement information was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 June 30, 2017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2"/>
                <w:szCs w:val="12"/>
                <w:color w:val="auto"/>
              </w:rPr>
            </w:pPr>
          </w:p>
        </w:tc>
        <w:tc>
          <w:tcPr>
            <w:tcW w:w="12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Reclassifications</w:t>
            </w:r>
            <w:r>
              <w:rPr>
                <w:rFonts w:ascii="Arial" w:cs="Arial" w:eastAsia="Arial" w:hAnsi="Arial"/>
                <w:sz w:val="12"/>
                <w:szCs w:val="12"/>
                <w:b w:val="1"/>
                <w:bCs w:val="1"/>
                <w:color w:val="auto"/>
                <w:w w:val="89"/>
              </w:rPr>
              <w:t>(1)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revenues</w:t>
            </w:r>
          </w:p>
        </w:tc>
        <w:tc>
          <w:tcPr>
            <w:tcW w:w="1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389,237</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(31,215)</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(34,057)</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355,180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Operating (loss) income</w:t>
            </w:r>
          </w:p>
        </w:tc>
        <w:tc>
          <w:tcPr>
            <w:tcW w:w="18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FF0FC"/>
            </w:tcBorders>
            <w:vMerge w:val="continue"/>
          </w:tcPr>
          <w:p>
            <w:pPr>
              <w:spacing w:after="0"/>
              <w:rPr>
                <w:sz w:val="21"/>
                <w:szCs w:val="21"/>
                <w:color w:val="auto"/>
              </w:rPr>
            </w:pPr>
          </w:p>
        </w:tc>
        <w:tc>
          <w:tcPr>
            <w:tcW w:w="16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(32,116)</w:t>
            </w:r>
          </w:p>
        </w:tc>
        <w:tc>
          <w:tcPr>
            <w:tcW w:w="2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2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6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Six Months Ended June 30, 2017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2"/>
                <w:szCs w:val="12"/>
                <w:color w:val="auto"/>
              </w:rPr>
            </w:pPr>
          </w:p>
        </w:tc>
        <w:tc>
          <w:tcPr>
            <w:tcW w:w="12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Reclassifications</w:t>
            </w:r>
            <w:r>
              <w:rPr>
                <w:rFonts w:ascii="Arial" w:cs="Arial" w:eastAsia="Arial" w:hAnsi="Arial"/>
                <w:sz w:val="12"/>
                <w:szCs w:val="12"/>
                <w:b w:val="1"/>
                <w:bCs w:val="1"/>
                <w:color w:val="auto"/>
                <w:w w:val="89"/>
              </w:rPr>
              <w:t>(1)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revenues</w:t>
            </w:r>
          </w:p>
        </w:tc>
        <w:tc>
          <w:tcPr>
            <w:tcW w:w="1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608,783</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(48,235)</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17,471</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(52,678)</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Operating (loss) income</w:t>
            </w:r>
          </w:p>
        </w:tc>
        <w:tc>
          <w:tcPr>
            <w:tcW w:w="18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FF0FC"/>
            </w:tcBorders>
            <w:vMerge w:val="continue"/>
          </w:tcPr>
          <w:p>
            <w:pPr>
              <w:spacing w:after="0"/>
              <w:rPr>
                <w:sz w:val="21"/>
                <w:szCs w:val="21"/>
                <w:color w:val="auto"/>
              </w:rPr>
            </w:pPr>
          </w:p>
        </w:tc>
        <w:tc>
          <w:tcPr>
            <w:tcW w:w="16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(17,967)</w:t>
            </w:r>
          </w:p>
        </w:tc>
        <w:tc>
          <w:tcPr>
            <w:tcW w:w="2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2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6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60" w:hanging="552"/>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reclassifications are comprised of the reversal of our Lake Charles property from discontinued operations and other reclassifications to conform to current period presentations.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right="240" w:firstLine="555"/>
        <w:spacing w:after="0" w:line="308" w:lineRule="auto"/>
        <w:rPr>
          <w:sz w:val="20"/>
          <w:szCs w:val="20"/>
          <w:color w:val="auto"/>
        </w:rPr>
      </w:pPr>
      <w:r>
        <w:rPr>
          <w:rFonts w:ascii="Arial" w:cs="Arial" w:eastAsia="Arial" w:hAnsi="Arial"/>
          <w:sz w:val="17"/>
          <w:szCs w:val="17"/>
          <w:color w:val="auto"/>
        </w:rPr>
        <w:t>Additionally, adoption of the new standard resulted in a net loss per share adjustment from the as reported $0.69 per share to $0.68 per share for the three months ended June 30, 2017. There was no adjustment for the net loss per share for the six months ended June 30, 2017.</w:t>
      </w:r>
    </w:p>
    <w:p>
      <w:pPr>
        <w:spacing w:after="0" w:line="147"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The Company’s consolidated statement of operations presents net revenue disaggregated by type or nature of the good or service (i.e., casino, pari-mutuel, food and beverage, hotel and other). A summary of net revenues disaggregated by type of revenue and reportable segment is presented below (amounts in thousands). Refer to Note 13 for a discussion of the Company’s reportable segments.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Three Months Ended June 30, 2018</w:t>
            </w:r>
          </w:p>
        </w:tc>
        <w:tc>
          <w:tcPr>
            <w:tcW w:w="100" w:type="dxa"/>
            <w:vAlign w:val="bottom"/>
          </w:tcPr>
          <w:p>
            <w:pPr>
              <w:spacing w:after="0"/>
              <w:rPr>
                <w:sz w:val="16"/>
                <w:szCs w:val="16"/>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Midwest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and Other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87,448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88,994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109,537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343,675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100,607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125,961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Three Months Ended June 30, 2017</w:t>
            </w:r>
          </w:p>
        </w:tc>
        <w:tc>
          <w:tcPr>
            <w:tcW w:w="100" w:type="dxa"/>
            <w:vAlign w:val="bottom"/>
          </w:tcPr>
          <w:p>
            <w:pPr>
              <w:spacing w:after="0"/>
              <w:rPr>
                <w:sz w:val="24"/>
                <w:szCs w:val="24"/>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Midwest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and Other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45,229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103,376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275,593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Six Months Ended June 30, 2018</w:t>
            </w:r>
          </w:p>
        </w:tc>
        <w:tc>
          <w:tcPr>
            <w:tcW w:w="100" w:type="dxa"/>
            <w:vAlign w:val="bottom"/>
          </w:tcPr>
          <w:p>
            <w:pPr>
              <w:spacing w:after="0"/>
              <w:rPr>
                <w:sz w:val="24"/>
                <w:szCs w:val="24"/>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Midwest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and Other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107,430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175,807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186,503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213,393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683,133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217,459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201,402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Six Months Ended June 30, 2017</w:t>
            </w:r>
          </w:p>
        </w:tc>
        <w:tc>
          <w:tcPr>
            <w:tcW w:w="100" w:type="dxa"/>
            <w:vAlign w:val="bottom"/>
          </w:tcPr>
          <w:p>
            <w:pPr>
              <w:spacing w:after="0"/>
              <w:rPr>
                <w:sz w:val="24"/>
                <w:szCs w:val="24"/>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Midwest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and Other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69,062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92,169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197,929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417,147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163,240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121,019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225,926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Isle Acquisition and Final Purchase Price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Purchase Price Accounting – Isle of Capri</w:t>
      </w:r>
    </w:p>
    <w:p>
      <w:pPr>
        <w:spacing w:after="0" w:line="11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On May 1, 2017, the Company completed its acquisition of Isle. As of March 31, 2018, the Company finalized its purchase price accounting related to the Isle Acquisition. The total purchase consideration in the Isle Acquisition was determined with reference to the fair value on the date of the Merger Agreement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 except shares and</w:t>
            </w:r>
          </w:p>
        </w:tc>
        <w:tc>
          <w:tcPr>
            <w:tcW w:w="12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vMerge w:val="restart"/>
          </w:tcPr>
          <w:p>
            <w:pPr>
              <w:jc w:val="right"/>
              <w:ind w:right="87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 price)</w:t>
            </w:r>
          </w:p>
        </w:tc>
        <w:tc>
          <w:tcPr>
            <w:tcW w:w="1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outstanding Isle common stock (1)</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552,050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Shares of ERI common stock issued for Isle common stock (2)</w:t>
            </w:r>
          </w:p>
        </w:tc>
        <w:tc>
          <w:tcPr>
            <w:tcW w:w="1240" w:type="dxa"/>
            <w:vAlign w:val="bottom"/>
          </w:tcPr>
          <w:p>
            <w:pPr>
              <w:ind w:left="420"/>
              <w:spacing w:after="0"/>
              <w:rPr>
                <w:sz w:val="20"/>
                <w:szCs w:val="20"/>
                <w:color w:val="auto"/>
              </w:rPr>
            </w:pPr>
            <w:r>
              <w:rPr>
                <w:rFonts w:ascii="Arial" w:cs="Arial" w:eastAsia="Arial" w:hAnsi="Arial"/>
                <w:sz w:val="18"/>
                <w:szCs w:val="18"/>
                <w:color w:val="auto"/>
                <w:w w:val="88"/>
              </w:rPr>
              <w:t>28,468,182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by ERI to retire Isle's long-term debt (3)</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Shares of ERI common stock for Isle equity awards (4)</w:t>
            </w:r>
          </w:p>
        </w:tc>
        <w:tc>
          <w:tcPr>
            <w:tcW w:w="1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20" w:hanging="552"/>
        <w:spacing w:after="0" w:line="279"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cash component of the consideration represents 58% of the aggregate consideration paid in the Isle Acquisition. The Merger Agreement provided that Isle stockholders could elect to exchange each share of Isle common stock for either $23.00 in cash or 1.638 shares of ERI common stock, subject to proration such that the outstanding shares of Isle common stock will be exchanged for aggregate consideration comprised of 58% cash and 42% ERI common stock. See discussion of Stock Consideration component in note (2) below.</w:t>
      </w:r>
    </w:p>
    <w:p>
      <w:pPr>
        <w:spacing w:after="0" w:line="63" w:lineRule="exact"/>
        <w:rPr>
          <w:rFonts w:ascii="Arial" w:cs="Arial" w:eastAsia="Arial" w:hAnsi="Arial"/>
          <w:sz w:val="17"/>
          <w:szCs w:val="17"/>
          <w:color w:val="auto"/>
        </w:rPr>
      </w:pPr>
    </w:p>
    <w:p>
      <w:pPr>
        <w:ind w:left="560" w:right="60" w:hanging="552"/>
        <w:spacing w:after="0" w:line="302"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Stock Consideration component of the consideration represents 42% of the aggregate consideration paid in the Isle Acquisition. The Merger Agreement provided that 58% of the aggregate consideration would be paid by ERI in cash, as described in note (1) above. The remaining 42% of the aggregate consideration was paid in shares of ERI common stock. The total Stock Consideration and per share consideration above were based on the ERI stock price on April 28, 2017 (the last business day prior to Isle Acquisition Date) which was $19.12 per share.</w:t>
      </w:r>
    </w:p>
    <w:p>
      <w:pPr>
        <w:spacing w:after="0" w:line="46" w:lineRule="exact"/>
        <w:rPr>
          <w:rFonts w:ascii="Arial" w:cs="Arial" w:eastAsia="Arial" w:hAnsi="Arial"/>
          <w:sz w:val="16"/>
          <w:szCs w:val="16"/>
          <w:color w:val="auto"/>
        </w:rPr>
      </w:pPr>
    </w:p>
    <w:p>
      <w:pPr>
        <w:ind w:left="560" w:hanging="552"/>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addition to the cash paid to retire the principal amounts outstanding of Isle’s long-term debt, ERI paid $26.6 million in premiums and interest.</w:t>
      </w:r>
    </w:p>
    <w:p>
      <w:pPr>
        <w:spacing w:after="0" w:line="128" w:lineRule="exact"/>
        <w:rPr>
          <w:rFonts w:ascii="Arial" w:cs="Arial" w:eastAsia="Arial" w:hAnsi="Arial"/>
          <w:sz w:val="17"/>
          <w:szCs w:val="17"/>
          <w:color w:val="auto"/>
        </w:rPr>
      </w:pPr>
    </w:p>
    <w:p>
      <w:pPr>
        <w:ind w:left="560" w:right="120" w:hanging="552"/>
        <w:spacing w:after="0" w:line="286"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amount represents consideration paid for the replacement of Isle’s outstanding equity awards. As discussed in Note 1, Isle’s outstanding equity awards were replaced by ERI equity awards with similar terms. A portion of the fair value of ERI awards issued represents consideration transferred, while a portion represents compensation expense based on the vesting terms of the equity awards.</w:t>
      </w:r>
    </w:p>
    <w:p>
      <w:pPr>
        <w:spacing w:after="0" w:line="166" w:lineRule="exact"/>
        <w:rPr>
          <w:sz w:val="20"/>
          <w:szCs w:val="20"/>
          <w:color w:val="auto"/>
        </w:rPr>
      </w:pPr>
    </w:p>
    <w:p>
      <w:pPr>
        <w:jc w:val="both"/>
        <w:ind w:right="80" w:firstLine="555"/>
        <w:spacing w:after="0" w:line="259" w:lineRule="auto"/>
        <w:rPr>
          <w:sz w:val="20"/>
          <w:szCs w:val="20"/>
          <w:color w:val="auto"/>
        </w:rPr>
      </w:pPr>
      <w:r>
        <w:rPr>
          <w:rFonts w:ascii="Arial" w:cs="Arial" w:eastAsia="Arial" w:hAnsi="Arial"/>
          <w:sz w:val="18"/>
          <w:szCs w:val="18"/>
          <w:color w:val="auto"/>
        </w:rPr>
        <w:t>The following table summarizes the final purchase accounting of the purchase consideration to the identifiable assets acquired and liabilities assumed in the Isle Acquisition as of the Isle Acquisition Date, with the excess recorded as goodwill. The fair values were based on management’s analysis, including work performed by third-party valuation specialists. The following table summarizes our final purchase price accounting of the acquired assets and liabilities as of March 31, 2018 (dollars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 net</w:t>
            </w:r>
          </w:p>
        </w:tc>
        <w:tc>
          <w:tcPr>
            <w:tcW w:w="37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135,925</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908,816</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709,087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Intangible assets (i)</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517,470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3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2,286,380</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(144,306)</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Deferred income taxes (ii)</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(189,952)</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(17,377)</w:t>
            </w: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33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(351,635)</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3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 consist of gaming licenses, trade names, and player relationships.</w:t>
      </w:r>
    </w:p>
    <w:p>
      <w:pPr>
        <w:spacing w:after="0" w:line="23"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and identified intangibles.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ind w:right="60" w:firstLine="555"/>
        <w:spacing w:after="0" w:line="302" w:lineRule="auto"/>
        <w:rPr>
          <w:sz w:val="20"/>
          <w:szCs w:val="20"/>
          <w:color w:val="auto"/>
        </w:rPr>
      </w:pPr>
      <w:r>
        <w:rPr>
          <w:rFonts w:ascii="Arial" w:cs="Arial" w:eastAsia="Arial" w:hAnsi="Arial"/>
          <w:sz w:val="16"/>
          <w:szCs w:val="16"/>
          <w:color w:val="auto"/>
        </w:rPr>
        <w:t>During the three months ended March 31, 2018, the Company finalized its valuation procedures and adjusted the Isle of Capri preliminary purchase price accounting, as disclosed in the Annual Report on Form 10-K for the year ended December 31, 2017, to their updated values. Except for other long-term liabilities related to Bettendorf and Nemacolin (see Note 8) and a corresponding goodwill adjustment totaling $6.1 million (net of tax), the finalization of our purchase price accounting resulted in minimal changes and refinements by management as of, and for the three months ended March 31, 2018.</w:t>
      </w:r>
    </w:p>
    <w:p>
      <w:pPr>
        <w:spacing w:after="0" w:line="154"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Isle Acquisition make use of Level 1 and Level 3 inputs including quoted prices in active markets and discounted cash flows.</w:t>
      </w:r>
    </w:p>
    <w:p>
      <w:pPr>
        <w:spacing w:after="0" w:line="170"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Trade receivables and payables, inventory and other current and noncurrent assets and liabilities were valued at the existing carrying values as they represented the estimated fair value of those items at the Isle Acquisition Date.</w:t>
      </w:r>
    </w:p>
    <w:p>
      <w:pPr>
        <w:spacing w:after="0" w:line="170"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89"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78"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 fair value of the gaming licenses was determined using the excess earnings or replacement cost methodology based on the respective states’ legislation. The excess earnings methodology, which is an income approach methodology that allocates the projected cash flows of the business to the gaming license intangible assets less charges for the use of other identifiable assets of Isle including working capital, fixed assets and other intangible assets. This methodology was considered appropriate as the gaming licenses are the primary asset of Isle and the licenses are linked to each respective facility.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 The acquired Isle properties currently have licenses in Pennsylvania, Iowa, Missouri, Mississippi, Florida and Colorado. The renewal of each state’s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each license. No other competitive, contractual, or economic factor limits the useful lives of these assets. Accordingly, ERI has concluded that the useful lives of these licenses are indefinite.</w:t>
      </w:r>
    </w:p>
    <w:p>
      <w:pPr>
        <w:spacing w:after="0" w:line="188" w:lineRule="exact"/>
        <w:rPr>
          <w:sz w:val="20"/>
          <w:szCs w:val="20"/>
          <w:color w:val="auto"/>
        </w:rPr>
      </w:pPr>
    </w:p>
    <w:p>
      <w:pPr>
        <w:jc w:val="both"/>
        <w:ind w:right="160" w:firstLine="555"/>
        <w:spacing w:after="0" w:line="259" w:lineRule="auto"/>
        <w:rPr>
          <w:sz w:val="20"/>
          <w:szCs w:val="20"/>
          <w:color w:val="auto"/>
        </w:rPr>
      </w:pPr>
      <w:r>
        <w:rPr>
          <w:rFonts w:ascii="Arial" w:cs="Arial" w:eastAsia="Arial" w:hAnsi="Arial"/>
          <w:sz w:val="18"/>
          <w:szCs w:val="18"/>
          <w:color w:val="auto"/>
        </w:rPr>
        <w:t>Trademarks are valued using the relief from royalty method, which presumes that without ownership of such trademarks, ERI would have to make a stream of payments to a brand or franchise owner in return for the right to use their name. By virtue of this asset, ERI avoids any such payments and record the related intangible value of ERI’s ownership of the brand name. The primary assumptions in the valuation included revenue, pre-tax royalty rate, and tax expense.</w:t>
      </w:r>
    </w:p>
    <w:p>
      <w:pPr>
        <w:spacing w:after="0" w:line="187" w:lineRule="exact"/>
        <w:rPr>
          <w:sz w:val="20"/>
          <w:szCs w:val="20"/>
          <w:color w:val="auto"/>
        </w:rPr>
      </w:pPr>
    </w:p>
    <w:p>
      <w:pPr>
        <w:ind w:right="20" w:firstLine="555"/>
        <w:spacing w:after="0" w:line="219" w:lineRule="exact"/>
        <w:rPr>
          <w:sz w:val="20"/>
          <w:szCs w:val="20"/>
          <w:color w:val="auto"/>
        </w:rPr>
      </w:pPr>
      <w:r>
        <w:rPr>
          <w:rFonts w:ascii="Arial" w:cs="Arial" w:eastAsia="Arial" w:hAnsi="Arial"/>
          <w:sz w:val="18"/>
          <w:szCs w:val="18"/>
          <w:color w:val="auto"/>
        </w:rPr>
        <w:t>Trade names were valued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The loyalty program was valued using a comparative business valuation method. Management has assigned trade names an indefinite useful life after considering, among other things, the expected use of the asset, the expected useful life of other related asset or asset group,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Isle Operating Results and Transaction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six months ended June 30, 2018, Isle generated revenue of $454.8 million and net income of $66.7 million.</w:t>
      </w:r>
    </w:p>
    <w:p>
      <w:pPr>
        <w:spacing w:after="0" w:line="225" w:lineRule="exact"/>
        <w:rPr>
          <w:sz w:val="20"/>
          <w:szCs w:val="20"/>
          <w:color w:val="auto"/>
        </w:rPr>
      </w:pPr>
    </w:p>
    <w:p>
      <w:pPr>
        <w:ind w:right="220" w:firstLine="555"/>
        <w:spacing w:after="0" w:line="286" w:lineRule="auto"/>
        <w:rPr>
          <w:sz w:val="20"/>
          <w:szCs w:val="20"/>
          <w:color w:val="auto"/>
        </w:rPr>
      </w:pPr>
      <w:r>
        <w:rPr>
          <w:rFonts w:ascii="Arial" w:cs="Arial" w:eastAsia="Arial" w:hAnsi="Arial"/>
          <w:sz w:val="17"/>
          <w:szCs w:val="17"/>
          <w:color w:val="auto"/>
        </w:rPr>
        <w:t>Transaction expenses attributed to the Isle Acquisition are reported on the accompanying statements of operations related to legal, accounting, financial advisory services, severance, stock awards and other costs and totaled $0.2 million and $1.1 million for the three and six months ended June 30, 2018, respectively, and $85.5 million and $87.1 million for the three and six months ended June 30, 2017,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three and six months ended June 30, 2017, as if the Isle Acquisition had occurred on January 1, 2017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2017</w:t>
            </w:r>
          </w:p>
        </w:tc>
      </w:tr>
      <w:tr>
        <w:trPr>
          <w:trHeight w:val="223"/>
        </w:trPr>
        <w:tc>
          <w:tcPr>
            <w:tcW w:w="20" w:type="dxa"/>
            <w:vAlign w:val="bottom"/>
          </w:tcPr>
          <w:p>
            <w:pPr>
              <w:spacing w:after="0"/>
              <w:rPr>
                <w:sz w:val="19"/>
                <w:szCs w:val="19"/>
                <w:color w:val="auto"/>
              </w:rPr>
            </w:pPr>
          </w:p>
        </w:tc>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458,106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906,588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(15,176)</w:t>
            </w:r>
          </w:p>
        </w:tc>
      </w:tr>
    </w:tbl>
    <w:p>
      <w:pPr>
        <w:spacing w:after="0" w:line="20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Isle prior to the Isle Acquisition with adjustments directly attributable to the Isle Acquisition.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Assets Held for Sale</w:t>
      </w:r>
    </w:p>
    <w:p>
      <w:pPr>
        <w:spacing w:after="0" w:line="12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On February 28, 2018, the Company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relation to the dispositions, an impairment charge was recorded related to Vicksburg during the six months ended June 30, 2018 (see Note 6).</w:t>
      </w:r>
    </w:p>
    <w:p>
      <w:pPr>
        <w:spacing w:after="0" w:line="154"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The definitive agreements provided that the dispositions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On July 6, 2018, in consideration of the time and expense needed to reply to the Second Request, the Company and CDI entered into a termination agreement and release, mutually agreeing to terminate the asset purchase agreement with respect to Vicksburg (the “Vicksburg Termination Agreement”). Concurrently with the termination of the Vicksburg agreement, the Company agreed to enter into an agreement pursuant to which CDI will acquire and assume the rights and obligations to operate Nemacolin. In connection with the Vicksburg Termination Agreement, CDI has agreed to pay the Company a $5.0 million termination fee, subject to the parties’ execution of a definitive agreement with respect to the Nemacolin transaction.</w:t>
      </w:r>
    </w:p>
    <w:p>
      <w:pPr>
        <w:spacing w:after="0" w:line="158" w:lineRule="exact"/>
        <w:rPr>
          <w:sz w:val="20"/>
          <w:szCs w:val="20"/>
          <w:color w:val="auto"/>
        </w:rPr>
      </w:pPr>
    </w:p>
    <w:p>
      <w:pPr>
        <w:jc w:val="both"/>
        <w:ind w:right="560" w:firstLine="555"/>
        <w:spacing w:after="0" w:line="264" w:lineRule="auto"/>
        <w:rPr>
          <w:sz w:val="20"/>
          <w:szCs w:val="20"/>
          <w:color w:val="auto"/>
        </w:rPr>
      </w:pPr>
      <w:r>
        <w:rPr>
          <w:rFonts w:ascii="Arial" w:cs="Arial" w:eastAsia="Arial" w:hAnsi="Arial"/>
          <w:sz w:val="18"/>
          <w:szCs w:val="18"/>
          <w:color w:val="auto"/>
        </w:rPr>
        <w:t>Both sales are expected to close in the fourth quarter of 2018, subject to satisfaction of closing conditions, including receipt of Pennsylvania regulatory approvals, termination of the waiting period under the Hart-Scott-Rodino Act and, in the case of Presque Isle Downs, the execution of the definitive agreement with respect to the Nemacolin transaction.</w:t>
      </w:r>
    </w:p>
    <w:p>
      <w:pPr>
        <w:spacing w:after="0" w:line="181" w:lineRule="exact"/>
        <w:rPr>
          <w:sz w:val="20"/>
          <w:szCs w:val="20"/>
          <w:color w:val="auto"/>
        </w:rPr>
      </w:pPr>
    </w:p>
    <w:p>
      <w:pPr>
        <w:ind w:right="600" w:firstLine="555"/>
        <w:spacing w:after="0" w:line="277" w:lineRule="auto"/>
        <w:rPr>
          <w:sz w:val="20"/>
          <w:szCs w:val="20"/>
          <w:color w:val="auto"/>
        </w:rPr>
      </w:pPr>
      <w:r>
        <w:rPr>
          <w:rFonts w:ascii="Arial" w:cs="Arial" w:eastAsia="Arial" w:hAnsi="Arial"/>
          <w:sz w:val="18"/>
          <w:szCs w:val="18"/>
          <w:color w:val="auto"/>
        </w:rPr>
        <w:t>The dispositions of Vicksburg and Presque Isle Downs met the requirements for presentation as assets held for sale under generally accepted accounting principles as of June 30, 2018.</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65" w:right="379" w:bottom="1440" w:gutter="0" w:footer="0" w:header="0"/>
        </w:sectPr>
      </w:pPr>
    </w:p>
    <w:bookmarkStart w:id="15" w:name="page16"/>
    <w:bookmarkEnd w:id="15"/>
    <w:p>
      <w:pPr>
        <w:ind w:left="560"/>
        <w:spacing w:after="0"/>
        <w:rPr>
          <w:sz w:val="20"/>
          <w:szCs w:val="20"/>
          <w:color w:val="auto"/>
        </w:rPr>
      </w:pPr>
      <w:r>
        <w:rPr>
          <w:rFonts w:ascii="Arial" w:cs="Arial" w:eastAsia="Arial" w:hAnsi="Arial"/>
          <w:sz w:val="18"/>
          <w:szCs w:val="18"/>
          <w:color w:val="auto"/>
        </w:rPr>
        <w:t>The assets and liabilities held for sale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2018</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Vicksburg</w:t>
            </w:r>
          </w:p>
        </w:tc>
        <w:tc>
          <w:tcPr>
            <w:tcW w:w="16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9"/>
              </w:rPr>
              <w:t>Presque Isle</w:t>
            </w:r>
          </w:p>
        </w:tc>
        <w:tc>
          <w:tcPr>
            <w:tcW w:w="30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Downs</w:t>
            </w: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2,529</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69,558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intangibles, net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48,005</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153,197</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201,202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property and other taxes</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Accrued other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Common Stock and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Awards</w:t>
      </w:r>
    </w:p>
    <w:p>
      <w:pPr>
        <w:spacing w:after="0" w:line="117" w:lineRule="exact"/>
        <w:rPr>
          <w:sz w:val="20"/>
          <w:szCs w:val="20"/>
          <w:color w:val="auto"/>
        </w:rPr>
      </w:pPr>
    </w:p>
    <w:p>
      <w:pPr>
        <w:jc w:val="both"/>
        <w:ind w:right="40" w:firstLine="555"/>
        <w:spacing w:after="0" w:line="308" w:lineRule="auto"/>
        <w:rPr>
          <w:sz w:val="20"/>
          <w:szCs w:val="20"/>
          <w:color w:val="auto"/>
        </w:rPr>
      </w:pPr>
      <w:r>
        <w:rPr>
          <w:rFonts w:ascii="Arial" w:cs="Arial" w:eastAsia="Arial" w:hAnsi="Arial"/>
          <w:sz w:val="17"/>
          <w:szCs w:val="17"/>
          <w:color w:val="auto"/>
        </w:rPr>
        <w:t>The Company has authorized common stock of 200,000,000 shares, par value $0.00001 per share. In June 2018 the Company amended its certificate of incorporation to increase the total number of authorized shares of common stock from 100,000,000 shares to 200,000,000 shares.</w:t>
      </w:r>
    </w:p>
    <w:p>
      <w:pPr>
        <w:spacing w:after="0" w:line="147"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Total stock-based compensation expense in the accompanying consolidated statements of operations totaled $3.5 million and $1.3 million during the three months ended June 30, 2018 and 2017, respectively, and $7.2 million and $3.1 million during the six months ended June 30, 2018 and 2017, respectively.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RSU and RSA activity for the six months ended June 30, 2018 is presented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Restricted Stock Units</w:t>
            </w:r>
          </w:p>
        </w:tc>
        <w:tc>
          <w:tcPr>
            <w:tcW w:w="2840" w:type="dxa"/>
            <w:vAlign w:val="bottom"/>
            <w:gridSpan w:val="6"/>
          </w:tcPr>
          <w:p>
            <w:pPr>
              <w:ind w:left="600"/>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94"/>
              </w:rPr>
              <w:t>Weighted-</w:t>
            </w:r>
          </w:p>
        </w:tc>
        <w:tc>
          <w:tcPr>
            <w:tcW w:w="340" w:type="dxa"/>
            <w:vAlign w:val="bottom"/>
            <w:gridSpan w:val="2"/>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5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Date</w:t>
            </w: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outstanding as of December 31, 2017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1,579,499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316,431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(783,672)</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(10,809)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Canceled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(9,885)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outstanding as of June 30,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1,102,373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ERI Stock Option activity for the six months ended June 30, 2018 is presented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Exercise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39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271,852</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Expired</w:t>
            </w:r>
          </w:p>
        </w:tc>
        <w:tc>
          <w:tcPr>
            <w:tcW w:w="5600" w:type="dxa"/>
            <w:vAlign w:val="bottom"/>
            <w:gridSpan w:val="3"/>
          </w:tcPr>
          <w:p>
            <w:pPr>
              <w:jc w:val="right"/>
              <w:ind w:right="220"/>
              <w:spacing w:after="0"/>
              <w:rPr>
                <w:sz w:val="20"/>
                <w:szCs w:val="20"/>
                <w:color w:val="auto"/>
              </w:rPr>
            </w:pPr>
            <w:r>
              <w:rPr>
                <w:rFonts w:ascii="Arial" w:cs="Arial" w:eastAsia="Arial" w:hAnsi="Arial"/>
                <w:sz w:val="18"/>
                <w:szCs w:val="18"/>
                <w:color w:val="auto"/>
              </w:rPr>
              <w:t>(15,776)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5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(103,120)</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Outstanding as of June 30, 2018</w:t>
            </w:r>
          </w:p>
        </w:tc>
        <w:tc>
          <w:tcPr>
            <w:tcW w:w="39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152,956</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980" w:type="dxa"/>
            <w:vAlign w:val="bottom"/>
            <w:vMerge w:val="restart"/>
          </w:tcPr>
          <w:p>
            <w:pPr>
              <w:jc w:val="right"/>
              <w:ind w:right="2270"/>
              <w:spacing w:after="0"/>
              <w:rPr>
                <w:sz w:val="20"/>
                <w:szCs w:val="20"/>
                <w:color w:val="auto"/>
              </w:rPr>
            </w:pPr>
            <w:r>
              <w:rPr>
                <w:rFonts w:ascii="Arial" w:cs="Arial" w:eastAsia="Arial" w:hAnsi="Arial"/>
                <w:sz w:val="18"/>
                <w:szCs w:val="18"/>
                <w:color w:val="auto"/>
              </w:rPr>
              <w:t>15</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6" w:name="page17"/>
    <w:bookmarkEnd w:id="16"/>
    <w:p>
      <w:pPr>
        <w:ind w:left="560"/>
        <w:spacing w:after="0"/>
        <w:rPr>
          <w:sz w:val="20"/>
          <w:szCs w:val="20"/>
          <w:color w:val="auto"/>
        </w:rPr>
      </w:pPr>
      <w:r>
        <w:rPr>
          <w:rFonts w:ascii="Arial" w:cs="Arial" w:eastAsia="Arial" w:hAnsi="Arial"/>
          <w:sz w:val="18"/>
          <w:szCs w:val="18"/>
          <w:color w:val="auto"/>
        </w:rPr>
        <w:t>136,505 options were exercisable as of June 30,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and Intangible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December 31,</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3"/>
              <w:spacing w:after="0" w:line="155" w:lineRule="exact"/>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719,254</w:t>
            </w:r>
          </w:p>
        </w:tc>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34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801,774</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877,174</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105,550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108,250</w:t>
            </w:r>
          </w:p>
        </w:tc>
        <w:tc>
          <w:tcPr>
            <w:tcW w:w="34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1 - 3.5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Loyalty programs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20,193</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21,820</w:t>
            </w:r>
          </w:p>
        </w:tc>
        <w:tc>
          <w:tcPr>
            <w:tcW w:w="34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1 - 3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Subtotal</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932,617</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1,013,944</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160" w:type="dxa"/>
            <w:vAlign w:val="bottom"/>
          </w:tcPr>
          <w:p>
            <w:pPr>
              <w:spacing w:after="0"/>
              <w:rPr>
                <w:sz w:val="19"/>
                <w:szCs w:val="19"/>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(5,100)</w:t>
            </w:r>
          </w:p>
        </w:tc>
        <w:tc>
          <w:tcPr>
            <w:tcW w:w="14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(6,290)</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loyalty programs</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(11,581)</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(10,838)</w:t>
            </w:r>
          </w:p>
        </w:tc>
        <w:tc>
          <w:tcPr>
            <w:tcW w:w="2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gaming licenses and other intangible assets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915,936</w:t>
            </w:r>
          </w:p>
        </w:tc>
        <w:tc>
          <w:tcPr>
            <w:tcW w:w="6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996,816</w:t>
            </w:r>
          </w:p>
        </w:tc>
        <w:tc>
          <w:tcPr>
            <w:tcW w:w="340" w:type="dxa"/>
            <w:vAlign w:val="bottom"/>
            <w:tcBorders>
              <w:bottom w:val="single" w:sz="8" w:color="CFF0FC"/>
            </w:tcBorders>
          </w:tcPr>
          <w:p>
            <w:pPr>
              <w:spacing w:after="0"/>
              <w:rPr>
                <w:sz w:val="22"/>
                <w:szCs w:val="22"/>
                <w:color w:val="auto"/>
              </w:rPr>
            </w:pPr>
          </w:p>
        </w:tc>
        <w:tc>
          <w:tcPr>
            <w:tcW w:w="23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Non-operating real property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66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18,069</w:t>
            </w:r>
          </w:p>
        </w:tc>
        <w:tc>
          <w:tcPr>
            <w:tcW w:w="340" w:type="dxa"/>
            <w:vAlign w:val="bottom"/>
            <w:tcBorders>
              <w:bottom w:val="single" w:sz="8" w:color="CFF0FC"/>
            </w:tcBorders>
          </w:tcPr>
          <w:p>
            <w:pPr>
              <w:spacing w:after="0"/>
              <w:rPr>
                <w:sz w:val="23"/>
                <w:szCs w:val="23"/>
                <w:color w:val="auto"/>
              </w:rPr>
            </w:pPr>
          </w:p>
        </w:tc>
        <w:tc>
          <w:tcPr>
            <w:tcW w:w="23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Unamortized debt issuance costs - Revolving</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Credit Facility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7,613</w:t>
            </w:r>
          </w:p>
        </w:tc>
        <w:tc>
          <w:tcPr>
            <w:tcW w:w="6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8,616</w:t>
            </w:r>
          </w:p>
        </w:tc>
        <w:tc>
          <w:tcPr>
            <w:tcW w:w="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27,535</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w:t>
            </w:r>
          </w:p>
        </w:tc>
        <w:tc>
          <w:tcPr>
            <w:tcW w:w="34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assets, net</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45,035</w:t>
            </w:r>
          </w:p>
        </w:tc>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30,632</w:t>
            </w:r>
          </w:p>
        </w:tc>
        <w:tc>
          <w:tcPr>
            <w:tcW w:w="34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555"/>
        <w:spacing w:after="0" w:line="259" w:lineRule="auto"/>
        <w:rPr>
          <w:sz w:val="20"/>
          <w:szCs w:val="20"/>
          <w:color w:val="auto"/>
        </w:rPr>
      </w:pPr>
      <w:r>
        <w:rPr>
          <w:rFonts w:ascii="Arial" w:cs="Arial" w:eastAsia="Arial" w:hAnsi="Arial"/>
          <w:sz w:val="18"/>
          <w:szCs w:val="18"/>
          <w:color w:val="auto"/>
        </w:rPr>
        <w:t>Goodwill represents the excess of the purchase prices of acquiring MTR Gaming and Isle over the fair market value of the net assets acquired. In conjunction with the classification of Vicksburg’s operations as assets held for sale (see Note 4) as a result of the announced sale to Churchill Downs Incorporated, an impairment charge totaling $9.8 million was recorded for the six months ended June 30, 2018 due to the carrying value exceeding the estimated net sales proceeds.</w:t>
      </w:r>
    </w:p>
    <w:p>
      <w:pPr>
        <w:spacing w:after="0" w:line="187"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an indefinite useful lives.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Amortization expense related to trade names and loyalty programs for the three months ended June 30, 2018 and 2017 totaled $1.2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 million, respectively, and $2.7 million and $1.6 million for the six months ended June 30, 2018 and 2017, respectively, which is included in 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amortization expense in the consolidated statements of operations. Such amortization expense is expected to be $2.3 million for the remainder of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$4.7 million and $1.6 million for the years ended December 31, 2019 and 2020,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20" w:firstLine="555"/>
        <w:spacing w:after="0" w:line="255" w:lineRule="auto"/>
        <w:rPr>
          <w:sz w:val="20"/>
          <w:szCs w:val="20"/>
          <w:color w:val="auto"/>
        </w:rPr>
      </w:pPr>
      <w:r>
        <w:rPr>
          <w:rFonts w:ascii="Arial" w:cs="Arial" w:eastAsia="Arial" w:hAnsi="Arial"/>
          <w:sz w:val="18"/>
          <w:szCs w:val="18"/>
          <w:color w:val="auto"/>
        </w:rPr>
        <w:t>Through the quarter ended June 30, 2018, the Company recognized no adjustments to the provisional amounts recorded at December 31, 2017. Additionally, the Company has not completed its accounting for all of the tax effects of the Tax Act that became effective January 1, 2018, but has recognized provisional amounts in its income tax provision. The Company is awaiting further guidance from U.S. federal and state regulatory bodies with regards to the final accounting and reporting of these items in the several jurisdictions where the Company file tax returns. In all cases, the Company will continue to make and refine its calculations as additional analysis is completed. Its estimates may also be affected as the Company gains a more thorough understanding of the tax law.</w:t>
      </w:r>
    </w:p>
    <w:p>
      <w:pPr>
        <w:spacing w:after="0" w:line="19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8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For the three and six months ended June 30, 2018, the Company’s tax expense was $9.2 million and $11.3 million, respectively, and for the three and six months ended June 30, 2017, the Company’s tax benefit was $39.1 million and $38.7 million. For the three and six months ended June 30, 2018, the difference between the effective rate and the statutory rate is attributed primarily to state and local income taxes less excess tax benefits associated with stock compensation. For the three and six months ended June 30, 2017, the difference between the effective rate and the statutory rate is attributed primarily to non-deductible transaction costs incurred and changes in the effective state tax rate associated with the Isle Acquisition. As of June 30, 2018 and 2017, there were no unrecognized tax benefits and the Company does not expect a significant increase or decrease to the total amounts of unrecognized tax benefits within the next twelve months.</w:t>
      </w:r>
    </w:p>
    <w:p>
      <w:pPr>
        <w:spacing w:after="0" w:line="189"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spacing w:after="0" w:line="18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Company was notified by the Internal Revenue Service in October of 2016 that its federal tax return for the year ended December 31, 2014 had been selected for examination. In September 2017, the IRS informed the Company that they completed the examination of the tax return and made no changes.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and Other Long-Term Liabilities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56"/>
        </w:trPr>
        <w:tc>
          <w:tcPr>
            <w:tcW w:w="4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73"/>
              <w:spacing w:after="0" w:line="155"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(17,487)</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(18,748)</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939,263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938,002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6% Senior Notes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Plus: Unamortized debt premium</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26,605</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(19,580)</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(20,716)</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880,488</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880,889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7% Senior Notes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(6,620)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(7,146)</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368,380</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367,854</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Capital leases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Long-term notes payable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(615)</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 long-term debt</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2,190,749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2,189,578</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Amortization of the debt issuance costs and the discount and premium associated with our indebtedness totaled $1.2 million and $2.5 million for the three and six months ended June 30, 2018, respectively. Amortization of the debt issuance costs and the discount and premium associated with our indebtedness totaled $2.2 million and $3.0 million for the three and six months ended June 30, 2017, respectively. Amortization of debt issuance costs is computed using the effective interest method and is included in interest expense.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left="560"/>
        <w:spacing w:after="0" w:line="207"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$375.0 million in 2023, $956.8 million in 2024, and $875.0 million in 2025.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right="140" w:firstLine="555"/>
        <w:spacing w:after="0" w:line="274" w:lineRule="auto"/>
        <w:rPr>
          <w:sz w:val="20"/>
          <w:szCs w:val="20"/>
          <w:color w:val="auto"/>
        </w:rPr>
      </w:pPr>
      <w:r>
        <w:rPr>
          <w:rFonts w:ascii="Arial" w:cs="Arial" w:eastAsia="Arial" w:hAnsi="Arial"/>
          <w:sz w:val="17"/>
          <w:szCs w:val="17"/>
          <w:color w:val="auto"/>
        </w:rPr>
        <w:t>In April 2017, the Company entered into a credit agreement with JPMorgan Chase Bank, N.A., as administrative agent, and the lenders party thereto dated as of April 17, 2017 (the “Credit Facility”), consisting of a $1.45 billion term loan facility (the “Term Loan Facility” or “Term Loan”) and a</w:t>
      </w:r>
    </w:p>
    <w:p>
      <w:pPr>
        <w:ind w:right="160"/>
        <w:spacing w:after="0" w:line="269" w:lineRule="auto"/>
        <w:rPr>
          <w:sz w:val="20"/>
          <w:szCs w:val="20"/>
          <w:color w:val="auto"/>
        </w:rPr>
      </w:pPr>
      <w:r>
        <w:rPr>
          <w:rFonts w:ascii="Arial" w:cs="Arial" w:eastAsia="Arial" w:hAnsi="Arial"/>
          <w:sz w:val="17"/>
          <w:szCs w:val="17"/>
          <w:color w:val="auto"/>
        </w:rPr>
        <w:t>$300.0 million revolving credit facility (the “Revolving Credit Facility”). The Company’s obligations under the Revolving Credit Facility will mature on April 17, 2022. The Company’s obligations under the Term Loan Facility will mature on April 17, 2024. The Company was required to make quarterly principal payments in an amount equal to $3.6 million on the Term Loan Facility on the last day of each fiscal quarter beginning on June 30, 2017 but satisfied this requirement as a result of the principal prepayment of $444.5 million on September 13, 2017 in conjunction with the issuance of the additional 6% Senior Notes. In addition, the Company is required to make mandatory 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spacing w:after="0" w:line="181"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As of June 30, 2018, the Company had $956.8 million outstanding on the Term Loan. There were no borrowings outstanding under the Revolving Credit Facility as of June 30, 2018. The Company had $290.9 million of available borrowing capacity, after consideration of $9.1 million in outstanding letters of credit, under its Revolving Credit Facility as of June 30, 2018.</w:t>
      </w:r>
    </w:p>
    <w:p>
      <w:pPr>
        <w:spacing w:after="0" w:line="181"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The interest rate per annum applicable to loans under the Revolving Credit Facility are, at our option, either LIBOR plus a margin ranging from 1.75% to 2.50% or a base rate plus a margin ranging from 0.75% to 1.50%, which margin is based on our total leverage ratio. The interest rate per annum applicable to the loans under the Term Loan Facility is, at our option, either LIBOR plus 2.25%, or a base rate plus 1.25%; provided, however, that in no event will LIBOR be less than zero or the base rate be less than 1.00% over the term of the Term Loan Facility or the Revolving Credit Facility. Additionally, the Company pays a commitment fee on the unused portion of the Revolving Credit Facility in the amount of 0.50% per annum. At June 30, 2018, the weighted average interest rate on the Term Loan was 4.1% based upon the weighted average interest rate of borrowings outstanding during the six months ended June 30, 2018.</w:t>
      </w:r>
    </w:p>
    <w:p>
      <w:pPr>
        <w:spacing w:after="0" w:line="189"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We have obtained commitments to increase our revolving credit facility from $300 million to $500 million effective substantially concurrently with the consummation of the Tropicana Acquisition and extend the maturity date of our revolving credit facility to the fifth anniversary of the effective date of such increase.</w:t>
      </w:r>
    </w:p>
    <w:p>
      <w:pPr>
        <w:spacing w:after="0" w:line="181"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On June 6, 2018, the Company executed an amendment that modified certain covenants in the Credit Facility to allow for considerations related to the acquisition of Tropicana.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On March 29, 2017, Eagle II issued at par $375.0 million aggregate principal amount of 6.0% senior notes due 2025 (the “6% Senior Notes”) pursuant to an indenture, dated as of March 29, 2017 (the “6% Senior Notes Indenture”), between Eagle II and U.S. Bank, National Association, as Trustee. The 6% Senior Notes will mature on April 1, 2025, with interest payable semi-annually in arrears on April 1 and October 1, commencing October 1, 2017. In connection with the consummation of the Isle Acquisition on May 1, 2017, the Company assumed Eagle II’s obligations under the 6% Senior Notes and the 6% Senior Notes Indenture and certain of the Company’s subsidiaries (including Isle and certain of its subsidiaries) executed guarantees of the Company’s obligations under the 6% Senior Notes.</w:t>
      </w:r>
    </w:p>
    <w:p>
      <w:pPr>
        <w:spacing w:after="0" w:line="193"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On September 13, 2017, the Company issued an additional $500.0 million principal amount of its 6% Senior Notes at an issue price equal to 105.5% of the principal amount of the 6% Senior Notes. The additional notes were issued pursuant to the 6% Senior Notes Indenture that governs the 6% Senior Notes.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7% Senior Notes</w:t>
      </w:r>
    </w:p>
    <w:p>
      <w:pPr>
        <w:spacing w:after="0" w:line="117"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On July 23, 2015, the Company issued at par $375.0 million in aggregate principal amount of 7.0% senior notes due 2023 (“7% Senior Notes”) pursuant to the Indenture, dated as of July 23, 2015 (the “Indenture”), between the Company and U.S. Bank, National Association, as Trustee. The 7% Senior Notes will mature on August 1, 2023, with interest payable semi-annually in arrears on February 1 and August 1 of each year.</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2018 we were in compliance with all covenants under the Credit Facility, 6% Senior Notes, and 7% Senior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In conjunction with the Isle Acquisition, the Company acquired the existing lease and management agreements at its Nemacolin location. Under the terms of the agreements, Nemacolin Woodland Resort (“Resort”) provided land, land improvements and a building for the casino property. The Company was deemed, for accounting purposes only, to be the owner of these assets provided by the Resort during the construction and casino operating periods due to the Company’s continuing involvement. Therefore, the transaction was accounted for using the direct financing method. As of June 30, 2018 and December 31, 2017, the Company recorded property and equipment, net of accumulated depreciation, of $4.1 million and $4.2 million, respectively, and a liability of $2.4 million and $4.5 million, respectively, in other long-term liabilities related to the agreement. The decrease in the liability was primarily due to the Company finalizing its purchase price accounting related to the Isle Acquisition as of March 31, 2018.</w:t>
      </w:r>
    </w:p>
    <w:p>
      <w:pPr>
        <w:spacing w:after="0" w:line="178"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In conjunction with the Isle Acquisition, the Company acquired the existing lease and management agreements at its Bettendorf location. Under the terms of the agreements with the City of Bettendorf, Iowa, the Company leases, manages, and provides financial and operating support for the convention center (Quad-Cities Waterfront Convention Center). The Company was deemed, for accounting purposes only, to be the owner of the convention center due to the Company’s continuing involvement. Therefore, the transaction was accounted for using the direct financing method. As of June 30, 2018 and December 31, 2017, the Company recorded property and equipment, net of accumulated depreciation, of $12.0 million and $11.9 million, respectively, and a liability of $5.5 million and $12.5 million, respectively, in other long-term liabilities related to the agreement. The changes in property and equipment and in the liability were primarily due to the Company finalizing its purchase price accounting related to the Isle Acquisition as of March 31,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21" w:lineRule="exact"/>
        <w:rPr>
          <w:sz w:val="20"/>
          <w:szCs w:val="20"/>
          <w:color w:val="auto"/>
        </w:rPr>
      </w:pPr>
    </w:p>
    <w:p>
      <w:pPr>
        <w:ind w:right="160" w:firstLine="555"/>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120" w:hanging="558"/>
        <w:spacing w:after="0" w:line="207" w:lineRule="exact"/>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June 30, 2018 and December 31, 2017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vMerge w:val="restart"/>
          </w:tcPr>
          <w:p>
            <w:pPr>
              <w:ind w:left="580"/>
              <w:spacing w:after="0"/>
              <w:rPr>
                <w:sz w:val="20"/>
                <w:szCs w:val="20"/>
                <w:color w:val="auto"/>
              </w:rPr>
            </w:pPr>
            <w:r>
              <w:rPr>
                <w:rFonts w:ascii="Arial" w:cs="Arial" w:eastAsia="Arial" w:hAnsi="Arial"/>
                <w:sz w:val="18"/>
                <w:szCs w:val="18"/>
                <w:color w:val="auto"/>
              </w:rPr>
              <w:t>Assets:</w:t>
            </w:r>
          </w:p>
        </w:tc>
        <w:tc>
          <w:tcPr>
            <w:tcW w:w="2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2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14,570</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17,066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380" w:type="dxa"/>
            <w:vAlign w:val="bottom"/>
            <w:gridSpan w:val="2"/>
            <w:vMerge w:val="restart"/>
          </w:tcPr>
          <w:p>
            <w:pPr>
              <w:ind w:left="580"/>
              <w:spacing w:after="0"/>
              <w:rPr>
                <w:sz w:val="20"/>
                <w:szCs w:val="20"/>
                <w:color w:val="auto"/>
              </w:rPr>
            </w:pPr>
            <w:r>
              <w:rPr>
                <w:rFonts w:ascii="Arial" w:cs="Arial" w:eastAsia="Arial" w:hAnsi="Arial"/>
                <w:sz w:val="18"/>
                <w:szCs w:val="18"/>
                <w:color w:val="auto"/>
              </w:rPr>
              <w:t>Assets:</w:t>
            </w:r>
          </w:p>
        </w:tc>
        <w:tc>
          <w:tcPr>
            <w:tcW w:w="2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2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80" w:type="dxa"/>
            <w:vAlign w:val="bottom"/>
          </w:tcPr>
          <w:p>
            <w:pPr>
              <w:jc w:val="right"/>
              <w:ind w:right="67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20" w:name="page21"/>
    <w:bookmarkEnd w:id="20"/>
    <w:p>
      <w:pPr>
        <w:ind w:right="240" w:firstLine="555"/>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60" w:firstLine="555"/>
        <w:spacing w:after="0" w:line="219"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investments in money market funds. Investments in this category can be redeemed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includes cash maintained for gaming operations. The carrying amounts approximate the fair value because of the short maturity of those instruments (Level 1).</w:t>
      </w:r>
    </w:p>
    <w:p>
      <w:pPr>
        <w:spacing w:after="0" w:line="206"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Restricted cash includes cash reserved for unredeemed winning tickets from the Company’s racing operations, funds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horsemen’s fines and certain simulcasting funds that are restricted to payments for improving horsemen’s facilities and racing purses, cash deposits that serve as collateral for letters of credit, surety bonds and short-term certificates of deposit that serve as collateral for certain bonding requirements. The estimated fair values of our restricted cash and investments are based upon quoted prices available in active markets (Level 1), or quoted prices for similar assets in active and inactive markets (Level 2), and represent the amounts we would expect to receive if we sold our restricted cash and investments. Restricted investments, included in Other Assets, net, relate to trading securities pledged as collateral by our captive insurance company.</w:t>
      </w:r>
    </w:p>
    <w:p>
      <w:pPr>
        <w:spacing w:after="0" w:line="178"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both"/>
        <w:ind w:right="120" w:firstLine="555"/>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term Debt: </w:t>
      </w:r>
      <w:r>
        <w:rPr>
          <w:rFonts w:ascii="Arial" w:cs="Arial" w:eastAsia="Arial" w:hAnsi="Arial"/>
          <w:sz w:val="16"/>
          <w:szCs w:val="16"/>
          <w:color w:val="auto"/>
        </w:rPr>
        <w:t>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investments.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June 30, 2018</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7"/>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35"/>
              <w:spacing w:after="0" w:line="14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7"/>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75"/>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295"/>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7% Senior Notes</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368,380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393,750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367,854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400,800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880,488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868,438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914,375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Term Loan</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939,263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956,750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938,002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956,750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debt</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Capital leases</w:t>
            </w: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836"/>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and six months ended June 30, 2018 and 2017 (dollars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jc w:val="right"/>
              <w:ind w:right="5"/>
              <w:spacing w:after="0" w:line="155"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available to common stockholders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(46,190)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57,651</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77,458,584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67,453,095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77,406,447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57,405,834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131,148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142,027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RSUs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668,897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621,155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5860" w:type="dxa"/>
            <w:vAlign w:val="bottom"/>
            <w:gridSpan w:val="2"/>
          </w:tcPr>
          <w:p>
            <w:pPr>
              <w:spacing w:after="0"/>
              <w:rPr>
                <w:sz w:val="20"/>
                <w:szCs w:val="20"/>
                <w:color w:val="auto"/>
              </w:rPr>
            </w:pPr>
            <w:r>
              <w:rPr>
                <w:rFonts w:ascii="Arial" w:cs="Arial" w:eastAsia="Arial" w:hAnsi="Arial"/>
                <w:sz w:val="18"/>
                <w:szCs w:val="18"/>
                <w:color w:val="auto"/>
              </w:rPr>
              <w:t xml:space="preserve">Weighted average shares outstanding – diluted </w:t>
            </w:r>
            <w:r>
              <w:rPr>
                <w:rFonts w:ascii="Arial" w:cs="Arial" w:eastAsia="Arial" w:hAnsi="Arial"/>
                <w:sz w:val="15"/>
                <w:szCs w:val="15"/>
                <w:color w:val="auto"/>
              </w:rPr>
              <w:t>(1)</w:t>
            </w: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78,258,629</w:t>
            </w:r>
          </w:p>
        </w:tc>
        <w:tc>
          <w:tcPr>
            <w:tcW w:w="3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67,453,095</w:t>
            </w:r>
          </w:p>
        </w:tc>
        <w:tc>
          <w:tcPr>
            <w:tcW w:w="5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78,169,629</w:t>
            </w:r>
          </w:p>
        </w:tc>
        <w:tc>
          <w:tcPr>
            <w:tcW w:w="3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57,405,834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 (loss) per common share attributable to common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(0.68)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(loss) per common share attributable to common</w:t>
            </w: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right="260" w:hanging="547"/>
        <w:spacing w:after="0" w:line="308"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Excluded from “Weighted average shares outstanding – diluted” are 78,435 and 64,617 stock options for the three and six months ended June 30, 2017, respectively, and 937,661 and 868,987 RSUs for the three and six months ended June 30, 2017,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 Estimated losses are accrued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47" w:lineRule="exact"/>
        <w:rPr>
          <w:sz w:val="20"/>
          <w:szCs w:val="20"/>
          <w:color w:val="auto"/>
        </w:rPr>
      </w:pPr>
    </w:p>
    <w:p>
      <w:pPr>
        <w:ind w:right="20" w:firstLine="555"/>
        <w:spacing w:after="0" w:line="217" w:lineRule="exact"/>
        <w:rPr>
          <w:sz w:val="20"/>
          <w:szCs w:val="20"/>
          <w:color w:val="auto"/>
        </w:rPr>
      </w:pPr>
      <w:r>
        <w:rPr>
          <w:rFonts w:ascii="Arial" w:cs="Arial" w:eastAsia="Arial" w:hAnsi="Arial"/>
          <w:sz w:val="16"/>
          <w:szCs w:val="16"/>
          <w:i w:val="1"/>
          <w:iCs w:val="1"/>
          <w:color w:val="auto"/>
        </w:rPr>
        <w:t>Agreements with Horsemen and Pari-mutuel Clerks</w:t>
      </w:r>
      <w:r>
        <w:rPr>
          <w:rFonts w:ascii="Arial" w:cs="Arial" w:eastAsia="Arial" w:hAnsi="Arial"/>
          <w:sz w:val="16"/>
          <w:szCs w:val="16"/>
          <w:color w:val="auto"/>
        </w:rPr>
        <w:t>. The Federal Interstate Horse Racing Act and the state racing laws in West Virginia, Ohio and</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In Pennsylvania and Ohio, we must have an agreement with the representative of the horse owners. We have the requisite agreements in place with the horsemen at Mountaineer until December 31, 2018. With respect to the Mountaineer 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2018, which will automatically renew for an additional one-year period, and a proceeds agreement until April 14, 2019.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Scioto Downs has the requisite agreement in place with the OHHA until December 31, 2023, with automatic two-year renewals unless either party requests re</w:t>
      </w:r>
      <w:r>
        <w:rPr>
          <w:rFonts w:ascii="MS PGothic" w:cs="MS PGothic" w:eastAsia="MS PGothic" w:hAnsi="MS PGothic"/>
          <w:sz w:val="16"/>
          <w:szCs w:val="16"/>
          <w:color w:val="auto"/>
        </w:rPr>
        <w:t>‑</w:t>
      </w:r>
      <w:r>
        <w:rPr>
          <w:rFonts w:ascii="Arial" w:cs="Arial" w:eastAsia="Arial" w:hAnsi="Arial"/>
          <w:sz w:val="16"/>
          <w:szCs w:val="16"/>
          <w:color w:val="auto"/>
        </w:rPr>
        <w:t>negotiation pursuant to its terms. Presque Isle Downs has the requisite agreement in place with the Pennsylvania Horsemen’s Benevolent and Protective Association until May 1, 2021. With the exception of the respective Mountaineer, 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union described above, each of the agreements referred to in this paragraph may be terminated upon written notice by either party.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12. Related Affiliates</w:t>
      </w:r>
    </w:p>
    <w:p>
      <w:pPr>
        <w:spacing w:after="0" w:line="94" w:lineRule="exact"/>
        <w:rPr>
          <w:sz w:val="20"/>
          <w:szCs w:val="20"/>
          <w:color w:val="auto"/>
        </w:rPr>
      </w:pPr>
    </w:p>
    <w:p>
      <w:pPr>
        <w:ind w:firstLine="555"/>
        <w:spacing w:after="0"/>
        <w:rPr>
          <w:sz w:val="20"/>
          <w:szCs w:val="20"/>
          <w:color w:val="auto"/>
        </w:rPr>
      </w:pPr>
      <w:r>
        <w:rPr>
          <w:rFonts w:ascii="Arial" w:cs="Arial" w:eastAsia="Arial" w:hAnsi="Arial"/>
          <w:sz w:val="17"/>
          <w:szCs w:val="17"/>
          <w:color w:val="auto"/>
        </w:rPr>
        <w:t>The Company has a lease agreement with C.S. &amp;Y. Associates (“CS&amp;Y”)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Company owns the entire parcel on which Eldorado Reno is located, except for approximately 30,000 square feet which is leased from CS&amp;Y. For the three and six months ended June 30, 2018, the Company paid CS&amp;Y $150,000 and $300,000, respectively. For the three and six months ended June 30, 2017, the Company paid CS&amp;Y $90,000 and $215,000, respectively. No amounts were due to or due from CS&amp;Y as of June 30, 2018 and December 31, 2017.</w:t>
      </w:r>
    </w:p>
    <w:p>
      <w:pPr>
        <w:spacing w:after="0" w:line="178" w:lineRule="exact"/>
        <w:rPr>
          <w:sz w:val="20"/>
          <w:szCs w:val="20"/>
          <w:color w:val="auto"/>
        </w:rPr>
      </w:pPr>
    </w:p>
    <w:p>
      <w:pPr>
        <w:ind w:right="20" w:firstLine="555"/>
        <w:spacing w:after="0" w:line="227" w:lineRule="auto"/>
        <w:rPr>
          <w:sz w:val="20"/>
          <w:szCs w:val="20"/>
          <w:color w:val="auto"/>
        </w:rPr>
      </w:pPr>
      <w:r>
        <w:rPr>
          <w:rFonts w:ascii="Arial" w:cs="Arial" w:eastAsia="Arial" w:hAnsi="Arial"/>
          <w:sz w:val="18"/>
          <w:szCs w:val="18"/>
          <w:color w:val="auto"/>
        </w:rPr>
        <w:t xml:space="preserve">The Company holds a 42.1% variable interest in a partnership with other investors that developed a new 118-room Hampton Inn &amp; Suites hotel at Scioto Downs that opened in March 2017. Pursuant to the terms of the partnership agreement, the Company contributed $1.0 million of cash and 2.4 acres of a leasehold immediately adjacent to </w:t>
      </w:r>
      <w:r>
        <w:rPr>
          <w:rFonts w:ascii="Arial" w:cs="Arial" w:eastAsia="Arial" w:hAnsi="Arial"/>
          <w:sz w:val="18"/>
          <w:szCs w:val="18"/>
          <w:i w:val="1"/>
          <w:iCs w:val="1"/>
          <w:color w:val="auto"/>
        </w:rPr>
        <w:t>The Brew Brothers</w:t>
      </w:r>
      <w:r>
        <w:rPr>
          <w:rFonts w:ascii="Arial" w:cs="Arial" w:eastAsia="Arial" w:hAnsi="Arial"/>
          <w:sz w:val="18"/>
          <w:szCs w:val="18"/>
          <w:color w:val="auto"/>
        </w:rPr>
        <w:t xml:space="preserve"> microbrewery and restaurant at Scioto Downs. The partnership constructed the hotel at a cost of $16.0 million and other investor members operate the hotel. As of June 30, 2018, the Company’s receivable from the partnership totaled $125,000 and the Company’s payable to the partnership totaled $20,000. These amounts are reflected on the accompanying balance sheet under “due from affiliates” and “due to affiliates.”</w:t>
      </w:r>
    </w:p>
    <w:p>
      <w:pPr>
        <w:spacing w:after="0" w:line="176" w:lineRule="exact"/>
        <w:rPr>
          <w:sz w:val="20"/>
          <w:szCs w:val="20"/>
          <w:color w:val="auto"/>
        </w:rPr>
      </w:pPr>
    </w:p>
    <w:p>
      <w:pPr>
        <w:jc w:val="both"/>
        <w:ind w:right="120" w:firstLine="555"/>
        <w:spacing w:after="0" w:line="235" w:lineRule="auto"/>
        <w:rPr>
          <w:sz w:val="20"/>
          <w:szCs w:val="20"/>
          <w:color w:val="auto"/>
        </w:rPr>
      </w:pPr>
      <w:r>
        <w:rPr>
          <w:rFonts w:ascii="Arial" w:cs="Arial" w:eastAsia="Arial" w:hAnsi="Arial"/>
          <w:sz w:val="18"/>
          <w:szCs w:val="18"/>
          <w:color w:val="auto"/>
        </w:rPr>
        <w:t>The Company formed a joint venture in April 2018 with Cordish Companies (“Cordish”) to master plan and develop a mixed use entertainment and hospitality destination expected to be located on unused land adjacent to the casino and racetrack at our Pompano property. No amounts were due to or due from Cordish as of June 30, 2018.</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48"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Segment Information</w:t>
      </w:r>
    </w:p>
    <w:p>
      <w:pPr>
        <w:spacing w:after="0" w:line="121"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The following table sets forth, for the period indicated, certain operating data for our reportable segments. 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Isle Acquisition, the Company’s principal operating activities occurred in three geographic regions: Nevada, Louisiana and parts of the eastern United States. Following the Isle Acquisition, the Company’s principal operating activities expanded and now occur in four geographic regions and reportable segments based on the similar characteristics of the operating segments within the regions in which they operate. The previously reported segments, Nevada, Louisiana, and Eastern, are now included in the West, South, and East segments, respectively, which are summarized as follows, along with the Midwest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ind w:left="1280"/>
              <w:spacing w:after="0"/>
              <w:rPr>
                <w:sz w:val="20"/>
                <w:szCs w:val="20"/>
                <w:color w:val="auto"/>
              </w:rPr>
            </w:pPr>
            <w:r>
              <w:rPr>
                <w:rFonts w:ascii="Arial" w:cs="Arial" w:eastAsia="Arial" w:hAnsi="Arial"/>
                <w:sz w:val="14"/>
                <w:szCs w:val="14"/>
                <w:b w:val="1"/>
                <w:bCs w:val="1"/>
                <w:color w:val="auto"/>
              </w:rPr>
              <w:t>Segment</w:t>
            </w:r>
          </w:p>
        </w:tc>
        <w:tc>
          <w:tcPr>
            <w:tcW w:w="5660" w:type="dxa"/>
            <w:vAlign w:val="bottom"/>
            <w:gridSpan w:val="2"/>
          </w:tcPr>
          <w:p>
            <w:pPr>
              <w:ind w:left="240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r>
      <w:tr>
        <w:trPr>
          <w:trHeight w:val="223"/>
        </w:trPr>
        <w:tc>
          <w:tcPr>
            <w:tcW w:w="3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20" w:type="dxa"/>
            <w:vAlign w:val="bottom"/>
            <w:tcBorders>
              <w:top w:val="single" w:sz="8" w:color="CFF0FC"/>
            </w:tcBorders>
            <w:shd w:val="clear" w:color="auto" w:fill="CFF0FC"/>
          </w:tcPr>
          <w:p>
            <w:pPr>
              <w:spacing w:after="0"/>
              <w:rPr>
                <w:sz w:val="19"/>
                <w:szCs w:val="19"/>
                <w:color w:val="auto"/>
              </w:rPr>
            </w:pPr>
          </w:p>
        </w:tc>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Isle Black Hawk</w:t>
            </w: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Bettendorf</w:t>
            </w: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Pompano</w:t>
            </w: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Lake Charles</w:t>
            </w:r>
          </w:p>
        </w:tc>
        <w:tc>
          <w:tcPr>
            <w:tcW w:w="2360" w:type="dxa"/>
            <w:vAlign w:val="bottom"/>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Lula</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Vicksburg</w:t>
            </w: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East</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Presque Isle Downs</w:t>
            </w: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Scioto Downs</w:t>
            </w: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9"/>
                <w:szCs w:val="19"/>
                <w:color w:val="auto"/>
              </w:rPr>
            </w:pPr>
          </w:p>
        </w:tc>
      </w:tr>
      <w:tr>
        <w:trPr>
          <w:trHeight w:val="648"/>
        </w:trPr>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tcPr>
          <w:p>
            <w:pPr>
              <w:ind w:left="22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4" w:name="page25"/>
    <w:bookmarkEnd w:id="24"/>
    <w:p>
      <w:pPr>
        <w:jc w:val="both"/>
        <w:ind w:right="200" w:firstLine="555"/>
        <w:spacing w:after="0" w:line="264" w:lineRule="auto"/>
        <w:rPr>
          <w:sz w:val="20"/>
          <w:szCs w:val="20"/>
          <w:color w:val="auto"/>
        </w:rPr>
      </w:pPr>
      <w:r>
        <w:rPr>
          <w:rFonts w:ascii="Arial" w:cs="Arial" w:eastAsia="Arial" w:hAnsi="Arial"/>
          <w:sz w:val="18"/>
          <w:szCs w:val="18"/>
          <w:color w:val="auto"/>
        </w:rPr>
        <w:t>The following table sets forth, for the periods indicated, certain operating data for our four reportable segments. Amounts related to pre-acquisition periods (prior to May 1, 2017) conform to prior presentation as the additional operating segments associated with the Isle Acquisition are incremental to the previously disclosed reportable segments.</w:t>
      </w:r>
    </w:p>
    <w:p>
      <w:pPr>
        <w:sectPr>
          <w:pgSz w:w="11900" w:h="16838" w:orient="portrait"/>
          <w:cols w:equalWidth="0" w:num="1">
            <w:col w:w="11440"/>
          </w:cols>
          <w:pgMar w:left="240" w:top="341" w:right="219" w:bottom="1440" w:gutter="0" w:footer="0" w:header="0"/>
        </w:sectPr>
      </w:pPr>
    </w:p>
    <w:p>
      <w:pPr>
        <w:spacing w:after="0" w:line="186"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wp:posOffset>
            </wp:positionV>
            <wp:extent cx="13633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left="6060"/>
        <w:spacing w:after="0"/>
        <w:tabs>
          <w:tab w:leader="none" w:pos="72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13633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2"/>
          <w:szCs w:val="12"/>
          <w:b w:val="1"/>
          <w:bCs w:val="1"/>
          <w:color w:val="auto"/>
        </w:rPr>
        <w:t>(in thousands, unaudited)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54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right="154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-3175</wp:posOffset>
            </wp:positionV>
            <wp:extent cx="13722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60"/>
        <w:spacing w:after="0"/>
        <w:tabs>
          <w:tab w:leader="none" w:pos="12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0</wp:posOffset>
            </wp:positionV>
            <wp:extent cx="13722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(in thousands, unaudited)</w:t>
      </w:r>
    </w:p>
    <w:p>
      <w:pPr>
        <w:spacing w:after="0" w:line="43" w:lineRule="exact"/>
        <w:rPr>
          <w:sz w:val="20"/>
          <w:szCs w:val="20"/>
          <w:color w:val="auto"/>
        </w:rPr>
      </w:pPr>
    </w:p>
    <w:p>
      <w:pPr>
        <w:sectPr>
          <w:pgSz w:w="11900" w:h="16838" w:orient="portrait"/>
          <w:cols w:equalWidth="0" w:num="2">
            <w:col w:w="7600" w:space="720"/>
            <w:col w:w="3120"/>
          </w:cols>
          <w:pgMar w:left="240" w:top="341"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117,880</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99,752</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217,459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163,240</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21,865</w:t>
            </w:r>
          </w:p>
        </w:tc>
        <w:tc>
          <w:tcPr>
            <w:tcW w:w="120" w:type="dxa"/>
            <w:vAlign w:val="bottom"/>
          </w:tcPr>
          <w:p>
            <w:pPr>
              <w:spacing w:after="0"/>
              <w:rPr>
                <w:sz w:val="19"/>
                <w:szCs w:val="19"/>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16,512</w:t>
            </w:r>
          </w:p>
        </w:tc>
        <w:tc>
          <w:tcPr>
            <w:tcW w:w="180" w:type="dxa"/>
            <w:vAlign w:val="bottom"/>
          </w:tcPr>
          <w:p>
            <w:pPr>
              <w:spacing w:after="0"/>
              <w:rPr>
                <w:sz w:val="19"/>
                <w:szCs w:val="19"/>
                <w:color w:val="auto"/>
              </w:rPr>
            </w:pPr>
          </w:p>
        </w:tc>
        <w:tc>
          <w:tcPr>
            <w:tcW w:w="200" w:type="dxa"/>
            <w:vAlign w:val="bottom"/>
            <w:gridSpan w:val="2"/>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32,004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Midwest: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100,607</w:t>
            </w:r>
          </w:p>
        </w:tc>
        <w:tc>
          <w:tcPr>
            <w:tcW w:w="120" w:type="dxa"/>
            <w:vAlign w:val="bottom"/>
          </w:tcPr>
          <w:p>
            <w:pPr>
              <w:spacing w:after="0"/>
              <w:rPr>
                <w:sz w:val="19"/>
                <w:szCs w:val="19"/>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67,641</w:t>
            </w:r>
          </w:p>
        </w:tc>
        <w:tc>
          <w:tcPr>
            <w:tcW w:w="180" w:type="dxa"/>
            <w:vAlign w:val="bottom"/>
          </w:tcPr>
          <w:p>
            <w:pPr>
              <w:spacing w:after="0"/>
              <w:rPr>
                <w:sz w:val="19"/>
                <w:szCs w:val="19"/>
                <w:color w:val="auto"/>
              </w:rPr>
            </w:pPr>
          </w:p>
        </w:tc>
        <w:tc>
          <w:tcPr>
            <w:tcW w:w="200" w:type="dxa"/>
            <w:vAlign w:val="bottom"/>
            <w:gridSpan w:val="2"/>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201,402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27,411</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54,087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112,242</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88,459</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235,042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121,019</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20,564</w:t>
            </w:r>
          </w:p>
        </w:tc>
        <w:tc>
          <w:tcPr>
            <w:tcW w:w="120" w:type="dxa"/>
            <w:vAlign w:val="bottom"/>
          </w:tcPr>
          <w:p>
            <w:pPr>
              <w:spacing w:after="0"/>
              <w:rPr>
                <w:sz w:val="19"/>
                <w:szCs w:val="19"/>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12,610</w:t>
            </w:r>
          </w:p>
        </w:tc>
        <w:tc>
          <w:tcPr>
            <w:tcW w:w="180" w:type="dxa"/>
            <w:vAlign w:val="bottom"/>
          </w:tcPr>
          <w:p>
            <w:pPr>
              <w:spacing w:after="0"/>
              <w:rPr>
                <w:sz w:val="19"/>
                <w:szCs w:val="19"/>
                <w:color w:val="auto"/>
              </w:rPr>
            </w:pPr>
          </w:p>
        </w:tc>
        <w:tc>
          <w:tcPr>
            <w:tcW w:w="200" w:type="dxa"/>
            <w:vAlign w:val="bottom"/>
            <w:gridSpan w:val="2"/>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33,923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East: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125,961</w:t>
            </w:r>
          </w:p>
        </w:tc>
        <w:tc>
          <w:tcPr>
            <w:tcW w:w="120" w:type="dxa"/>
            <w:vAlign w:val="bottom"/>
          </w:tcPr>
          <w:p>
            <w:pPr>
              <w:spacing w:after="0"/>
              <w:rPr>
                <w:sz w:val="19"/>
                <w:szCs w:val="19"/>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119,638</w:t>
            </w:r>
          </w:p>
        </w:tc>
        <w:tc>
          <w:tcPr>
            <w:tcW w:w="180" w:type="dxa"/>
            <w:vAlign w:val="bottom"/>
          </w:tcPr>
          <w:p>
            <w:pPr>
              <w:spacing w:after="0"/>
              <w:rPr>
                <w:sz w:val="19"/>
                <w:szCs w:val="19"/>
                <w:color w:val="auto"/>
              </w:rPr>
            </w:pPr>
          </w:p>
        </w:tc>
        <w:tc>
          <w:tcPr>
            <w:tcW w:w="200" w:type="dxa"/>
            <w:vAlign w:val="bottom"/>
            <w:gridSpan w:val="2"/>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242,852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225,926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24,397</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18,228</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43,528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33,196</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i w:val="1"/>
                <w:iCs w:val="1"/>
                <w:color w:val="auto"/>
              </w:rPr>
              <w:t>Corporate: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(16,823)</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(93,229)</w:t>
            </w:r>
          </w:p>
        </w:tc>
        <w:tc>
          <w:tcPr>
            <w:tcW w:w="200" w:type="dxa"/>
            <w:vAlign w:val="bottom"/>
            <w:gridSpan w:val="2"/>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(31,934)</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(101,508)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456,802</w:t>
            </w:r>
          </w:p>
        </w:tc>
        <w:tc>
          <w:tcPr>
            <w:tcW w:w="120" w:type="dxa"/>
            <w:vAlign w:val="bottom"/>
          </w:tcPr>
          <w:p>
            <w:pPr>
              <w:spacing w:after="0"/>
              <w:rPr>
                <w:sz w:val="23"/>
                <w:szCs w:val="23"/>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375,626</w:t>
            </w:r>
          </w:p>
        </w:tc>
        <w:tc>
          <w:tcPr>
            <w:tcW w:w="180" w:type="dxa"/>
            <w:vAlign w:val="bottom"/>
          </w:tcPr>
          <w:p>
            <w:pPr>
              <w:spacing w:after="0"/>
              <w:rPr>
                <w:sz w:val="23"/>
                <w:szCs w:val="23"/>
                <w:color w:val="auto"/>
              </w:rPr>
            </w:pPr>
          </w:p>
        </w:tc>
        <w:tc>
          <w:tcPr>
            <w:tcW w:w="200" w:type="dxa"/>
            <w:vAlign w:val="bottom"/>
            <w:gridSpan w:val="2"/>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896,994</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578,019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77,414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left w:val="single" w:sz="8" w:color="CFF0FC"/>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(30,467)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center"/>
              <w:ind w:right="4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5"/>
              </w:rPr>
              <w:t>131,608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1120"/>
              <w:spacing w:after="0"/>
              <w:rPr>
                <w:sz w:val="20"/>
                <w:szCs w:val="20"/>
                <w:color w:val="auto"/>
              </w:rPr>
            </w:pPr>
            <w:r>
              <w:rPr>
                <w:rFonts w:ascii="Arial" w:cs="Arial" w:eastAsia="Arial" w:hAnsi="Arial"/>
                <w:sz w:val="18"/>
                <w:szCs w:val="18"/>
                <w:color w:val="auto"/>
              </w:rPr>
              <w:t>Reconciliations to consolidated net income</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(loss):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77,414</w:t>
            </w:r>
          </w:p>
        </w:tc>
        <w:tc>
          <w:tcPr>
            <w:tcW w:w="1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98"/>
              </w:rPr>
              <w:t>(30,467)</w:t>
            </w:r>
          </w:p>
        </w:tc>
        <w:tc>
          <w:tcPr>
            <w:tcW w:w="20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131,608</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gridSpan w:val="2"/>
          </w:tcPr>
          <w:p>
            <w:pPr>
              <w:ind w:left="1120"/>
              <w:spacing w:after="0"/>
              <w:rPr>
                <w:sz w:val="20"/>
                <w:szCs w:val="20"/>
                <w:color w:val="auto"/>
              </w:rPr>
            </w:pPr>
            <w:r>
              <w:rPr>
                <w:rFonts w:ascii="Arial" w:cs="Arial" w:eastAsia="Arial" w:hAnsi="Arial"/>
                <w:sz w:val="18"/>
                <w:szCs w:val="18"/>
                <w:color w:val="auto"/>
              </w:rPr>
              <w:t>Unallocated income and expenses: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8"/>
              </w:rPr>
              <w:t>(31,405)</w:t>
            </w:r>
          </w:p>
        </w:tc>
        <w:tc>
          <w:tcPr>
            <w:tcW w:w="60" w:type="dxa"/>
            <w:vAlign w:val="bottom"/>
            <w:shd w:val="clear" w:color="auto" w:fill="CFF0FC"/>
          </w:tcPr>
          <w:p>
            <w:pPr>
              <w:spacing w:after="0"/>
              <w:rPr>
                <w:sz w:val="21"/>
                <w:szCs w:val="21"/>
                <w:color w:val="auto"/>
              </w:rPr>
            </w:pPr>
          </w:p>
        </w:tc>
        <w:tc>
          <w:tcPr>
            <w:tcW w:w="28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98"/>
              </w:rPr>
              <w:t>(27,527)</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(62,494)</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Loss on early retirement of debt, net</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(27,317)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(9,213)</w:t>
            </w:r>
          </w:p>
        </w:tc>
        <w:tc>
          <w:tcPr>
            <w:tcW w:w="60" w:type="dxa"/>
            <w:vAlign w:val="bottom"/>
            <w:shd w:val="clear" w:color="auto" w:fill="CFF0FC"/>
          </w:tcPr>
          <w:p>
            <w:pPr>
              <w:spacing w:after="0"/>
              <w:rPr>
                <w:sz w:val="21"/>
                <w:szCs w:val="21"/>
                <w:color w:val="auto"/>
              </w:rPr>
            </w:pPr>
          </w:p>
        </w:tc>
        <w:tc>
          <w:tcPr>
            <w:tcW w:w="28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39,121</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(11,301)</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38,708</w:t>
            </w:r>
          </w:p>
        </w:tc>
        <w:tc>
          <w:tcPr>
            <w:tcW w:w="8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gridSpan w:val="2"/>
          </w:tcPr>
          <w:p>
            <w:pPr>
              <w:ind w:left="11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36,796</w:t>
            </w:r>
          </w:p>
        </w:tc>
        <w:tc>
          <w:tcPr>
            <w:tcW w:w="120" w:type="dxa"/>
            <w:vAlign w:val="bottom"/>
          </w:tcPr>
          <w:p>
            <w:pPr>
              <w:spacing w:after="0"/>
              <w:rPr>
                <w:sz w:val="20"/>
                <w:szCs w:val="20"/>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(46,190)</w:t>
            </w:r>
          </w:p>
        </w:tc>
        <w:tc>
          <w:tcPr>
            <w:tcW w:w="200" w:type="dxa"/>
            <w:vAlign w:val="bottom"/>
            <w:gridSpan w:val="2"/>
          </w:tcPr>
          <w:p>
            <w:pPr>
              <w:jc w:val="center"/>
              <w:ind w:right="4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57,651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(45,245)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1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40" w:type="dxa"/>
            <w:vAlign w:val="bottom"/>
            <w:gridSpan w:val="13"/>
          </w:tcPr>
          <w:p>
            <w:pPr>
              <w:jc w:val="right"/>
              <w:ind w:right="612"/>
              <w:spacing w:after="0" w:line="155" w:lineRule="exact"/>
              <w:rPr>
                <w:sz w:val="20"/>
                <w:szCs w:val="20"/>
                <w:color w:val="auto"/>
              </w:rPr>
            </w:pPr>
            <w:r>
              <w:rPr>
                <w:rFonts w:ascii="Arial" w:cs="Arial" w:eastAsia="Arial" w:hAnsi="Arial"/>
                <w:sz w:val="14"/>
                <w:szCs w:val="14"/>
                <w:b w:val="1"/>
                <w:bCs w:val="1"/>
                <w:color w:val="auto"/>
                <w:w w:val="94"/>
              </w:rPr>
              <w:t>(in thousands, unaudited)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West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4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0"/>
              </w:rPr>
              <w:t>29,080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9,384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7,083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6,008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3,626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left w:val="single" w:sz="8" w:color="CFF0FC"/>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90"/>
              </w:rPr>
              <w:t>55,181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29,824</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205"/>
              <w:spacing w:after="0"/>
              <w:rPr>
                <w:sz w:val="20"/>
                <w:szCs w:val="20"/>
                <w:color w:val="auto"/>
              </w:rPr>
            </w:pPr>
            <w:r>
              <w:rPr>
                <w:rFonts w:ascii="Arial" w:cs="Arial" w:eastAsia="Arial" w:hAnsi="Arial"/>
                <w:sz w:val="14"/>
                <w:szCs w:val="14"/>
                <w:b w:val="1"/>
                <w:bCs w:val="1"/>
                <w:color w:val="auto"/>
              </w:rPr>
              <w:t>West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Midwest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South</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East</w:t>
            </w:r>
          </w:p>
        </w:tc>
        <w:tc>
          <w:tcPr>
            <w:tcW w:w="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 &amp;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Balance sheet as of June 30, 2018 (unaudited)</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6"/>
          </w:tcPr>
          <w:p>
            <w:pPr>
              <w:jc w:val="center"/>
              <w:ind w:left="295"/>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5"/>
              </w:rPr>
              <w:t>1,300,315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1,215,157</w:t>
            </w:r>
          </w:p>
        </w:tc>
        <w:tc>
          <w:tcPr>
            <w:tcW w:w="28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814,364</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1,209,463</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(939,553)</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3,599,746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24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152,761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322,745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180,044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rPr>
              <w:t>63,704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719,254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Balance sheet as of December 31, 2017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5"/>
              </w:rPr>
              <w:t>1,278,062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1,188,758</w:t>
            </w:r>
          </w:p>
        </w:tc>
        <w:tc>
          <w:tcPr>
            <w:tcW w:w="2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804,318</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1,185,806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(910,472)</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3,546,472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ind w:left="24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152,775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327,088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200,417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rPr>
              <w:t>66,826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747,106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Consolidating Condensed Financial Information</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6% Senior Notes and Credit Facility.</w:t>
      </w:r>
    </w:p>
    <w:p>
      <w:pPr>
        <w:spacing w:after="0" w:line="170"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The following wholly-owned subsidiaries of the Company are guarantors, on a joint and several basis, under the 7% Senior Notes, 6% Senior Notes and Credit Facility: Isle of Capri Casinos LLC; Eldorado Holdco LLC; Eldorado Resorts LLC; Eldorado Shreveport 1 LLC; Eldorado Shreveport 2 LLC; Eldorado Casino Shreveport Joint Venture; MTR Gaming Group Inc.; Mountaineer Park Inc.; Presque Isle Downs Inc.; Scioto Downs Inc.; Eldorado Limited Liability Company; Circus and Eldorado Joint Venture, LLC; CC Reno LLC; CCR Newco LLC; Black Hawk Holdings, L.L.C.; IC Holdings Colorado, Inc.; CCSC/Blackhawk, Inc.; IOC-Black Hawk Distribution Company, LLC; IOC-Black Hawk County, Inc.; Isle of Capri Bettendorf, L.C.; PPI, Inc.; Pompano Park Holdings LLC; IOC-Lula, Inc.; IOC-Kansas City, Inc.; IOC-Boonville, Inc.; IOC-Caruthersville, LLC; IOC Cape Girardeau, LLC; IOC-Vicksburg, Inc.; IOC-Vicksburg, L.L.C.; Rainbow Casino-Vicksburg Partnership, L.P.; IOC Holdings L.L.C.; St. Charles Gaming Company, L.L.C.; Elgin Riverboat Resort-Riverboat Casino; Elgin Holdings I LLC; Elgin Holdings II LLC, PPI Development Holdings LLC; and PPI Development LLC. Each of the subsidiaries’ guarantees is joint and several with the guarantees of the other subsidiaries.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June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1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160" w:type="dxa"/>
            <w:vAlign w:val="bottom"/>
          </w:tcPr>
          <w:p>
            <w:pPr>
              <w:jc w:val="right"/>
              <w:ind w:right="2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(in thousands, unaudited)</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100,202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378,207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26,994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145,580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(179,260)</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2,541,456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(2,541,456)</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1,378,375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1,400,088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49,707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1,655,020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(33,319)</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1,694,255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0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2,850,604</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3,411,602</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91,575</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(2,754,035)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3,599,746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0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Current liabilities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34,402</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156,325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26,965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217,692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(179,260)</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1,815,523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2,190,749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209,926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(33,319)</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4,035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996,644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2,504,931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36,604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(2,541,456)</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996,723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2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60"/>
              <w:spacing w:after="0"/>
              <w:rPr>
                <w:sz w:val="20"/>
                <w:szCs w:val="20"/>
                <w:color w:val="auto"/>
              </w:rPr>
            </w:pPr>
            <w:r>
              <w:rPr>
                <w:rFonts w:ascii="Arial" w:cs="Arial" w:eastAsia="Arial" w:hAnsi="Arial"/>
                <w:sz w:val="16"/>
                <w:szCs w:val="16"/>
                <w:color w:val="auto"/>
              </w:rPr>
              <w:t>equity</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2,850,604</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3,411,602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91,575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(2,754,035)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3,599,746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color w:val="auto"/>
        </w:rPr>
        <w:t>The consolidating condensed balance sheet as of December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vMerge w:val="restart"/>
          </w:tcPr>
          <w:p>
            <w:pPr>
              <w:ind w:left="1240"/>
              <w:spacing w:after="0"/>
              <w:rPr>
                <w:sz w:val="20"/>
                <w:szCs w:val="20"/>
                <w:color w:val="auto"/>
              </w:rPr>
            </w:pPr>
            <w:r>
              <w:rPr>
                <w:rFonts w:ascii="Arial" w:cs="Arial" w:eastAsia="Arial" w:hAnsi="Arial"/>
                <w:sz w:val="16"/>
                <w:szCs w:val="16"/>
                <w:b w:val="1"/>
                <w:bCs w:val="1"/>
                <w:color w:val="auto"/>
              </w:rPr>
              <w:t>Balance Sheet</w:t>
            </w: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201,321</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22,139</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251,032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(308,640)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2,437,287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(2,437,287)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1,483,473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1,502,817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1,764,291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27,283</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(36,409)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1,792,623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5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(2,782,336)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28,676</w:t>
            </w:r>
          </w:p>
        </w:tc>
        <w:tc>
          <w:tcPr>
            <w:tcW w:w="160" w:type="dxa"/>
            <w:vAlign w:val="bottom"/>
          </w:tcPr>
          <w:p>
            <w:pPr>
              <w:spacing w:after="0"/>
              <w:rPr>
                <w:sz w:val="18"/>
                <w:szCs w:val="18"/>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169,348</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25,726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223,750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283,640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(308,640)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1,814,185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2,189,578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199,376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(36,409)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2,402,097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(2,437,287)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60"/>
              <w:spacing w:after="0"/>
              <w:rPr>
                <w:sz w:val="20"/>
                <w:szCs w:val="20"/>
                <w:color w:val="auto"/>
              </w:rPr>
            </w:pPr>
            <w:r>
              <w:rPr>
                <w:rFonts w:ascii="Arial" w:cs="Arial" w:eastAsia="Arial" w:hAnsi="Arial"/>
                <w:sz w:val="16"/>
                <w:szCs w:val="16"/>
                <w:color w:val="auto"/>
              </w:rPr>
              <w:t>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(2,782,336)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460" w:type="dxa"/>
            <w:vAlign w:val="bottom"/>
            <w:gridSpan w:val="13"/>
          </w:tcPr>
          <w:p>
            <w:pPr>
              <w:jc w:val="right"/>
              <w:spacing w:after="0"/>
              <w:rPr>
                <w:sz w:val="20"/>
                <w:szCs w:val="20"/>
                <w:color w:val="auto"/>
              </w:rPr>
            </w:pPr>
            <w:r>
              <w:rPr>
                <w:rFonts w:ascii="Arial" w:cs="Arial" w:eastAsia="Arial" w:hAnsi="Arial"/>
                <w:sz w:val="18"/>
                <w:szCs w:val="18"/>
                <w:color w:val="auto"/>
                <w:w w:val="95"/>
              </w:rPr>
              <w:t>The consolidating condensed statement of operations for the three months ended June 30, 2018 is as follows: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(in thousands, unaudited)</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340,960</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7,760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348,720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105,555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2,527</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108,082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456,802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164,837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5,108</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169,945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66,092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66,775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(7,030)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30,798</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362,385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8,875</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376,439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Gain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(3,335)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Equity in income of unconsolidated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(8,514)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84,514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77,414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(25,075)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(5,919)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(411)</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(31,405)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60,771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(60,771)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78,595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(60,771)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46,009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(18,438)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60,157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(60,771)</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36,796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6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7" w:name="page28"/>
    <w:bookmarkEnd w:id="27"/>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June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(in thousands, unaudited)</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274,023</w:t>
            </w:r>
          </w:p>
        </w:tc>
        <w:tc>
          <w:tcPr>
            <w:tcW w:w="1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5,682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279,705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94,023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368,046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375,626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139,891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143,737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(6,974)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24,637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312,829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7,468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320,480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gain on sale of asset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(67,559)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(17,905)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(85,464)</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(67,763)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37,184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(30,467)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(20,905)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(278)</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(27,527)</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(27,317)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(27,317)</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(16,401)</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rPr>
              <w:t>(Loss) income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(99,584)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(16,401)</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(85,311)</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(14,364)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(46,190)</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16,476</w:t>
            </w:r>
          </w:p>
        </w:tc>
        <w:tc>
          <w:tcPr>
            <w:tcW w:w="10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(16,401)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(46,190)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left="560"/>
        <w:spacing w:after="0"/>
        <w:rPr>
          <w:sz w:val="20"/>
          <w:szCs w:val="20"/>
          <w:color w:val="auto"/>
        </w:rPr>
      </w:pPr>
      <w:r>
        <w:rPr>
          <w:rFonts w:ascii="Arial" w:cs="Arial" w:eastAsia="Arial" w:hAnsi="Arial"/>
          <w:sz w:val="18"/>
          <w:szCs w:val="18"/>
          <w:color w:val="auto"/>
        </w:rPr>
        <w:t>The consolidating condensed statement of operations for the six months ended June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(in thousands, unaudited)</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676,753</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15,495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692,248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199,578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876,331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896,994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329,140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10,356</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339,496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130,067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42,256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(12,167)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61,398</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729,799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18,190</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759,098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gain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(5,453)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(5,952)</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(16,562)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145,695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(49,345)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(12,205)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(944)</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(62,494)</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104,076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(104,076)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133,490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(104,076)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(30,741)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(11,301)</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57,651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102,749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(104,076)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left="560"/>
        <w:spacing w:after="0"/>
        <w:rPr>
          <w:sz w:val="20"/>
          <w:szCs w:val="20"/>
          <w:color w:val="auto"/>
        </w:rPr>
      </w:pPr>
      <w:r>
        <w:rPr>
          <w:rFonts w:ascii="Arial" w:cs="Arial" w:eastAsia="Arial" w:hAnsi="Arial"/>
          <w:sz w:val="18"/>
          <w:szCs w:val="18"/>
          <w:color w:val="auto"/>
        </w:rPr>
        <w:t>The consolidating condensed statement of operations for the six months ended June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w w:val="93"/>
              </w:rPr>
              <w:t>(in thousands, unaudited)</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416,208</w:t>
            </w:r>
          </w:p>
        </w:tc>
        <w:tc>
          <w:tcPr>
            <w:tcW w:w="1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5,687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421,895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154,168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1,956</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570,376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578,019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221,079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102,591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(13,548)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499,237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7,472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507,041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(69,173)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(17,905)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(87,078)</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(69,526)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(16,439)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(26,994)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(12,925)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(278)</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(40,197)</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(27,317)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(27,317)</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(25,656)</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rPr>
              <w:t>(Loss) income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(98,181)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39,991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(25,656)</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(83,953)</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(45,245)</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25,672</w:t>
            </w:r>
          </w:p>
        </w:tc>
        <w:tc>
          <w:tcPr>
            <w:tcW w:w="10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(25,656)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(45,245)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560"/>
        <w:spacing w:after="0"/>
        <w:rPr>
          <w:sz w:val="20"/>
          <w:szCs w:val="20"/>
          <w:color w:val="auto"/>
        </w:rPr>
      </w:pPr>
      <w:r>
        <w:rPr>
          <w:rFonts w:ascii="Arial" w:cs="Arial" w:eastAsia="Arial" w:hAnsi="Arial"/>
          <w:sz w:val="18"/>
          <w:szCs w:val="18"/>
          <w:color w:val="auto"/>
        </w:rPr>
        <w:t>The consolidating condensed statement of cash flows for the six months ended June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Consolidating</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Entries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2"/>
              </w:rPr>
              <w:t>(in thousands, unaudited)</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(34,171)</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179,830</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2,845</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148,504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(2,246)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(51,862)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(1,073)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(55,181)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Deposit on acquisitions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line="123" w:lineRule="exact"/>
              <w:rPr>
                <w:sz w:val="20"/>
                <w:szCs w:val="20"/>
                <w:color w:val="auto"/>
              </w:rPr>
            </w:pPr>
            <w:r>
              <w:rPr>
                <w:rFonts w:ascii="Arial" w:cs="Arial" w:eastAsia="Arial" w:hAnsi="Arial"/>
                <w:sz w:val="14"/>
                <w:szCs w:val="14"/>
                <w:color w:val="auto"/>
              </w:rPr>
              <w:t>Net cash used in investing</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4"/>
                <w:szCs w:val="14"/>
                <w:color w:val="auto"/>
              </w:rPr>
              <w:t>activities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(17,246)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(51,022)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(1,073)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(69,341)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4"/>
                <w:szCs w:val="14"/>
                <w:color w:val="auto"/>
              </w:rPr>
              <w:t>parties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128,564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(128,034)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on other long-term payables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 equity awards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(9,677)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(9,677)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line="123" w:lineRule="exact"/>
              <w:rPr>
                <w:sz w:val="20"/>
                <w:szCs w:val="20"/>
                <w:color w:val="auto"/>
              </w:rPr>
            </w:pPr>
            <w:r>
              <w:rPr>
                <w:rFonts w:ascii="Arial" w:cs="Arial" w:eastAsia="Arial" w:hAnsi="Arial"/>
                <w:sz w:val="14"/>
                <w:szCs w:val="14"/>
                <w:color w:val="auto"/>
              </w:rPr>
              <w:t>Net cash provided by (used in)</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118,538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(128,191)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(10,326)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67,121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cash, beginning of period</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118,483</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15,430</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147,749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end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80,957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119,100</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16,529</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520" w:type="dxa"/>
            <w:vAlign w:val="bottom"/>
            <w:gridSpan w:val="14"/>
            <w:shd w:val="clear" w:color="auto" w:fill="CFF0FC"/>
          </w:tcPr>
          <w:p>
            <w:pPr>
              <w:spacing w:after="0" w:line="143"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CONSOLIDATED BALANCE SHEETS: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80,240</w:t>
            </w:r>
          </w:p>
        </w:tc>
        <w:tc>
          <w:tcPr>
            <w:tcW w:w="160" w:type="dxa"/>
            <w:vAlign w:val="bottom"/>
          </w:tcPr>
          <w:p>
            <w:pPr>
              <w:spacing w:after="0"/>
              <w:rPr>
                <w:sz w:val="21"/>
                <w:szCs w:val="21"/>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114,283</w:t>
            </w:r>
          </w:p>
        </w:tc>
        <w:tc>
          <w:tcPr>
            <w:tcW w:w="10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7,493</w:t>
            </w:r>
          </w:p>
        </w:tc>
        <w:tc>
          <w:tcPr>
            <w:tcW w:w="20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Restricted cash included in other noncurrent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80,957</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119,100</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16,529</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The consolidating condensed statement of cash flows for the six months ended June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Non-Guarantor</w:t>
            </w:r>
          </w:p>
        </w:tc>
        <w:tc>
          <w:tcPr>
            <w:tcW w:w="4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w w:val="93"/>
              </w:rPr>
              <w:t>(in thousands, unaudited)</w:t>
            </w:r>
          </w:p>
        </w:tc>
        <w:tc>
          <w:tcPr>
            <w:tcW w:w="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(82,624)</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79,645</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6,022</w:t>
            </w:r>
          </w:p>
        </w:tc>
        <w:tc>
          <w:tcPr>
            <w:tcW w:w="2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(3,273)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(26,536)</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(29,824)</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Net cash used in business combinations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(1,313,051)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(1,313,051)</w:t>
            </w:r>
          </w:p>
        </w:tc>
        <w:tc>
          <w:tcPr>
            <w:tcW w:w="0" w:type="dxa"/>
            <w:vAlign w:val="bottom"/>
          </w:tcPr>
          <w:p>
            <w:pPr>
              <w:spacing w:after="0"/>
              <w:rPr>
                <w:sz w:val="1"/>
                <w:szCs w:val="1"/>
                <w:color w:val="auto"/>
              </w:rPr>
            </w:pPr>
          </w:p>
        </w:tc>
      </w:tr>
      <w:tr>
        <w:trPr>
          <w:trHeight w:val="156"/>
        </w:trPr>
        <w:tc>
          <w:tcPr>
            <w:tcW w:w="3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(1,316,324)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(26,536)</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(1,342,875)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Term Loan</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Proceeds from issuance of 6% Senior Notes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375,000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Borrowings under Revolving Credit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Facility</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189,953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Payments under Term Loan</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(422,250)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(422,250)</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Revolving Credit Facility</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(128,953)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(128,953)</w:t>
            </w: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Net (payments to) proceeds from related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parties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(4,167)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(3,283)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7,450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Payments on other long-term payables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(169)</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(41)</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(44,992)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(44,992)</w:t>
            </w: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 of</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 awards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(8,993)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(8,993)</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financing activities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1,408,496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(3,452)</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7,409</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1,412,453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49,657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13,416</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72,621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beginning of period</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61,702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63,444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58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cash,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111,359</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13,748</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136,065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9500" w:type="dxa"/>
            <w:vAlign w:val="bottom"/>
            <w:gridSpan w:val="14"/>
            <w:shd w:val="clear" w:color="auto" w:fill="CFF0FC"/>
          </w:tcPr>
          <w:p>
            <w:pPr>
              <w:spacing w:after="0"/>
              <w:rPr>
                <w:sz w:val="20"/>
                <w:szCs w:val="20"/>
                <w:color w:val="auto"/>
              </w:rPr>
            </w:pPr>
            <w:r>
              <w:rPr>
                <w:rFonts w:ascii="Arial" w:cs="Arial" w:eastAsia="Arial" w:hAnsi="Arial"/>
                <w:sz w:val="14"/>
                <w:szCs w:val="14"/>
                <w:color w:val="auto"/>
              </w:rPr>
              <w:t>RECONCILIATION OF CASH, CASH EQUIVALENTS AND RESTRICTED CASH TO AMOUNTS REPORTED WITHIN THE CONDENSED</w:t>
            </w:r>
          </w:p>
        </w:tc>
        <w:tc>
          <w:tcPr>
            <w:tcW w:w="1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CONSOLIDATED BALANCE SHEETS: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10,280</w:t>
            </w:r>
          </w:p>
        </w:tc>
        <w:tc>
          <w:tcPr>
            <w:tcW w:w="140" w:type="dxa"/>
            <w:vAlign w:val="bottom"/>
          </w:tcPr>
          <w:p>
            <w:pPr>
              <w:spacing w:after="0"/>
              <w:rPr>
                <w:sz w:val="21"/>
                <w:szCs w:val="21"/>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88,439</w:t>
            </w:r>
          </w:p>
        </w:tc>
        <w:tc>
          <w:tcPr>
            <w:tcW w:w="1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4,905</w:t>
            </w:r>
          </w:p>
        </w:tc>
        <w:tc>
          <w:tcPr>
            <w:tcW w:w="200" w:type="dxa"/>
            <w:vAlign w:val="bottom"/>
          </w:tcPr>
          <w:p>
            <w:pPr>
              <w:spacing w:after="0"/>
              <w:rPr>
                <w:sz w:val="21"/>
                <w:szCs w:val="21"/>
                <w:color w:val="auto"/>
              </w:rPr>
            </w:pPr>
          </w:p>
        </w:tc>
        <w:tc>
          <w:tcPr>
            <w:tcW w:w="122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103,624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(32)</w:t>
            </w:r>
          </w:p>
        </w:tc>
        <w:tc>
          <w:tcPr>
            <w:tcW w:w="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Restricted cash included in other noncurrent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8,875</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10,958</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111,359</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13,748</w:t>
            </w:r>
          </w:p>
        </w:tc>
        <w:tc>
          <w:tcPr>
            <w:tcW w:w="2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136,065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17"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On April 16, 2018, the Company announced that it entered into a definitive agreement to acquire the Grand Victoria Casino in Elgin, Illinois for $327.5 million in cash, subject to a customary working capital adjustment (the “Grand Victoria Acquisition”).</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The transaction closed on August 7, 2018 and was funded using cash from our ongoing operations and borrowings under our revolving credit facility. The Company is in the preliminary phase of determining the fair value of the assets and liabilities assumed and as of the filing date cannot estimate the financial impact of the acquisition.</w:t>
      </w:r>
    </w:p>
    <w:p>
      <w:pPr>
        <w:spacing w:after="0" w:line="181" w:lineRule="exact"/>
        <w:rPr>
          <w:sz w:val="20"/>
          <w:szCs w:val="20"/>
          <w:color w:val="auto"/>
        </w:rPr>
      </w:pPr>
    </w:p>
    <w:p>
      <w:pPr>
        <w:ind w:right="240" w:firstLine="555"/>
        <w:spacing w:after="0" w:line="342" w:lineRule="auto"/>
        <w:rPr>
          <w:sz w:val="20"/>
          <w:szCs w:val="20"/>
          <w:color w:val="auto"/>
        </w:rPr>
      </w:pPr>
      <w:r>
        <w:rPr>
          <w:rFonts w:ascii="Arial" w:cs="Arial" w:eastAsia="Arial" w:hAnsi="Arial"/>
          <w:sz w:val="16"/>
          <w:szCs w:val="16"/>
          <w:color w:val="auto"/>
        </w:rPr>
        <w:t>Transaction expenses attributed to the Grand Victoria Acquisition for the three and six months ended June 30, 2018 totaled $0.7 million and $1.3 million, respectively. As of June 30, 2018, $0.1 million of accrued costs and expenses related to the Grand Victoria are included in accrued other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Tropicana Entertainment Inc.</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Also on April 16, 2018, the Company announced that it entered into a definitive agreement to acquire Tropicana Entertainment Inc. (“Tropicana”) in a cash transaction valued at $1.85 billion. The definitive agreement provides that Gaming and Leisure Properties (“GLPI”) will pay $1.21 billion, excluding taxes and expenses, for substantially all of Tropicana’s real estate, will enter into a master lease with the Company for the acquired real estate, and the Company will fund the remaining $640 million of cash consideration payable in the acquisition (the “Tropicana Acquisition” and, together with the Elgin Acquisition, the “Acquisitions”). Pursuant to the transaction, GLPI is expected to acquire the real estate associated with the Tropicana property portfolio, except the MontBleu Casino Resort &amp; Spa in South Lake Tahoe and the Tropicana Aruba Resort and Casino. Following the acquisition of the real estate portfolio by GLPI, the Company will enter into a triple net master lease for the acquired properties with an initial term of 15 years, with renewals of up to 20 years at the Company’s option. The initial annual rent under the terms of the lease is expected to be approximately $110 million. Tropicana intends to dispose of Tropicana Aruba Resort and Casino prior to closing.</w:t>
      </w:r>
    </w:p>
    <w:p>
      <w:pPr>
        <w:spacing w:after="0" w:line="182"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The Company intends to fund the consideration of approximately $640 million payable by the Company in the Tropicana Acquisition and repay debt outstanding under Tropicana’s credit facility with cash generated from our current operations, proceeds from pending asset sales, Tropicana’s cash on hand, cash flow generated from Tropicana operations through closing and $600 million of committed debt financing. In addition, the Company has obtained commitments to increase its revolving credit facility from $300 million to $500 million effective substantially concurrently with the consummation of the Tropicana Acquisition and extend the maturity of the revolving credit facility to the fifth anniversary of the effective date of such increase.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transaction is expected to close in the fourth quarter of 2018.</w:t>
      </w:r>
    </w:p>
    <w:p>
      <w:pPr>
        <w:spacing w:after="0" w:line="225" w:lineRule="exact"/>
        <w:rPr>
          <w:sz w:val="20"/>
          <w:szCs w:val="20"/>
          <w:color w:val="auto"/>
        </w:rPr>
      </w:pPr>
    </w:p>
    <w:p>
      <w:pPr>
        <w:ind w:right="140" w:firstLine="555"/>
        <w:spacing w:after="0" w:line="342" w:lineRule="auto"/>
        <w:rPr>
          <w:sz w:val="20"/>
          <w:szCs w:val="20"/>
          <w:color w:val="auto"/>
        </w:rPr>
      </w:pPr>
      <w:r>
        <w:rPr>
          <w:rFonts w:ascii="Arial" w:cs="Arial" w:eastAsia="Arial" w:hAnsi="Arial"/>
          <w:sz w:val="16"/>
          <w:szCs w:val="16"/>
          <w:color w:val="auto"/>
        </w:rPr>
        <w:t>Transaction expenses attributed to the Tropicana Acquisition for the three and six months ended June 30, 2018 totaled $2.5 million and $3.5 million, respectively. As of June 30, 2018, $0.1 million of accrued costs and expenses related to the Tropicana Acquisition are included in accrued other liabilities.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17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We are a geographically diversified gaming and hospitality company owning and operating 20 gaming facilities in 10 states. Our properties, which are located in Ohio, Louisiana, Nevada, Pennsylvania, West Virginia, Colorado, Florida, Iowa, Mississippi and Missouri, feature approximately 21,000 slot machines and video lottery terminals, approximately 600 table games and over 7,000 hotel rooms. Our primary source of revenue is generated by gaming operations and we utilize our hotels, restaurants, bars, entertainment, racing, retail shops and other services to attract customers to our properties.</w:t>
      </w:r>
    </w:p>
    <w:p>
      <w:pPr>
        <w:spacing w:after="0" w:line="154"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on the Silver Legacy Resort Casino, the first mega-themed resort in Reno. In 2005, we acquired our first property outside of Reno when we acquired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and the 50% membership interest in the Silver Legacy that was owned by MGM Resorts International. On May 1, 2017, we completed our most recent</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 and largest – acquisition to date when we acquired Isle of Capri Casinos, Inc. (“Isle” or “Isle of Capri”), adding another 13 gaming properties to our portfolio.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own and operate the following properties:</w:t>
      </w:r>
    </w:p>
    <w:p>
      <w:pPr>
        <w:spacing w:after="0" w:line="117" w:lineRule="exact"/>
        <w:rPr>
          <w:sz w:val="20"/>
          <w:szCs w:val="20"/>
          <w:color w:val="auto"/>
        </w:rPr>
      </w:pPr>
    </w:p>
    <w:p>
      <w:pPr>
        <w:ind w:left="1120" w:right="60" w:hanging="558"/>
        <w:spacing w:after="0" w:line="308" w:lineRule="auto"/>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1,128 slot machines and 36 table games;</w:t>
      </w:r>
    </w:p>
    <w:p>
      <w:pPr>
        <w:spacing w:after="0" w:line="38" w:lineRule="exact"/>
        <w:rPr>
          <w:rFonts w:ascii="Arial" w:cs="Arial" w:eastAsia="Arial" w:hAnsi="Arial"/>
          <w:sz w:val="17"/>
          <w:szCs w:val="17"/>
          <w:color w:val="auto"/>
        </w:rPr>
      </w:pPr>
    </w:p>
    <w:p>
      <w:pPr>
        <w:ind w:left="1120" w:right="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1,208 slot machines, 58 table games and a 13 table poker room;</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706 slot machines and 24 table games;</w:t>
      </w:r>
    </w:p>
    <w:p>
      <w:pPr>
        <w:spacing w:after="0" w:line="62" w:lineRule="exact"/>
        <w:rPr>
          <w:rFonts w:ascii="Arial" w:cs="Arial" w:eastAsia="Arial" w:hAnsi="Arial"/>
          <w:sz w:val="18"/>
          <w:szCs w:val="18"/>
          <w:color w:val="auto"/>
        </w:rPr>
      </w:pPr>
    </w:p>
    <w:p>
      <w:pPr>
        <w:ind w:left="1120" w:right="280" w:hanging="558"/>
        <w:spacing w:after="0" w:line="34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 table poker room;</w:t>
      </w:r>
    </w:p>
    <w:p>
      <w:pPr>
        <w:spacing w:after="0" w:line="15" w:lineRule="exact"/>
        <w:rPr>
          <w:rFonts w:ascii="Arial" w:cs="Arial" w:eastAsia="Arial" w:hAnsi="Arial"/>
          <w:sz w:val="16"/>
          <w:szCs w:val="16"/>
          <w:color w:val="auto"/>
        </w:rPr>
      </w:pPr>
    </w:p>
    <w:p>
      <w:pPr>
        <w:ind w:left="1120" w:right="60" w:hanging="558"/>
        <w:spacing w:after="0" w:line="264"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1,487 slot machines and 36 table games, including a 10 table poker room;</w:t>
      </w:r>
    </w:p>
    <w:p>
      <w:pPr>
        <w:spacing w:after="0" w:line="73"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 table poker room located in Erie, Pennsylvania;</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2,237 video lottery terminals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1,005 slot machines, 30 table games, a nine table poker room and a 238-room hotel;</w:t>
      </w:r>
    </w:p>
    <w:p>
      <w:pPr>
        <w:spacing w:after="0" w:line="62" w:lineRule="exact"/>
        <w:rPr>
          <w:rFonts w:ascii="Arial" w:cs="Arial" w:eastAsia="Arial" w:hAnsi="Arial"/>
          <w:sz w:val="18"/>
          <w:szCs w:val="18"/>
          <w:color w:val="auto"/>
        </w:rPr>
      </w:pPr>
    </w:p>
    <w:p>
      <w:pPr>
        <w:ind w:left="1120" w:right="200" w:hanging="558"/>
        <w:spacing w:after="0" w:line="264"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472 slot machines, eleven table games and a 164-room hotel with a parking structure connecting Isle Casino Hotel-Black Hawk and Lady Luck Casino-Black Hawk;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ind w:left="1120" w:right="120" w:hanging="558"/>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1,461 slot machines and a 45 table poker room. In April 2018, the Company announced the formation of a joint venture with the Cordish Companies to master plan and develop a mixed-use entertainment and hospitality destination expected to be located on unused land adjacent to the casino and racetrack;</w:t>
      </w:r>
    </w:p>
    <w:p>
      <w:pPr>
        <w:spacing w:after="0" w:line="78"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974 slot machines and 20 table games with two hotel towers with 509 hotel rooms;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936 slot machines, 25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1,173 slot machines, 45 table games, including 13 poker tables, and two hotels offering 493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871 slot machines and 19 table games, two on-site hotels with a total of 486 rooms and a 28-space RV Park;</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603 slot machines, eight table games and a hotel with a total of 89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885 slot machines, 20 table games and a 140-room hotel;</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870 slot machines and 24 table games, including four poker tables;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512 slot machines and nine table games;</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969 slot machines and 13 table games; and</w:t>
      </w:r>
    </w:p>
    <w:p>
      <w:pPr>
        <w:spacing w:after="0" w:line="62" w:lineRule="exact"/>
        <w:rPr>
          <w:rFonts w:ascii="Arial" w:cs="Arial" w:eastAsia="Arial" w:hAnsi="Arial"/>
          <w:sz w:val="18"/>
          <w:szCs w:val="18"/>
          <w:color w:val="auto"/>
        </w:rPr>
      </w:pPr>
    </w:p>
    <w:p>
      <w:pPr>
        <w:ind w:left="1120" w:right="66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27 table games.</w:t>
      </w:r>
    </w:p>
    <w:p>
      <w:pPr>
        <w:spacing w:after="0" w:line="170"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On April 16, 2018, we announced that we entered into a definitive agreement to acquire the Grand Victoria Casino in Elgin, Illinois for $327.5 million in cash plus a customary working capital adjustment. The transaction closed on August 7, 2018 and was funded using cash from our ongoing operations and borrowings under our revolving credit facility.</w:t>
      </w:r>
    </w:p>
    <w:p>
      <w:pPr>
        <w:spacing w:after="0" w:line="181"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Also on April 16, 2018, we announced that we entered into a definitive agreement to acquire Tropicana Entertainment Inc. in a cash transaction that is valued at $1.85 billion. The definitive agreement provides that Gaming and Leisure Properties will pay $1.21 billion, excluding taxes and expenses, for substantially all of Tropicana’s real estate and enter into a master lease with us for the acquired real estate and we will fund the remaining $640 million of cash consideration payable in the acquisition. Pursuant to the transaction, Gaming and Leisure Properties is expected to acquire the real estate associated with the Tropicana property portfolio, except the MontBleu Casino Resort &amp; Spa in South Lake Tahoe and the Tropicana Aruba Resort and Casino. Following the acquisition of the real estate portfolio by Gaming and Leisure Properties, we will enter into a triple net master lease for the acquired properties with an initial term of 15 years, with renewals of up to 20 years at our option. The initial annual rent under the terms of the lease is expected to be approximately $110 million. Tropicana intends to dispose of Tropicana Aruba Resort and Casino prior to closing.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ind w:firstLine="555"/>
        <w:spacing w:after="0" w:line="297" w:lineRule="auto"/>
        <w:rPr>
          <w:sz w:val="20"/>
          <w:szCs w:val="20"/>
          <w:color w:val="auto"/>
        </w:rPr>
      </w:pPr>
      <w:r>
        <w:rPr>
          <w:rFonts w:ascii="Arial" w:cs="Arial" w:eastAsia="Arial" w:hAnsi="Arial"/>
          <w:sz w:val="16"/>
          <w:szCs w:val="16"/>
          <w:color w:val="auto"/>
        </w:rPr>
        <w:t>We intend to fund the consideration of approximately $640 million payable by us in the Tropicana transaction and repay debt outstanding under Tropicana’s credit facility with cash generated from our current operations, Tropicana’s cash on hand, cash flow generated from Tropicana operations through closing and $600 million of committed debt financing. In addition, the Company has obtained commitments to increase its revolving credit facility from $300 million to $500 million effective substantially concurrently with the consummation of the Tropicana Acquisition and extend the maturity of the revolving credit facility to the fifth anniversary of the effective date of such increase. The transaction is expected to close in the fourth quarter of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On February 28, 2018, we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w:t>
      </w:r>
      <w:r>
        <w:rPr>
          <w:rFonts w:ascii="Arial" w:cs="Arial" w:eastAsia="Arial" w:hAnsi="Arial"/>
          <w:sz w:val="18"/>
          <w:szCs w:val="18"/>
          <w:color w:val="1F4E79"/>
        </w:rPr>
        <w:t>,</w:t>
      </w:r>
      <w:r>
        <w:rPr>
          <w:rFonts w:ascii="Arial" w:cs="Arial" w:eastAsia="Arial" w:hAnsi="Arial"/>
          <w:sz w:val="18"/>
          <w:szCs w:val="18"/>
          <w:color w:val="auto"/>
        </w:rPr>
        <w:t xml:space="preserve"> in each case subject to a customary working capital adjustment.</w:t>
      </w:r>
    </w:p>
    <w:p>
      <w:pPr>
        <w:spacing w:after="0" w:line="187" w:lineRule="exact"/>
        <w:rPr>
          <w:sz w:val="20"/>
          <w:szCs w:val="20"/>
          <w:color w:val="auto"/>
        </w:rPr>
      </w:pPr>
    </w:p>
    <w:p>
      <w:pPr>
        <w:ind w:right="260" w:firstLine="555"/>
        <w:spacing w:after="0" w:line="257" w:lineRule="auto"/>
        <w:rPr>
          <w:sz w:val="20"/>
          <w:szCs w:val="20"/>
          <w:color w:val="auto"/>
        </w:rPr>
      </w:pPr>
      <w:r>
        <w:rPr>
          <w:rFonts w:ascii="Arial" w:cs="Arial" w:eastAsia="Arial" w:hAnsi="Arial"/>
          <w:sz w:val="18"/>
          <w:szCs w:val="18"/>
          <w:color w:val="auto"/>
        </w:rPr>
        <w:t>The definitive agreements provided that the transactions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Following receipt of, and in consideration of the time and expense needed to reply to, the Second Request, pursuant to a Termination Agreement and Release, dated as of July 6, 2018 (the “Vicksburg Termination Agreement”), by and among CDI, ERI and a wholly owned subsidiary of ERI, the Company and CDI mutually agreed to terminate the asset purchase agreement with respect to the Vicksburg transaction. Concurrently with the termination of the Vicksburg agreement, we agreed to enter into an agreement pursuant to which CDI will acquire and assume our rights and obligations to operate Nemacolin. In connection with the Vicksburg Termination Agreement, CDI has agreed to pay the Company a $5.0 million termination fee, subject to the parties’ execution of a definitive agreement with respect to the Nemacolin transaction.</w:t>
      </w:r>
    </w:p>
    <w:p>
      <w:pPr>
        <w:spacing w:after="0" w:line="178" w:lineRule="exact"/>
        <w:rPr>
          <w:sz w:val="20"/>
          <w:szCs w:val="20"/>
          <w:color w:val="auto"/>
        </w:rPr>
      </w:pPr>
    </w:p>
    <w:p>
      <w:pPr>
        <w:jc w:val="both"/>
        <w:ind w:right="660" w:firstLine="555"/>
        <w:spacing w:after="0" w:line="264" w:lineRule="auto"/>
        <w:rPr>
          <w:sz w:val="20"/>
          <w:szCs w:val="20"/>
          <w:color w:val="auto"/>
        </w:rPr>
      </w:pPr>
      <w:r>
        <w:rPr>
          <w:rFonts w:ascii="Arial" w:cs="Arial" w:eastAsia="Arial" w:hAnsi="Arial"/>
          <w:sz w:val="18"/>
          <w:szCs w:val="18"/>
          <w:color w:val="auto"/>
        </w:rPr>
        <w:t>Both sales are expected to close in the fourth quarter of 2018, subject to satisfaction of closing conditions, including receipt of Pennsylvania regulatory approvals, termination of the waiting period under the Hart-Scott-Rodino Act and, in the case of Presque Isle Downs, the execution of the definitive agreement with respect to the Nemacolin transaction.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The following table sets forth, for the period indicated, certain operating data for our reportable segments. 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Isle Acquisition, the Company’s principal operating activities occurred in three geographic regions: Nevada, Louisiana and parts of the eastern United States. Following the Isle Acquisition, the Company’s principal operating activities expanded and now occur in four geographic regions and reportable segments based on the similar characteristics of the operating segments within the regions in which they operate. The previously reported segments, Nevada, Louisiana, and Eastern, are now included in the West, South, and East segments, respectively, which are summarized as follows, along with the Midwest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500" w:type="dxa"/>
            <w:vAlign w:val="bottom"/>
            <w:gridSpan w:val="3"/>
          </w:tcPr>
          <w:p>
            <w:pPr>
              <w:ind w:left="200"/>
              <w:spacing w:after="0"/>
              <w:rPr>
                <w:sz w:val="20"/>
                <w:szCs w:val="20"/>
                <w:color w:val="auto"/>
              </w:rPr>
            </w:pPr>
            <w:r>
              <w:rPr>
                <w:rFonts w:ascii="Arial" w:cs="Arial" w:eastAsia="Arial" w:hAnsi="Arial"/>
                <w:sz w:val="14"/>
                <w:szCs w:val="14"/>
                <w:b w:val="1"/>
                <w:bCs w:val="1"/>
                <w:color w:val="auto"/>
              </w:rPr>
              <w:t>Segment</w:t>
            </w:r>
          </w:p>
        </w:tc>
        <w:tc>
          <w:tcPr>
            <w:tcW w:w="34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2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Isle Black Hawk</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Bettendorf</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Cape Girardeau</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Kansas City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South</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Pompano</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Lake Charles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Lula</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Vicksburg</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East</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Presque Isle Downs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Scioto Downs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financial information included in this Item 2 for periods prior to our acquisition of Isle are those of ERI and its subsidiaries. The presentation of information herein for periods prior to our acquisition of Isle and after our acquisition of Isle are not fully comparable because the results of operations for Isle are not included for periods prior to our acquisition of Isle.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highlights the significant factors impacting our financial results for the three and six months ended June 30, 2018 and 2017.</w:t>
      </w:r>
    </w:p>
    <w:p>
      <w:pPr>
        <w:spacing w:after="0" w:line="140" w:lineRule="exact"/>
        <w:rPr>
          <w:sz w:val="20"/>
          <w:szCs w:val="20"/>
          <w:color w:val="auto"/>
        </w:rPr>
      </w:pPr>
    </w:p>
    <w:p>
      <w:pPr>
        <w:ind w:left="1120" w:right="46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Isle Acquisition – </w:t>
      </w:r>
      <w:r>
        <w:rPr>
          <w:rFonts w:ascii="Arial" w:cs="Arial" w:eastAsia="Arial" w:hAnsi="Arial"/>
          <w:sz w:val="18"/>
          <w:szCs w:val="18"/>
          <w:color w:val="auto"/>
        </w:rPr>
        <w:t>Our results of operations for the three and six months ended June 30, 2018 include incremental revenues and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13 properties we acquired in our acquisition of Isle on May 1, 2017.</w:t>
      </w:r>
    </w:p>
    <w:p>
      <w:pPr>
        <w:spacing w:after="0" w:line="62" w:lineRule="exact"/>
        <w:rPr>
          <w:rFonts w:ascii="Arial" w:cs="Arial" w:eastAsia="Arial" w:hAnsi="Arial"/>
          <w:sz w:val="18"/>
          <w:szCs w:val="18"/>
          <w:color w:val="auto"/>
        </w:rPr>
      </w:pPr>
    </w:p>
    <w:p>
      <w:pPr>
        <w:ind w:left="1120" w:right="20" w:hanging="558"/>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 expenses related to our acquisition of Isle for legal, accounting, financial advisory services, severance, stock awards and other costs totaled $0.2 million and $1.1 million for the three and six months ended June 30, 2018, respectively, and $85.5 million and $87.1 million for the three and six months ended June 30, 2017, respectively.</w:t>
      </w:r>
    </w:p>
    <w:p>
      <w:pPr>
        <w:spacing w:after="0" w:line="73" w:lineRule="exact"/>
        <w:rPr>
          <w:rFonts w:ascii="Arial" w:cs="Arial" w:eastAsia="Arial" w:hAnsi="Arial"/>
          <w:sz w:val="18"/>
          <w:szCs w:val="18"/>
          <w:color w:val="auto"/>
        </w:rPr>
      </w:pPr>
    </w:p>
    <w:p>
      <w:pPr>
        <w:ind w:left="1120" w:right="60" w:hanging="558"/>
        <w:spacing w:after="0" w:line="272"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Debt Refinancing </w:t>
      </w:r>
      <w:r>
        <w:rPr>
          <w:rFonts w:ascii="Arial" w:cs="Arial" w:eastAsia="Arial" w:hAnsi="Arial"/>
          <w:sz w:val="17"/>
          <w:szCs w:val="17"/>
          <w:color w:val="auto"/>
        </w:rPr>
        <w:t>–In connection with the Isle Acquisition, we completed a debt financing transaction comprised of: a senior secured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an aggregate principal amount of $1.75 billion with a term loan facility of $1.45 billion and revolving credit facility of $300.0 million and $375.0 million of senior unsecured notes. The proceeds of such borrowings were used to pay the cash portion of the consideration payable in the Isle Merger, refinance all of Isle’s existing credit facilities, redeem or otherwise repurchase all of Isle’s senior and senior subordinated notes, refinance our existing credit facility and pay transaction fees and expenses related to the foregoing. We recognized a loss totaling $0.7 million for the three and six months ended June 30, 2017 as a result of the debt refinancing transaction (See “Liquidity and Capital Resources” for more information related to the debt refinancing).</w:t>
      </w:r>
    </w:p>
    <w:p>
      <w:pPr>
        <w:spacing w:after="0" w:line="69" w:lineRule="exact"/>
        <w:rPr>
          <w:rFonts w:ascii="Arial" w:cs="Arial" w:eastAsia="Arial" w:hAnsi="Arial"/>
          <w:sz w:val="17"/>
          <w:szCs w:val="17"/>
          <w:color w:val="auto"/>
        </w:rPr>
      </w:pPr>
    </w:p>
    <w:p>
      <w:pPr>
        <w:ind w:left="1120" w:right="180" w:hanging="558"/>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Transaction expenses related to our acquisition of Grand Victoria Casino and pending acquisition of Tropicana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Inc. totaled $0.7 million and $2.5 million, respectively, for the three months ended June 30, 2018, and $1.3 million and $3.5 million, respectively, for the six months ended June 30, 2018.</w:t>
      </w:r>
    </w:p>
    <w:p>
      <w:pPr>
        <w:spacing w:after="0" w:line="73" w:lineRule="exact"/>
        <w:rPr>
          <w:rFonts w:ascii="Arial" w:cs="Arial" w:eastAsia="Arial" w:hAnsi="Arial"/>
          <w:sz w:val="18"/>
          <w:szCs w:val="18"/>
          <w:color w:val="auto"/>
        </w:rPr>
      </w:pPr>
    </w:p>
    <w:p>
      <w:pPr>
        <w:ind w:left="1120" w:right="140" w:hanging="558"/>
        <w:spacing w:after="0" w:line="255"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Pending Dispositions – </w:t>
      </w:r>
      <w:r>
        <w:rPr>
          <w:rFonts w:ascii="Arial" w:cs="Arial" w:eastAsia="Arial" w:hAnsi="Arial"/>
          <w:sz w:val="18"/>
          <w:szCs w:val="18"/>
          <w:color w:val="auto"/>
        </w:rPr>
        <w:t>The sales of Presque Isle Downs and Vicksburg met the requirements for presentation as assets held for sale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accounting principles. However, they did not meet the requirements for presentation as discontinued operations and are included in income from continuing operations for the three and six months ended June 30, 2018. Based on the triggering event, we recorded an impairment charge for the six months ended June 30, 2018 totaling $9.8 million related to our Vicksburg property. Effective July 6, 2018, the sale of Vicksburg was terminated. Concurrently with the termination, we agreed to enter into an agreement to sell our rights and obligations to operate Nemacolin.</w:t>
      </w:r>
    </w:p>
    <w:p>
      <w:pPr>
        <w:spacing w:after="0" w:line="85" w:lineRule="exact"/>
        <w:rPr>
          <w:rFonts w:ascii="Arial" w:cs="Arial" w:eastAsia="Arial" w:hAnsi="Arial"/>
          <w:sz w:val="18"/>
          <w:szCs w:val="18"/>
          <w:color w:val="auto"/>
        </w:rPr>
      </w:pPr>
    </w:p>
    <w:p>
      <w:pPr>
        <w:ind w:left="1120" w:right="20" w:hanging="558"/>
        <w:spacing w:after="0" w:line="255"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Lake Charles Terminated Sale – </w:t>
      </w:r>
      <w:r>
        <w:rPr>
          <w:rFonts w:ascii="Arial" w:cs="Arial" w:eastAsia="Arial" w:hAnsi="Arial"/>
          <w:sz w:val="18"/>
          <w:szCs w:val="18"/>
          <w:color w:val="auto"/>
        </w:rPr>
        <w:t>On August 22, 2016, Isle entered into an agreement to sell its casino and hotel property in Lake Charles,</w:t>
      </w:r>
      <w:r>
        <w:rPr>
          <w:rFonts w:ascii="Arial" w:cs="Arial" w:eastAsia="Arial" w:hAnsi="Arial"/>
          <w:sz w:val="18"/>
          <w:szCs w:val="18"/>
          <w:i w:val="1"/>
          <w:iCs w:val="1"/>
          <w:color w:val="auto"/>
        </w:rPr>
        <w:t xml:space="preserve"> </w:t>
      </w:r>
      <w:r>
        <w:rPr>
          <w:rFonts w:ascii="Arial" w:cs="Arial" w:eastAsia="Arial" w:hAnsi="Arial"/>
          <w:sz w:val="18"/>
          <w:szCs w:val="18"/>
          <w:color w:val="auto"/>
        </w:rPr>
        <w:t>Louisiana, for $134.5 million, subject to a customary purchase price adjustment, to an affiliate of Laguna Development Corporation, a Pueblo of Laguna-owned business based in Albuquerque, New Mexico. On November 21, 2017, we terminated the agreement. The closing of the transaction was subject to certain closing conditions, including obtaining certain gaming approvals, and was to occur on or before the termination date, which had been extended by the parties to November 20, 2017. The buyer did not obtain the required gaming approvals prior to the termination date, and pursuant to the terms of the agreement, and the $20.0 million deposit was forfeited upon termination of the agreement.</w:t>
      </w:r>
    </w:p>
    <w:p>
      <w:pPr>
        <w:spacing w:after="0" w:line="81" w:lineRule="exact"/>
        <w:rPr>
          <w:rFonts w:ascii="Arial" w:cs="Arial" w:eastAsia="Arial" w:hAnsi="Arial"/>
          <w:sz w:val="18"/>
          <w:szCs w:val="18"/>
          <w:color w:val="auto"/>
        </w:rPr>
      </w:pPr>
    </w:p>
    <w:p>
      <w:pPr>
        <w:jc w:val="both"/>
        <w:ind w:left="1120" w:right="40"/>
        <w:spacing w:after="0" w:line="264" w:lineRule="auto"/>
        <w:rPr>
          <w:rFonts w:ascii="Arial" w:cs="Arial" w:eastAsia="Arial" w:hAnsi="Arial"/>
          <w:sz w:val="18"/>
          <w:szCs w:val="18"/>
          <w:color w:val="auto"/>
        </w:rPr>
      </w:pPr>
      <w:r>
        <w:rPr>
          <w:rFonts w:ascii="Arial" w:cs="Arial" w:eastAsia="Arial" w:hAnsi="Arial"/>
          <w:sz w:val="18"/>
          <w:szCs w:val="18"/>
          <w:color w:val="auto"/>
        </w:rPr>
        <w:t>In previous periods, the operations of Lake Charles have been classified as discontinued operations and as an asset held for sale. As a result of the termination of the sale, Lake Charles is no longer classified as an asset held for sale and as discontinued operations, and is included in our results of operations for the three and six months ended June 30, 2018 and 2017.</w:t>
      </w:r>
    </w:p>
    <w:p>
      <w:pPr>
        <w:spacing w:after="0" w:line="73" w:lineRule="exact"/>
        <w:rPr>
          <w:rFonts w:ascii="Arial" w:cs="Arial" w:eastAsia="Arial" w:hAnsi="Arial"/>
          <w:sz w:val="18"/>
          <w:szCs w:val="18"/>
          <w:color w:val="auto"/>
        </w:rPr>
      </w:pPr>
    </w:p>
    <w:p>
      <w:pPr>
        <w:jc w:val="both"/>
        <w:ind w:left="1120" w:right="20" w:hanging="558"/>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On December 22, 2017, the U.S. government enacted comprehensive tax legislation commonly referred to as the Tax Cuts and</w:t>
      </w:r>
      <w:r>
        <w:rPr>
          <w:rFonts w:ascii="Arial" w:cs="Arial" w:eastAsia="Arial" w:hAnsi="Arial"/>
          <w:sz w:val="18"/>
          <w:szCs w:val="18"/>
          <w:i w:val="1"/>
          <w:iCs w:val="1"/>
          <w:color w:val="auto"/>
        </w:rPr>
        <w:t xml:space="preserve"> </w:t>
      </w:r>
      <w:r>
        <w:rPr>
          <w:rFonts w:ascii="Arial" w:cs="Arial" w:eastAsia="Arial" w:hAnsi="Arial"/>
          <w:sz w:val="18"/>
          <w:szCs w:val="18"/>
          <w:color w:val="auto"/>
        </w:rPr>
        <w:t>Jobs Act (the “Tax Act”). The Tax Act makes broad and complex changes to the U.S. tax code, including, but not limited to, reducing the U.S. federal corporate tax rate from 35% to 21% and has a positive impact on net income.</w:t>
      </w:r>
    </w:p>
    <w:p>
      <w:pPr>
        <w:spacing w:after="0" w:line="73" w:lineRule="exact"/>
        <w:rPr>
          <w:rFonts w:ascii="Arial" w:cs="Arial" w:eastAsia="Arial" w:hAnsi="Arial"/>
          <w:sz w:val="18"/>
          <w:szCs w:val="18"/>
          <w:color w:val="auto"/>
        </w:rPr>
      </w:pPr>
    </w:p>
    <w:p>
      <w:pPr>
        <w:ind w:left="1120" w:hanging="558"/>
        <w:spacing w:after="0" w:line="276"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Severe Weather </w:t>
      </w:r>
      <w:r>
        <w:rPr>
          <w:rFonts w:ascii="Arial" w:cs="Arial" w:eastAsia="Arial" w:hAnsi="Arial"/>
          <w:sz w:val="17"/>
          <w:szCs w:val="17"/>
          <w:color w:val="auto"/>
        </w:rPr>
        <w:t>– Our West segment’s operations are subject to seasonal variation, with our lowest business volume generally occurring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and our operating performance during the six months ended June 30, 2017.</w:t>
      </w:r>
    </w:p>
    <w:p>
      <w:pPr>
        <w:spacing w:after="0" w:line="64" w:lineRule="exact"/>
        <w:rPr>
          <w:rFonts w:ascii="Arial" w:cs="Arial" w:eastAsia="Arial" w:hAnsi="Arial"/>
          <w:sz w:val="17"/>
          <w:szCs w:val="17"/>
          <w:color w:val="auto"/>
        </w:rPr>
      </w:pPr>
    </w:p>
    <w:p>
      <w:pPr>
        <w:ind w:left="1120" w:right="660"/>
        <w:spacing w:after="0" w:line="277" w:lineRule="auto"/>
        <w:rPr>
          <w:rFonts w:ascii="Arial" w:cs="Arial" w:eastAsia="Arial" w:hAnsi="Arial"/>
          <w:sz w:val="17"/>
          <w:szCs w:val="17"/>
          <w:color w:val="auto"/>
        </w:rPr>
      </w:pPr>
      <w:r>
        <w:rPr>
          <w:rFonts w:ascii="Arial" w:cs="Arial" w:eastAsia="Arial" w:hAnsi="Arial"/>
          <w:sz w:val="18"/>
          <w:szCs w:val="18"/>
          <w:color w:val="auto"/>
        </w:rPr>
        <w:t>Additionally, our operations were impacted system wide by challenging weather in January and February of 2018 as well as our Reno operations in March of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8" w:name="page39"/>
    <w:bookmarkEnd w:id="38"/>
    <w:p>
      <w:pPr>
        <w:ind w:left="1120" w:right="40" w:hanging="558"/>
        <w:spacing w:after="0" w:line="25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Execution of Cost Savings Program </w:t>
      </w:r>
      <w:r>
        <w:rPr>
          <w:rFonts w:ascii="Arial" w:cs="Arial" w:eastAsia="Arial" w:hAnsi="Arial"/>
          <w:sz w:val="18"/>
          <w:szCs w:val="18"/>
          <w:color w:val="auto"/>
        </w:rPr>
        <w:t>– We continue to achieve margin growth in 2018 through exercising financial discipline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impacting the guest experience. In addition to cost savings relating to duplicative executive compensation, legal and accounting fees and other corporate expenses that have been eliminated as a result of our acquisitions, we have achieved savings in marketing and promotion, advertising, food and beverage and labor expense management as a result of operating efficiencies and purchasing power of the combined Eldorado organization.</w:t>
      </w:r>
    </w:p>
    <w:p>
      <w:pPr>
        <w:spacing w:after="0" w:line="80" w:lineRule="exact"/>
        <w:rPr>
          <w:rFonts w:ascii="Arial" w:cs="Arial" w:eastAsia="Arial" w:hAnsi="Arial"/>
          <w:sz w:val="18"/>
          <w:szCs w:val="18"/>
          <w:color w:val="auto"/>
        </w:rPr>
      </w:pPr>
    </w:p>
    <w:p>
      <w:pPr>
        <w:ind w:left="1120" w:right="160" w:hanging="558"/>
        <w:spacing w:after="0" w:line="272"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Property Enhancement Capital Expenditures </w:t>
      </w:r>
      <w:r>
        <w:rPr>
          <w:rFonts w:ascii="Arial" w:cs="Arial" w:eastAsia="Arial" w:hAnsi="Arial"/>
          <w:sz w:val="17"/>
          <w:szCs w:val="17"/>
          <w:color w:val="auto"/>
        </w:rPr>
        <w:t>– Property enhancement initiatives and targeted investments that improve our guests’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experiences and elevate our properties’ overall competitiveness in their markets continued throughout 2017 and 2018. As part of the continuing evolution of the Reno tri-properties, we are building a new 21,000 square foot spa at Silver Legacy planned to open this fall. We have substantially renovated every room at Circus Reno and will start the first phase of 400 rooms at Silver Legacy and 42 high-end suites at Eldorado after the busy summer season. In Black Hawk we expect to renovate all 402 hotel rooms this winter. In addition, recently we announced a joint venture with the Cordish Companies for the development of a new world-class, mixed-use entertainment and hospitality destination anchored by our Isle Casino Racing Pompano Park.</w:t>
      </w:r>
    </w:p>
    <w:p>
      <w:pPr>
        <w:spacing w:after="0" w:line="178"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A 118-room Hampton Inn Hotel at Scioto Downs developed by a third party opened in March 2017 and since opening has driven visitation and spend at the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584"/>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456,802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375,626</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8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896,994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578,019</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77,414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(30,467)</w:t>
            </w:r>
          </w:p>
        </w:tc>
        <w:tc>
          <w:tcPr>
            <w:tcW w:w="900" w:type="dxa"/>
            <w:vAlign w:val="bottom"/>
          </w:tcPr>
          <w:p>
            <w:pPr>
              <w:jc w:val="right"/>
              <w:spacing w:after="0"/>
              <w:rPr>
                <w:sz w:val="20"/>
                <w:szCs w:val="20"/>
                <w:color w:val="auto"/>
              </w:rPr>
            </w:pPr>
            <w:r>
              <w:rPr>
                <w:rFonts w:ascii="Arial" w:cs="Arial" w:eastAsia="Arial" w:hAnsi="Arial"/>
                <w:sz w:val="18"/>
                <w:szCs w:val="18"/>
                <w:color w:val="auto"/>
              </w:rPr>
              <w:t>354.1</w:t>
            </w:r>
          </w:p>
        </w:tc>
        <w:tc>
          <w:tcPr>
            <w:tcW w:w="8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131,608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(16,439)</w:t>
            </w:r>
          </w:p>
        </w:tc>
        <w:tc>
          <w:tcPr>
            <w:tcW w:w="900" w:type="dxa"/>
            <w:vAlign w:val="bottom"/>
          </w:tcPr>
          <w:p>
            <w:pPr>
              <w:jc w:val="right"/>
              <w:spacing w:after="0"/>
              <w:rPr>
                <w:sz w:val="20"/>
                <w:szCs w:val="20"/>
                <w:color w:val="auto"/>
              </w:rPr>
            </w:pPr>
            <w:r>
              <w:rPr>
                <w:rFonts w:ascii="Arial" w:cs="Arial" w:eastAsia="Arial" w:hAnsi="Arial"/>
                <w:sz w:val="18"/>
                <w:szCs w:val="18"/>
                <w:color w:val="auto"/>
              </w:rPr>
              <w:t>900.6</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36,796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(46,190)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8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(45,245)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For the three months ended June 30, 2018 compared to the same prior year period, Isle contributed incremental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totaling $76.0 million for April 2018. For the six months ended June 30, 2018 compared to the same prior year period, Isle contributed $308.0 million of incremental net revenues from January 1, 2018 through April 30, 2018 (the comparative period preceding our acquisition of Isle on May 1, 2017). Including incremental Isle net revenues, net revenues increased 21.6% and 55.2%, respectively, for the three and six months ended June 30, 2018 compared to the same prior year periods. Incremental Isle net revenues in both periods consisted primarily of gaming revenues. Excluding incremental Isle net revenues, net revenues increased 1.4% and 1.9%, respectively, for the three and six months ended June 30, 2018 compared to the same prior year periods primarily due to growth in our West and East segments.</w:t>
      </w:r>
    </w:p>
    <w:p>
      <w:pPr>
        <w:spacing w:after="0" w:line="189"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Operating income increased $107.9 million and $148.0 for the three and six months ended June 30, 2018 compared to the same prior year periods. In addition to the incremental operating income contributed by the acquired Isle properties, these increases over prior year were mainly due to the significant amount of Isle transaction expenses incurred during the three and six months ended June 30, 2017.</w:t>
      </w:r>
    </w:p>
    <w:p>
      <w:pPr>
        <w:spacing w:after="0" w:line="181" w:lineRule="exact"/>
        <w:rPr>
          <w:sz w:val="20"/>
          <w:szCs w:val="20"/>
          <w:color w:val="auto"/>
        </w:rPr>
      </w:pPr>
    </w:p>
    <w:p>
      <w:pPr>
        <w:ind w:right="280" w:firstLine="555"/>
        <w:spacing w:after="0" w:line="302" w:lineRule="auto"/>
        <w:rPr>
          <w:sz w:val="20"/>
          <w:szCs w:val="20"/>
          <w:color w:val="auto"/>
        </w:rPr>
      </w:pPr>
      <w:r>
        <w:rPr>
          <w:rFonts w:ascii="Arial" w:cs="Arial" w:eastAsia="Arial" w:hAnsi="Arial"/>
          <w:sz w:val="16"/>
          <w:szCs w:val="16"/>
          <w:color w:val="auto"/>
        </w:rPr>
        <w:t>Net income increased $83.0 million and $102.9 million for the three and six months ended June 30, 2018, respectively, compared to the same prior year periods. These increases were due to the same factors impacting operating income combined with the loss on the early retirement of debt for the three and six months ended June 30, 2017 associated with our refinancing completed in May of 2017. These increases were partially offset by higher interest expense during the 2018 periods resulting from increased debt following our acquisition of Isle along with increases in our tax provision.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highlight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2"/>
              </w:rPr>
              <w:t>Net Revenues for the Three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Operating Income (Loss) for the</w:t>
            </w:r>
          </w:p>
        </w:tc>
        <w:tc>
          <w:tcPr>
            <w:tcW w:w="2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3"/>
              </w:rPr>
              <w:t>Months Ended June 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Three Months Ended June 30,</w:t>
            </w:r>
          </w:p>
        </w:tc>
        <w:tc>
          <w:tcPr>
            <w:tcW w:w="20" w:type="dxa"/>
            <w:vAlign w:val="bottom"/>
          </w:tcPr>
          <w:p>
            <w:pPr>
              <w:spacing w:after="0"/>
              <w:rPr>
                <w:sz w:val="14"/>
                <w:szCs w:val="14"/>
                <w:color w:val="auto"/>
              </w:rPr>
            </w:pPr>
          </w:p>
        </w:tc>
      </w:tr>
      <w:tr>
        <w:trPr>
          <w:trHeight w:val="156"/>
        </w:trPr>
        <w:tc>
          <w:tcPr>
            <w:tcW w:w="3180" w:type="dxa"/>
            <w:vAlign w:val="bottom"/>
            <w:tcBorders>
              <w:bottom w:val="single" w:sz="8" w:color="CFF0FC"/>
            </w:tcBorders>
          </w:tcPr>
          <w:p>
            <w:pPr>
              <w:spacing w:after="0"/>
              <w:rPr>
                <w:sz w:val="13"/>
                <w:szCs w:val="13"/>
                <w:color w:val="auto"/>
              </w:rPr>
            </w:pPr>
          </w:p>
        </w:tc>
        <w:tc>
          <w:tcPr>
            <w:tcW w:w="25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5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117,880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Midwest</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100,607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112,242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East</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125,961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119,638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2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(16,823)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(93,229)</w:t>
            </w:r>
          </w:p>
        </w:tc>
        <w:tc>
          <w:tcPr>
            <w:tcW w:w="20" w:type="dxa"/>
            <w:vAlign w:val="bottom"/>
          </w:tcPr>
          <w:p>
            <w:pPr>
              <w:spacing w:after="0"/>
              <w:rPr>
                <w:sz w:val="19"/>
                <w:szCs w:val="19"/>
                <w:color w:val="auto"/>
              </w:rPr>
            </w:pPr>
          </w:p>
        </w:tc>
      </w:tr>
      <w:tr>
        <w:trPr>
          <w:trHeight w:val="223"/>
        </w:trPr>
        <w:tc>
          <w:tcPr>
            <w:tcW w:w="3180" w:type="dxa"/>
            <w:vAlign w:val="bottom"/>
          </w:tcPr>
          <w:p>
            <w:pPr>
              <w:ind w:left="26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456,802</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375,626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77,414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3"/>
        </w:trPr>
        <w:tc>
          <w:tcPr>
            <w:tcW w:w="3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2"/>
              </w:rPr>
              <w:t>Net Revenues for the Six Months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Operating Income (Loss) for the</w:t>
            </w:r>
          </w:p>
        </w:tc>
        <w:tc>
          <w:tcPr>
            <w:tcW w:w="20" w:type="dxa"/>
            <w:vAlign w:val="bottom"/>
          </w:tcPr>
          <w:p>
            <w:pPr>
              <w:spacing w:after="0"/>
              <w:rPr>
                <w:sz w:val="24"/>
                <w:szCs w:val="24"/>
                <w:color w:val="auto"/>
              </w:rPr>
            </w:pPr>
          </w:p>
        </w:tc>
      </w:tr>
      <w:tr>
        <w:trPr>
          <w:trHeight w:val="171"/>
        </w:trPr>
        <w:tc>
          <w:tcPr>
            <w:tcW w:w="3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Ended June 30,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20" w:type="dxa"/>
            <w:vAlign w:val="bottom"/>
          </w:tcPr>
          <w:p>
            <w:pPr>
              <w:spacing w:after="0"/>
              <w:rPr>
                <w:sz w:val="14"/>
                <w:szCs w:val="14"/>
                <w:color w:val="auto"/>
              </w:rPr>
            </w:pPr>
          </w:p>
        </w:tc>
      </w:tr>
      <w:tr>
        <w:trPr>
          <w:trHeight w:val="156"/>
        </w:trPr>
        <w:tc>
          <w:tcPr>
            <w:tcW w:w="3180" w:type="dxa"/>
            <w:vAlign w:val="bottom"/>
            <w:tcBorders>
              <w:bottom w:val="single" w:sz="8" w:color="CFF0FC"/>
            </w:tcBorders>
          </w:tcPr>
          <w:p>
            <w:pPr>
              <w:spacing w:after="0"/>
              <w:rPr>
                <w:sz w:val="13"/>
                <w:szCs w:val="13"/>
                <w:color w:val="auto"/>
              </w:rPr>
            </w:pPr>
          </w:p>
        </w:tc>
        <w:tc>
          <w:tcPr>
            <w:tcW w:w="25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5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217,459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Midwest</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201,402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235,042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East</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242,852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225,926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2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(31,934)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(101,508)</w:t>
            </w:r>
          </w:p>
        </w:tc>
        <w:tc>
          <w:tcPr>
            <w:tcW w:w="20" w:type="dxa"/>
            <w:vAlign w:val="bottom"/>
          </w:tcPr>
          <w:p>
            <w:pPr>
              <w:spacing w:after="0"/>
              <w:rPr>
                <w:sz w:val="19"/>
                <w:szCs w:val="19"/>
                <w:color w:val="auto"/>
              </w:rPr>
            </w:pPr>
          </w:p>
        </w:tc>
      </w:tr>
      <w:tr>
        <w:trPr>
          <w:trHeight w:val="223"/>
        </w:trPr>
        <w:tc>
          <w:tcPr>
            <w:tcW w:w="3180" w:type="dxa"/>
            <w:vAlign w:val="bottom"/>
          </w:tcPr>
          <w:p>
            <w:pPr>
              <w:ind w:left="26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896,994</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2720" w:type="dxa"/>
            <w:vAlign w:val="bottom"/>
            <w:gridSpan w:val="2"/>
          </w:tcPr>
          <w:p>
            <w:pPr>
              <w:jc w:val="right"/>
              <w:ind w:right="25"/>
              <w:spacing w:after="0"/>
              <w:rPr>
                <w:sz w:val="20"/>
                <w:szCs w:val="20"/>
                <w:color w:val="auto"/>
              </w:rPr>
            </w:pPr>
            <w:r>
              <w:rPr>
                <w:rFonts w:ascii="Arial" w:cs="Arial" w:eastAsia="Arial" w:hAnsi="Arial"/>
                <w:sz w:val="18"/>
                <w:szCs w:val="18"/>
                <w:color w:val="auto"/>
              </w:rPr>
              <w:t>39</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0" w:name="page41"/>
    <w:bookmarkEnd w:id="40"/>
    <w:p>
      <w:pPr>
        <w:jc w:val="center"/>
        <w:ind w:right="4740"/>
        <w:spacing w:after="0"/>
        <w:rPr>
          <w:sz w:val="20"/>
          <w:szCs w:val="20"/>
          <w:color w:val="auto"/>
        </w:rPr>
      </w:pPr>
      <w:r>
        <w:rPr>
          <w:rFonts w:ascii="Arial" w:cs="Arial" w:eastAsia="Arial" w:hAnsi="Arial"/>
          <w:sz w:val="15"/>
          <w:szCs w:val="15"/>
          <w:b w:val="1"/>
          <w:bCs w:val="1"/>
          <w:i w:val="1"/>
          <w:iCs w:val="1"/>
          <w:color w:val="auto"/>
        </w:rPr>
        <w:t>Three Months Ended June 30, 2018 Compared to the Three Months Ended June 30, 2017</w:t>
      </w:r>
    </w:p>
    <w:p>
      <w:pPr>
        <w:spacing w:after="0" w:line="152"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57,696</w:t>
            </w:r>
          </w:p>
        </w:tc>
        <w:tc>
          <w:tcPr>
            <w:tcW w:w="5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29,461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105,984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348,720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279,705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69,015</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Non-gaming:</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13,969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 %</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108,082</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95,921</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12,161</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81,176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69,455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169,945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143,737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26,208</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13,485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 %</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66,775</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61,974</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376,439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320,480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Isle contributed $64.8 million of incremental gaming revenues and pari-mutuel commissions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2018 resulting in an increase of 24.7% compared to the same prior year period.</w:t>
      </w:r>
    </w:p>
    <w:p>
      <w:pPr>
        <w:spacing w:after="0" w:line="211"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Excluding incremental Isle gaming revenues and pari-mutuel commissions, gaming revenues and pari-mutuel commissions increased 1.5% for the three months ended June 30, 2018 compared to the same prior year period mainly due to higher gaming revenues in the West segment driven by a strong quarter and traffic generated by increased convention business.</w:t>
      </w:r>
    </w:p>
    <w:p>
      <w:pPr>
        <w:spacing w:after="0" w:line="18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$11.0 million of incremental non-gaming revenues for the three months ended June 30, 2018 resulting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12.7% over the same prior year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firstLine="555"/>
        <w:spacing w:after="0" w:line="286" w:lineRule="auto"/>
        <w:rPr>
          <w:sz w:val="20"/>
          <w:szCs w:val="20"/>
          <w:color w:val="auto"/>
        </w:rPr>
      </w:pPr>
      <w:r>
        <w:rPr>
          <w:rFonts w:ascii="Arial" w:cs="Arial" w:eastAsia="Arial" w:hAnsi="Arial"/>
          <w:sz w:val="17"/>
          <w:szCs w:val="17"/>
          <w:color w:val="auto"/>
        </w:rPr>
        <w:t>Excluding incremental Isle non-gaming revenues, non-gaming revenues increased 1.2% for the three months ended June 30, 2018 compared to the same prior year period. Growth in the West segment’s non-gaming revenues principally due to higher hotel revenues associated with increased occupancy and room rates were partially offset by decreased non-gaming revenues in the Midwest and South segments.</w:t>
      </w:r>
    </w:p>
    <w:p>
      <w:pPr>
        <w:spacing w:after="0" w:line="166" w:lineRule="exact"/>
        <w:rPr>
          <w:sz w:val="20"/>
          <w:szCs w:val="20"/>
          <w:color w:val="auto"/>
        </w:rPr>
      </w:pPr>
    </w:p>
    <w:p>
      <w:pPr>
        <w:jc w:val="both"/>
        <w:ind w:right="200" w:firstLine="555"/>
        <w:spacing w:after="0" w:line="342" w:lineRule="auto"/>
        <w:rPr>
          <w:sz w:val="20"/>
          <w:szCs w:val="20"/>
          <w:color w:val="auto"/>
        </w:rPr>
      </w:pPr>
      <w:r>
        <w:rPr>
          <w:rFonts w:ascii="Arial" w:cs="Arial" w:eastAsia="Arial" w:hAnsi="Arial"/>
          <w:sz w:val="16"/>
          <w:szCs w:val="16"/>
          <w:i w:val="1"/>
          <w:iCs w:val="1"/>
          <w:color w:val="auto"/>
        </w:rPr>
        <w:t>Gaming Expenses and Pari-Mutuel Commissions</w:t>
      </w:r>
      <w:r>
        <w:rPr>
          <w:rFonts w:ascii="Arial" w:cs="Arial" w:eastAsia="Arial" w:hAnsi="Arial"/>
          <w:sz w:val="16"/>
          <w:szCs w:val="16"/>
          <w:color w:val="auto"/>
        </w:rPr>
        <w:t>. Isle contributed $28.3 million of incremental gaming expenses and pari-mutuel commissions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30, 2018 resulting in an increase of 18.2% in gaming expenses and pari-mutuel commissions over the same prior year period.</w:t>
      </w:r>
    </w:p>
    <w:p>
      <w:pPr>
        <w:spacing w:after="0" w:line="124"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Excluding incremental Isle gaming expenses and pari-mutuel commissions, gaming expenses and pari-mutuel commissions decreased 1.5% for the three months ended June 30, 2018 compared to the same prior year period. Despite the increase in gaming revenues, gaming expenses declined in comparison to the same prior year period due to savings initiatives targeted at reducing variable expenses. Successful efforts to control costs and maximize departmental profit across all segments also drove the improved departmental profit margin during the three months ended June 30, 2018 compared to the same prior year period.</w:t>
      </w:r>
    </w:p>
    <w:p>
      <w:pPr>
        <w:spacing w:after="0" w:line="188"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Isle contributed $7.2 million of incremental non-gaming expenses for the three months ended June 30, 2018 resulting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7.7% over the same prior year period.</w:t>
      </w:r>
    </w:p>
    <w:p>
      <w:pPr>
        <w:spacing w:after="0" w:line="170"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Excluding incremental Isle non-gaming expenses, non-gaming expenses decreased 3.9% for the three months ended June 30, 2018 compared to the same prior year period. Increased expenses associated with higher non-gaming revenues and hotel occupancy in the West segment were offset by lower non-gaming expenses in the Midwest and South segments. Additionally, the growth in room rates in the West segment contributed to improved non-gaming margins for the three months ended June 30, 2018 compared to the same prior year period.</w:t>
      </w:r>
    </w:p>
    <w:p>
      <w:pPr>
        <w:spacing w:after="0" w:line="18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$3.6 million of incremental marketing and promotions expense in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resulting in an increase of 1.4% over the same prior year period.</w:t>
      </w:r>
    </w:p>
    <w:p>
      <w:pPr>
        <w:spacing w:after="0" w:line="170" w:lineRule="exact"/>
        <w:rPr>
          <w:sz w:val="20"/>
          <w:szCs w:val="20"/>
          <w:color w:val="auto"/>
        </w:rPr>
      </w:pPr>
    </w:p>
    <w:p>
      <w:pPr>
        <w:ind w:right="480" w:firstLine="555"/>
        <w:spacing w:after="0" w:line="308" w:lineRule="auto"/>
        <w:rPr>
          <w:sz w:val="20"/>
          <w:szCs w:val="20"/>
          <w:color w:val="auto"/>
        </w:rPr>
      </w:pPr>
      <w:r>
        <w:rPr>
          <w:rFonts w:ascii="Arial" w:cs="Arial" w:eastAsia="Arial" w:hAnsi="Arial"/>
          <w:sz w:val="17"/>
          <w:szCs w:val="17"/>
          <w:color w:val="auto"/>
        </w:rPr>
        <w:t>Excluding incremental Isle marketing and promotions expenses, consolidated marketing and promotions expense decreased 15.3% for the three months ended June 30, 2018 compared to the same prior year period resulting from realized savings across all segments.</w:t>
      </w:r>
    </w:p>
    <w:p>
      <w:pPr>
        <w:spacing w:after="0" w:line="14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$13.6 million of general and administrative expense for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an increase of 21.1% over the same prior year period.</w:t>
      </w:r>
    </w:p>
    <w:p>
      <w:pPr>
        <w:spacing w:after="0" w:line="170"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color w:val="auto"/>
        </w:rPr>
        <w:t>Excluding incremental Isle general and administrative expenses, consolidated general and administrative expenses decreased 1.3% for the three months ended June 30, 2018 compared to the same prior year period mainly due to the centralization of certain corporate services provided to our properties.</w:t>
      </w:r>
    </w:p>
    <w:p>
      <w:pPr>
        <w:spacing w:after="0" w:line="124" w:lineRule="exact"/>
        <w:rPr>
          <w:sz w:val="20"/>
          <w:szCs w:val="20"/>
          <w:color w:val="auto"/>
        </w:rPr>
      </w:pPr>
    </w:p>
    <w:p>
      <w:pPr>
        <w:ind w:right="120" w:firstLine="555"/>
        <w:spacing w:after="0" w:line="342" w:lineRule="auto"/>
        <w:rPr>
          <w:sz w:val="20"/>
          <w:szCs w:val="20"/>
          <w:color w:val="auto"/>
        </w:rPr>
      </w:pPr>
      <w:r>
        <w:rPr>
          <w:rFonts w:ascii="Arial" w:cs="Arial" w:eastAsia="Arial" w:hAnsi="Arial"/>
          <w:sz w:val="16"/>
          <w:szCs w:val="16"/>
          <w:i w:val="1"/>
          <w:iCs w:val="1"/>
          <w:color w:val="auto"/>
        </w:rPr>
        <w:t>Corporate Expenses</w:t>
      </w:r>
      <w:r>
        <w:rPr>
          <w:rFonts w:ascii="Arial" w:cs="Arial" w:eastAsia="Arial" w:hAnsi="Arial"/>
          <w:sz w:val="16"/>
          <w:szCs w:val="16"/>
          <w:color w:val="auto"/>
        </w:rPr>
        <w:t>. For the three months ended June 30, 2018 compared to the same prior year period, corporate expenses increased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payroll and other expenses associated with additional corporate costs, including stock comp expense, driven by growth related to the Isle Acquisition.</w:t>
      </w:r>
    </w:p>
    <w:p>
      <w:pPr>
        <w:spacing w:after="0" w:line="12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$5.9 million of depreciation expense for the three months ended June 30, 2018 resulting in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28.1% over the same prior year period.</w:t>
      </w:r>
    </w:p>
    <w:p>
      <w:pPr>
        <w:spacing w:after="0" w:line="17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Excluding incremental Isle depreciation and amortization expense, depreciation and amortization expense increased 4.5% for the three months ended June 30, 2018 compared to the same prior year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Six Months Ended June 30, 2018 Compared to the Six Months Ended June 30,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w w:val="83"/>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107,430</w:t>
            </w:r>
          </w:p>
        </w:tc>
        <w:tc>
          <w:tcPr>
            <w:tcW w:w="70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175,807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117,820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192,502</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93,674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98,828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216,509</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201,172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15,337</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692,248</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421,895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270,353</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Non-gaming:</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110,029</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25,595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15,941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26,343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204,746</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48,622</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896,994</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318,975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41,726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47,224</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91,987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44,336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134,308</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9,724</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339,496</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224,925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114,571</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70,434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28,042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17,031</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131,462</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28,222</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43,133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11,473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147,947</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23,801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63,444</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22,931</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759,098</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507,041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252,057</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Isle contributed $262.8 million of incremental gaming revenues and pari-mutuel commissions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2018 resulting in an increase of 64.1% compared to the same prior year period.</w:t>
      </w:r>
    </w:p>
    <w:p>
      <w:pPr>
        <w:spacing w:after="0" w:line="21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Excluding incremental Isle gaming revenues and pari-mutuel commissions, gaming revenues and pari-mutuel commissions increased 1.8% for the six months ended June 30, 2018 compared to the same prior year period mainly due to higher gaming revenues in the West segment driven by increased visitor traffic and milder weather in 2018.</w:t>
      </w:r>
    </w:p>
    <w:p>
      <w:pPr>
        <w:spacing w:after="0" w:line="181"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$44.9 million of incremental non-gaming revenues for the six months ended June 30, 2018 resulting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31.1% in non-gaming revenues compared to the same prior year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firstLine="555"/>
        <w:spacing w:after="0" w:line="259" w:lineRule="auto"/>
        <w:rPr>
          <w:sz w:val="20"/>
          <w:szCs w:val="20"/>
          <w:color w:val="auto"/>
        </w:rPr>
      </w:pPr>
      <w:r>
        <w:rPr>
          <w:rFonts w:ascii="Arial" w:cs="Arial" w:eastAsia="Arial" w:hAnsi="Arial"/>
          <w:sz w:val="18"/>
          <w:szCs w:val="18"/>
          <w:color w:val="auto"/>
        </w:rPr>
        <w:t>Excluding incremental Isle non-gaming revenues, non-gaming revenues increased 2.4% for the six months ended June 30, 2018 compared to the same prior year period mainly due to growth in the West segment’s hotel occupancy and room rates associated with increased visitor traffic and milder weather. Additionally, the West segment benefitted from the Reno properties’ capital improvements including renovated hotel rooms and new food, beverage and entertainment offerings.</w:t>
      </w:r>
    </w:p>
    <w:p>
      <w:pPr>
        <w:spacing w:after="0" w:line="187" w:lineRule="exact"/>
        <w:rPr>
          <w:sz w:val="20"/>
          <w:szCs w:val="20"/>
          <w:color w:val="auto"/>
        </w:rPr>
      </w:pPr>
    </w:p>
    <w:p>
      <w:pPr>
        <w:ind w:right="160" w:firstLine="555"/>
        <w:spacing w:after="0" w:line="342" w:lineRule="auto"/>
        <w:rPr>
          <w:sz w:val="20"/>
          <w:szCs w:val="20"/>
          <w:color w:val="auto"/>
        </w:rPr>
      </w:pPr>
      <w:r>
        <w:rPr>
          <w:rFonts w:ascii="Arial" w:cs="Arial" w:eastAsia="Arial" w:hAnsi="Arial"/>
          <w:sz w:val="16"/>
          <w:szCs w:val="16"/>
          <w:i w:val="1"/>
          <w:iCs w:val="1"/>
          <w:color w:val="auto"/>
        </w:rPr>
        <w:t>Gaming Expenses and Pari-Mutuel Commissions</w:t>
      </w:r>
      <w:r>
        <w:rPr>
          <w:rFonts w:ascii="Arial" w:cs="Arial" w:eastAsia="Arial" w:hAnsi="Arial"/>
          <w:sz w:val="16"/>
          <w:szCs w:val="16"/>
          <w:color w:val="auto"/>
        </w:rPr>
        <w:t>. Isle contributed $116.1 million of incremental gaming expenses and pari-mutuel commissions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2018 resulting in an increase of 50.9% in gaming expenses and pari-mutuel commissions over the same prior year period.</w:t>
      </w:r>
    </w:p>
    <w:p>
      <w:pPr>
        <w:spacing w:after="0" w:line="124"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color w:val="auto"/>
        </w:rPr>
        <w:t>Excluding incremental Isle gaming expenses and pari-mutuel commissions, gaming expenses and pari-mutuel commissions remained flat for the six months ended June 30, 2018 compared to the same prior year period despite the increase in gaming revenues due to savings initiatives targeted at reducing variable expenses along with continued synergies. Additionally, successful efforts to control costs and maximize departmental profit across all segments also drove the improved departmental profit margin during the three months ended June 30, 2018 compared to the same prior year period.</w:t>
      </w:r>
    </w:p>
    <w:p>
      <w:pPr>
        <w:spacing w:after="0" w:line="154"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Isle contributed $30.5 million of incremental non-gaming expenses for the six months ended June 30, 2018 resulting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27.3% compared to the same prior year period.</w:t>
      </w:r>
    </w:p>
    <w:p>
      <w:pPr>
        <w:spacing w:after="0" w:line="17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Excluding incremental Isle non-gaming expenses, non-gaming expenses decreased 2.2% for the six months ended June 30, 2018 compared to the same prior year period. Increased expenses associated with higher non-gaming hotel occupancy in the West segment were offset by lower non-gaming expenses in the South and East segments. Additionally, the growth in room rates in the West segment contributed to improved non-gaming margins for the six months ended June 30, 2018 compared to the same prior year period.</w:t>
      </w:r>
    </w:p>
    <w:p>
      <w:pPr>
        <w:spacing w:after="0" w:line="18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$14.7 million of incremental marketing and promotions expense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resulting in an increase of 36.2% compared to the same prior year period.</w:t>
      </w:r>
    </w:p>
    <w:p>
      <w:pPr>
        <w:spacing w:after="0" w:line="170"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Excluding incremental Isle marketing and promotions expenses, consolidated marketing and promotions expense decreased 10.3% for the six months ended June 30, 2018 compared to the same prior year period due to strategic changes to eliminate unprofitable promotional events and decrease advertising spend.</w:t>
      </w:r>
    </w:p>
    <w:p>
      <w:pPr>
        <w:spacing w:after="0" w:line="181"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$55.0 million of incremental general and administrative expense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resulting in an increase of 59.6% compared to the same prior year period.</w:t>
      </w:r>
    </w:p>
    <w:p>
      <w:pPr>
        <w:spacing w:after="0" w:line="170"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Excluding incremental Isle general and administrative expenses, consolidated general and administrative expenses remained flat for the six months ended June 30, 2018 compared to the same prior year period. Increased expenses in the West and East segments were offset by decreased expenses in the Midwest and South segments.</w:t>
      </w:r>
    </w:p>
    <w:p>
      <w:pPr>
        <w:spacing w:after="0" w:line="181"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i w:val="1"/>
          <w:iCs w:val="1"/>
          <w:color w:val="auto"/>
        </w:rPr>
        <w:t>Corporate Expenses</w:t>
      </w:r>
      <w:r>
        <w:rPr>
          <w:rFonts w:ascii="Arial" w:cs="Arial" w:eastAsia="Arial" w:hAnsi="Arial"/>
          <w:sz w:val="16"/>
          <w:szCs w:val="16"/>
          <w:color w:val="auto"/>
        </w:rPr>
        <w:t>. For the six months ended June 30, 2018 compared to the same prior year period, corporate expenses increased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payroll and other expenses associated with additional corporate costs, including stock comp expense, driven by growth related to the Isle Acquisition.</w:t>
      </w:r>
    </w:p>
    <w:p>
      <w:pPr>
        <w:spacing w:after="0" w:line="124"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Based on the pending disposition, we recorded an impairment charge for the six months ended June 30, 2018 totaling $9.8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our Vicksburg property.</w:t>
      </w:r>
    </w:p>
    <w:p>
      <w:pPr>
        <w:spacing w:after="0" w:line="1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$23.3 million of depreciation expense for the six months ended June 30, 2018 resulting in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56.6% compared to the same prior year period.</w:t>
      </w:r>
    </w:p>
    <w:p>
      <w:pPr>
        <w:spacing w:after="0" w:line="170"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Excluding incremental Isle depreciation and amortization expense, depreciation and amortization expense remained flat for the six months ended June 30, 2018 compared to the same prior year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4" w:name="page45"/>
    <w:bookmarkEnd w:id="44"/>
    <w:p>
      <w:pPr>
        <w:ind w:right="20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Six Months Ended June 30, 2018 and 2017</w:t>
      </w:r>
    </w:p>
    <w:p>
      <w:pPr>
        <w:spacing w:after="0" w:line="58"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transaction expenses, severance expense, costs associated with the Presque Isle Downs, Vicksburg and Lake Charles sales, impairment charges, equity in income of unconsolidated affiliates, (gain) loss on the sale or disposal of property and equipment, and other non-cash regulatory gaming assessments.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75"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three and six months ended June 30, 2018 and 2017, in addition to reconciling Adjusted EBITDA to operating income (loss) in accordance with US GAAP (unaudited,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 2018</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8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(4)</w:t>
            </w:r>
          </w:p>
        </w:tc>
        <w:tc>
          <w:tcPr>
            <w:tcW w:w="2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(3)</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EBITDA</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21,865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(287)</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24,397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(16,823)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2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31,910</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3,472</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3,404</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 2017 (6)</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(4)</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16,512</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6,571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(93,229)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85,464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24,909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1,329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85,464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1,562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82,797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Pre-Acquisition (1):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2,709</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(2,550)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Pre-Acquisition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16,338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4,702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21,938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19,221</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7,496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(95,779)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Including Pre-Acquisition (2)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(14,129)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29,611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1,815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85,750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1,688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104,735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 June 30, 2018</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(4)</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32,004</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17,571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(31,934)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(15,223)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131,608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63,444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7,151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5,952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13,404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221,559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Six Months Ended June 30, 2017 (6)</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(4)</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17,933</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11,214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(101,508)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87,078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(16,439)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40,513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3,062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87,078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116,081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Pre-Acquisition (5):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9,525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3,694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Pre-Acquisition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59,547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22,662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1,725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84,969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27,458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14,908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(110,319)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(16,674)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Including Pre-Acquisition (2)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43,108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63,175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4,787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87,364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2,616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201,050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120" w:hanging="552"/>
        <w:spacing w:after="0" w:line="286"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Figures are for Isle for April 2017. Such figures were prepared by the Company to reflect Isle’s unaudited consolidated historical operating revenues, operating income and Adjusted EBITDA for periods corresponding to the Company’s fiscal quarterly calendar. Such figures are based on the unaudited internal financial statements and have not been reviewed by the Company’s auditors and do not conform to GAAP.</w:t>
      </w:r>
    </w:p>
    <w:p>
      <w:pPr>
        <w:spacing w:after="0" w:line="165" w:lineRule="exact"/>
        <w:rPr>
          <w:rFonts w:ascii="Arial" w:cs="Arial" w:eastAsia="Arial" w:hAnsi="Arial"/>
          <w:sz w:val="17"/>
          <w:szCs w:val="17"/>
          <w:color w:val="auto"/>
        </w:rPr>
      </w:pPr>
    </w:p>
    <w:p>
      <w:pPr>
        <w:ind w:left="560" w:right="40" w:hanging="552"/>
        <w:spacing w:after="0" w:line="25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figures for 2017 include combined results of operations for Isle and the Company for periods preceding the date that the Company acquired Isle. Such presentation does not conform with GAAP or the Securities and Exchange Commission rules for proforma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188" w:lineRule="exact"/>
        <w:rPr>
          <w:rFonts w:ascii="Arial" w:cs="Arial" w:eastAsia="Arial" w:hAnsi="Arial"/>
          <w:sz w:val="18"/>
          <w:szCs w:val="18"/>
          <w:color w:val="auto"/>
        </w:rPr>
      </w:pPr>
    </w:p>
    <w:p>
      <w:pPr>
        <w:ind w:left="560" w:right="160" w:hanging="552"/>
        <w:spacing w:after="0" w:line="308"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Transaction expenses represent costs related to the acquisition of Isle for the three and six months ended June 30, 2017 and costs primarily related to the acquisitions of Grand Victoria Casino and Tropicana Entertainment Inc. for the three and six months ended June 30,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46" w:name="page47"/>
    <w:bookmarkEnd w:id="46"/>
    <w:p>
      <w:pPr>
        <w:ind w:left="560" w:right="200" w:hanging="552"/>
        <w:spacing w:after="0" w:line="25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is comprised of severance expense, (gain) loss on the sale or disposal of property and equipment, equity in income (loss) of unconsolidated affiliate and other non-cash regulatory gaming assessments for the three and six months ended June 30, 2018 and 2017. Also included are costs associated with the sales of Vicksburg and Presque Isle Downs for the three and six months ended June 30, 2018 and the failed sale of Lake Charles for the three and six months ended June 30, 2017. In conjunction with the announced sale of Vicksburg, an impairment charge totaling $9.8 million was recorded for the six months ended June 30, 2018.</w:t>
      </w:r>
    </w:p>
    <w:p>
      <w:pPr>
        <w:spacing w:after="0" w:line="188" w:lineRule="exact"/>
        <w:rPr>
          <w:rFonts w:ascii="Arial" w:cs="Arial" w:eastAsia="Arial" w:hAnsi="Arial"/>
          <w:sz w:val="18"/>
          <w:szCs w:val="18"/>
          <w:color w:val="auto"/>
        </w:rPr>
      </w:pPr>
    </w:p>
    <w:p>
      <w:pPr>
        <w:ind w:left="560" w:right="60" w:hanging="552"/>
        <w:spacing w:after="0" w:line="312"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Figures are for Isle for the four months ended April 30, 2017. Such figures were prepared by the Company to reflect Isle’s unaudited consolidated historical operating revenues, operating income and Adjusted EBITDA for periods corresponding to the Company’s fiscal quarterly calendar. Such figures are based on the unaudited internal financial statements and have not been reviewed by the Company’s auditors and do not conform to GAAP.</w:t>
      </w:r>
    </w:p>
    <w:p>
      <w:pPr>
        <w:spacing w:after="0" w:line="146" w:lineRule="exact"/>
        <w:rPr>
          <w:rFonts w:ascii="Arial" w:cs="Arial" w:eastAsia="Arial" w:hAnsi="Arial"/>
          <w:sz w:val="16"/>
          <w:szCs w:val="16"/>
          <w:color w:val="auto"/>
        </w:rPr>
      </w:pPr>
    </w:p>
    <w:p>
      <w:pPr>
        <w:jc w:val="both"/>
        <w:ind w:left="560" w:hanging="552"/>
        <w:spacing w:after="0" w:line="26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prior period presentation has been adjusted for the adoption of Accounting Standards Codification (ASC) No. 606 “Revenue from Contracts with Customers” effective January 1, 2018 utilizing the full retrospective transition method. See Note 2 to our Condensed Notes to Unaudited Consolidated Financial Statements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555"/>
        <w:spacing w:after="0" w:line="308"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spacing w:after="0" w:line="147"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and proceeds from the issuance of debt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cash requirements can fluctuate significantly depending on our decisions with respect to business acquisitions or dispositions and strategic capital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investments to maintain the quality of our properties. We expect that our primary capital requirements going forward will relate to the operation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maintenance of our properties, servicing our outstanding indebtedness and funding the recently announced acquisitions. During the remainder of 2018,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to spend $94.8 million on capital expenditures and $61.4 million to pay interest on our outstanding indebtedness. However, we expect that our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 interest on our outstanding debt will increase significantly following the consummation of the acquisition of Tropicana Entertainment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Grand Victoria Casino and the related incurrence of debt and obligation to pay annual rent in an initial amount of approximately $110 million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master lease with respect to certain of the Tropicana properties. We also expect that our capital expenditures will increase significantly following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Tropicana Entertainment and the Grand Victoria Casino and the related increase in the number of properties in our portfolio. We funded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$327.5 million of cash consideration for the acquisition of the Grand Victoria Casino using cash from ongoing operations and borrowings under our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and we intend to fund cash consideration of approximately $640 million payable by us in the Tropicana transaction and repay debt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Tropicana’s credit facility with cash generated from our current operations, Tropicana’s cash on hand, cash flow generated from Tropicana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closing and $600 million of committed debt financing. In addition, the Company has obtained commitments to increase its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$300 million to $500 million effective substantially concurrently with the consummation of the Tropicana Acquisition and extend the maturity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to the fifth anniversary of the effective date of such increase. We expect that cash generated from operations will be sufficient to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capital requirements, and service our outstanding indebtedness for the next twelve months.</w:t>
      </w:r>
    </w:p>
    <w:p>
      <w:pPr>
        <w:spacing w:after="0" w:line="211"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At June 30, 2018, we had consolidated cash and cash equivalents of $202.0 million, excluding restricted cash. At June 30, 2017, we had consolidated cash and cash equivalents of $134.6 million, excluding restricted cash. This increase in cash was primarily due to cash generated from operations for the six months ended June 30, 2018.</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Operating Cash Flow. </w:t>
      </w:r>
      <w:r>
        <w:rPr>
          <w:rFonts w:ascii="Arial" w:cs="Arial" w:eastAsia="Arial" w:hAnsi="Arial"/>
          <w:sz w:val="17"/>
          <w:szCs w:val="17"/>
          <w:color w:val="auto"/>
        </w:rPr>
        <w:t>For the six months ended June 30, 2018, cash flows provided by operating activities totaled $148.5 million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 million for the same prior year period. The increase in operating cash was primarily due to cash generated from operations combined with changes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 accounts in the normal course of business. Additionally, significant payments were made during the six months ended 2017 in conjunction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Isle.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right="100" w:firstLine="555"/>
        <w:spacing w:after="0" w:line="297" w:lineRule="auto"/>
        <w:rPr>
          <w:sz w:val="20"/>
          <w:szCs w:val="20"/>
          <w:color w:val="auto"/>
        </w:rPr>
      </w:pPr>
      <w:r>
        <w:rPr>
          <w:rFonts w:ascii="Arial" w:cs="Arial" w:eastAsia="Arial" w:hAnsi="Arial"/>
          <w:sz w:val="16"/>
          <w:szCs w:val="16"/>
          <w:i w:val="1"/>
          <w:iCs w:val="1"/>
          <w:color w:val="auto"/>
        </w:rPr>
        <w:t>Investing Cash Flow and Capital Expenditures</w:t>
      </w:r>
      <w:r>
        <w:rPr>
          <w:rFonts w:ascii="Arial" w:cs="Arial" w:eastAsia="Arial" w:hAnsi="Arial"/>
          <w:sz w:val="16"/>
          <w:szCs w:val="16"/>
          <w:color w:val="auto"/>
        </w:rPr>
        <w:t>. Net cash flows used in investing activities totaled $69.3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compared to $1,342.9 million for the same prior year period. Net cash flows used in investing activities in the six months ended June 30, 2018 were primarily due to $55.2 million in capital expenditures for various property enhancement and maintenance projects along with equipment purchases. Net cash flows used in investing activities for the six months ended June 30, 2017 consisted of $1,313.1 million related to funds used in the acquisition of Isle which closed on May 1, 2017, and $29.8 million in capital expenditures for various property enhancement and maintenance projects and equipment purchases.</w:t>
      </w:r>
    </w:p>
    <w:p>
      <w:pPr>
        <w:spacing w:after="0" w:line="158"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i w:val="1"/>
          <w:iCs w:val="1"/>
          <w:color w:val="auto"/>
        </w:rPr>
        <w:t>Financing Cash Flow</w:t>
      </w:r>
      <w:r>
        <w:rPr>
          <w:rFonts w:ascii="Arial" w:cs="Arial" w:eastAsia="Arial" w:hAnsi="Arial"/>
          <w:sz w:val="16"/>
          <w:szCs w:val="16"/>
          <w:color w:val="auto"/>
        </w:rPr>
        <w:t>. Net cash used for financing activities for the six months ended June 30, 2018 totaled $10.3 million compared to $1,412.5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net cash provided by financing activities in the same prior year period. The cash used for financing activities for the six months ended June 30, 2018 was principally due to $9.7 million of net taxes paid related to the net share settlement of equity awards. During the six months ended June 30, 2017, cash provided by financing activities consisted primarily of $1,450.0 million and $375.0 million of proceeds from the issuance of the credit facility and 6% Senior Notes, respectively, partially offset by payments of $422.3 million on our credit facility in conjunction with our refinancing of debt in May of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right="140" w:firstLine="555"/>
        <w:spacing w:after="0" w:line="274" w:lineRule="auto"/>
        <w:rPr>
          <w:sz w:val="20"/>
          <w:szCs w:val="20"/>
          <w:color w:val="auto"/>
        </w:rPr>
      </w:pPr>
      <w:r>
        <w:rPr>
          <w:rFonts w:ascii="Arial" w:cs="Arial" w:eastAsia="Arial" w:hAnsi="Arial"/>
          <w:sz w:val="17"/>
          <w:szCs w:val="17"/>
          <w:color w:val="auto"/>
        </w:rPr>
        <w:t>In April 2017, the Company entered into a credit agreement with JPMorgan Chase Bank, N.A., as administrative agent, and the lenders party thereto dated as of April 17, 2017 (the “Credit Facility”), consisting of a $1.45 billion term loan facility (the “Term Loan Facility” or “Term Loan”) and a</w:t>
      </w:r>
    </w:p>
    <w:p>
      <w:pPr>
        <w:ind w:right="160"/>
        <w:spacing w:after="0" w:line="269" w:lineRule="auto"/>
        <w:rPr>
          <w:sz w:val="20"/>
          <w:szCs w:val="20"/>
          <w:color w:val="auto"/>
        </w:rPr>
      </w:pPr>
      <w:r>
        <w:rPr>
          <w:rFonts w:ascii="Arial" w:cs="Arial" w:eastAsia="Arial" w:hAnsi="Arial"/>
          <w:sz w:val="17"/>
          <w:szCs w:val="17"/>
          <w:color w:val="auto"/>
        </w:rPr>
        <w:t>$300.0 million revolving credit facility (the “Revolving Credit Facility”). The Company’s obligations under the Revolving Credit Facility will mature on April 17, 2022. The Company’s obligations under the Term Loan Facility will mature on April 17, 2024. The Company was required to make quarterly principal payments in an amount equal to $3.6 million on the Term Loan Facility on the last day of each fiscal quarter beginning on June 30, 2017 but satisfied this requirement as a result of the principal prepayment of $444.5 million on September 13, 2017 in conjunction with the issuance of the additional 6% Senior Notes. In addition, the Company is required to make mandatory 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spacing w:after="0" w:line="181"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As of June 30, 2018, the Company had $956.8 million outstanding on the Term Loan. There were no borrowings outstanding under the Revolving Credit Facility as of June 30, 2018. The Company had $290.9 million of available borrowing capacity, after consideration of $9.1 million in outstanding letters of credit, under its Revolving Credit Facility as of June 30, 2018.</w:t>
      </w:r>
    </w:p>
    <w:p>
      <w:pPr>
        <w:spacing w:after="0" w:line="181"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The interest rate per annum applicable to loans under the Revolving Credit Facility are, at our option, either LIBOR plus a margin ranging from 1.75% to 2.50% or a base rate plus a margin ranging from 0.75% to 1.50%, which margin is based on our total leverage ratio. The interest rate per annum applicable to the loans under the Term Loan Facility is, at our option, either LIBOR plus 2.25%, or a base rate plus 1.25%; provided, however, that in no event will LIBOR be less than zero or the base rate be less than 1.00% over the term of the Term Loan Facility or the Revolving Credit Facility. Additionally, the Company pays a commitment fee on the unused portion of the Revolving Credit Facility in the amount of 0.50% per annum. At June 30, 2018, the weighted average interest rate on the Term Loan was 4.1% based upon the weighted average interest rate of borrowings outstanding during the six months ended June 30,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On March 29, 2017, Eagle II issued at par $375.0 million aggregate principal amount of 6.0% senior notes due 2025 (the “6% Senior Notes”) pursuant to an indenture, dated as of March 29, 2017 (the “6% Senior Notes Indenture”), between Eagle II and U.S. Bank, National Association, as Trustee. The 6% Senior Notes will mature on April 1, 2025, with interest payable semi-annually in arrears on April 1 and October 1, commencing October 1, 2017. In connection with the consummation of the Isle Acquisition on May 1, 2017, the Company assumed Eagle II’s obligations under the 6% Senior Notes and the 6% Senior Notes Indenture and certain of the Company’s subsidiaries (including Isle and certain of its subsidiaries) executed guarantees of the Company’s obligations under the 6% Senior Notes.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120" w:firstLine="555"/>
        <w:spacing w:after="0" w:line="279" w:lineRule="auto"/>
        <w:rPr>
          <w:sz w:val="20"/>
          <w:szCs w:val="20"/>
          <w:color w:val="auto"/>
        </w:rPr>
      </w:pPr>
      <w:r>
        <w:rPr>
          <w:rFonts w:ascii="Arial" w:cs="Arial" w:eastAsia="Arial" w:hAnsi="Arial"/>
          <w:sz w:val="17"/>
          <w:szCs w:val="17"/>
          <w:color w:val="auto"/>
        </w:rPr>
        <w:t>On September 13, 2017, the Company issued an additional $500.0 million principal amount of its 6% Senior Notes at an issue price equal to 105.5% of the principal amount of the 6% Senior Notes. The additional notes were issued pursuant to the 6% Senior Notes Indenture that governs the 6% Senior Notes. The Company used the proceeds of the offering to repay $78.0 million of outstanding borrowings under the revolving credit facility and used the remainder to repay $444.5 million outstanding borrowings under the term loan facility and related accrued interest.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w:t>
      </w:r>
    </w:p>
    <w:p>
      <w:pPr>
        <w:spacing w:after="0" w:line="117"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On July 23, 2015, the Company issued at par $375.0 million in aggregate principal amount of 7.0% senior notes due 2023 (“7% Senior Notes”) pursuant to the Indenture, dated as of July 23, 2015 (the “Indenture”), between the Company and U.S. Bank, National Association, as Trustee. The 7% Senior Notes will mature on August 1, 2023, with interest payable semi-annually in arrears on February 1 and August 1 of each year.</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2018 we were in compliance with all covenants under the Credit Facility, 6% Senior Notes, and 7% Senior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20" w:firstLine="555"/>
        <w:spacing w:after="0" w:line="223" w:lineRule="exact"/>
        <w:rPr>
          <w:sz w:val="20"/>
          <w:szCs w:val="20"/>
          <w:color w:val="auto"/>
        </w:rPr>
      </w:pPr>
      <w:r>
        <w:rPr>
          <w:rFonts w:ascii="Arial" w:cs="Arial" w:eastAsia="Arial" w:hAnsi="Arial"/>
          <w:sz w:val="18"/>
          <w:szCs w:val="18"/>
          <w:color w:val="auto"/>
        </w:rPr>
        <w:t>There have been no material changes for the six months ended June 30, 2018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10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2017 and “Part II, Item IA. Risk Factors” which is included in this Quarterly Report on Form 10-Q for the quarter ended June 30,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555"/>
        <w:spacing w:after="0" w:line="220"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Except as described in footnotes 2 and 3 to the accompanying condensed notes of these consolidated financial statements, we believe there have been no material changes since December 31, 2017. We have not substantively changed the application of our policies and there have been no material changes in assumptions or estimation techniques used as compared to prior periods.</w:t>
      </w:r>
    </w:p>
    <w:p>
      <w:pPr>
        <w:spacing w:after="0" w:line="3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5"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left="1120" w:right="8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120" w:right="58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consummate the acquisition of Tropicana Entertainment and the disposition of Presque Isle Downs and Nemacolin on the timeline and terms described herein or at all;</w:t>
      </w:r>
    </w:p>
    <w:p>
      <w:pPr>
        <w:spacing w:after="0" w:line="62" w:lineRule="exact"/>
        <w:rPr>
          <w:rFonts w:ascii="Arial" w:cs="Arial" w:eastAsia="Arial" w:hAnsi="Arial"/>
          <w:sz w:val="18"/>
          <w:szCs w:val="18"/>
          <w:color w:val="auto"/>
        </w:rPr>
      </w:pPr>
    </w:p>
    <w:p>
      <w:pPr>
        <w:ind w:left="1120" w:right="600" w:hanging="558"/>
        <w:spacing w:after="0" w:line="308"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including the development of a mixed-use entertainment and hospitality destination expected to be located on unused land adjacent to the Pompano casino and racetrack, and additional acquisition;</w:t>
      </w:r>
    </w:p>
    <w:p>
      <w:pPr>
        <w:spacing w:after="0" w:line="38" w:lineRule="exact"/>
        <w:rPr>
          <w:rFonts w:ascii="Arial" w:cs="Arial" w:eastAsia="Arial" w:hAnsi="Arial"/>
          <w:sz w:val="17"/>
          <w:szCs w:val="17"/>
          <w:color w:val="auto"/>
        </w:rPr>
      </w:pPr>
    </w:p>
    <w:p>
      <w:pPr>
        <w:ind w:left="1120" w:right="800" w:hanging="558"/>
        <w:spacing w:after="0" w:line="308"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ability to obtain financing for, and realize the anticipated benefits, of such development and acquisitions, including the acquisition of Tropicana Entertainment and the Grand Victoria Casino and the development of Pompano; and</w:t>
      </w:r>
    </w:p>
    <w:p>
      <w:pPr>
        <w:spacing w:after="0" w:line="38" w:lineRule="exact"/>
        <w:rPr>
          <w:rFonts w:ascii="Arial" w:cs="Arial" w:eastAsia="Arial" w:hAnsi="Arial"/>
          <w:sz w:val="17"/>
          <w:szCs w:val="17"/>
          <w:color w:val="auto"/>
        </w:rPr>
      </w:pPr>
    </w:p>
    <w:p>
      <w:pPr>
        <w:ind w:left="1120" w:right="40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70" w:lineRule="exact"/>
        <w:rPr>
          <w:sz w:val="20"/>
          <w:szCs w:val="20"/>
          <w:color w:val="auto"/>
        </w:rPr>
      </w:pPr>
    </w:p>
    <w:p>
      <w:pPr>
        <w:ind w:right="120" w:firstLine="555"/>
        <w:spacing w:after="0" w:line="218"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is subject include, but are not limited to, the following:</w:t>
      </w:r>
    </w:p>
    <w:p>
      <w:pPr>
        <w:spacing w:after="0" w:line="98" w:lineRule="exact"/>
        <w:rPr>
          <w:sz w:val="20"/>
          <w:szCs w:val="20"/>
          <w:color w:val="auto"/>
        </w:rPr>
      </w:pPr>
    </w:p>
    <w:p>
      <w:pPr>
        <w:ind w:left="1120" w:right="2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factors relating to development, maintenance and expansion of operations;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left="1120" w:right="260" w:hanging="558"/>
        <w:spacing w:after="0" w:line="223" w:lineRule="exact"/>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3" w:lineRule="exact"/>
        <w:rPr>
          <w:sz w:val="20"/>
          <w:szCs w:val="20"/>
          <w:color w:val="auto"/>
        </w:rPr>
      </w:pPr>
    </w:p>
    <w:p>
      <w:pPr>
        <w:ind w:right="40" w:firstLine="555"/>
        <w:spacing w:after="0" w:line="308" w:lineRule="auto"/>
        <w:rPr>
          <w:sz w:val="20"/>
          <w:szCs w:val="20"/>
          <w:color w:val="auto"/>
        </w:rPr>
      </w:pPr>
      <w:r>
        <w:rPr>
          <w:rFonts w:ascii="Arial" w:cs="Arial" w:eastAsia="Arial" w:hAnsi="Arial"/>
          <w:sz w:val="17"/>
          <w:szCs w:val="17"/>
          <w:color w:val="auto"/>
        </w:rPr>
        <w:t>In addition, the acquisition of Tropicana Entertainment and the Grand Victoria Casino, the dispositions of Presque Isle Downs and Nemacolin and the provisions of the related acquisition agreements create additional risks, uncertainties and other important factors, including but not limited to:</w:t>
      </w:r>
    </w:p>
    <w:p>
      <w:pPr>
        <w:spacing w:after="0" w:line="38" w:lineRule="exact"/>
        <w:rPr>
          <w:sz w:val="20"/>
          <w:szCs w:val="20"/>
          <w:color w:val="auto"/>
        </w:rPr>
      </w:pPr>
    </w:p>
    <w:p>
      <w:pPr>
        <w:ind w:left="1120" w:right="120" w:hanging="558"/>
        <w:spacing w:after="0" w:line="264"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(including, in the case of the dispositions, approval from gaming regulators and expiration of the waiting period under the Hart-Scott-Rodino Antitrust Improvements Act of 1976) and satisfy or waive other closing conditions to consummate such transactions on a timely basis;</w:t>
      </w:r>
    </w:p>
    <w:p>
      <w:pPr>
        <w:spacing w:after="0" w:line="73"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that the one or more of such transactions do not close on the terms described herein or that we are required to modify aspects of one or more of such transactions to obtain regulatory approval;</w:t>
      </w:r>
    </w:p>
    <w:p>
      <w:pPr>
        <w:spacing w:after="0" w:line="62" w:lineRule="exact"/>
        <w:rPr>
          <w:rFonts w:ascii="Arial" w:cs="Arial" w:eastAsia="Arial" w:hAnsi="Arial"/>
          <w:sz w:val="18"/>
          <w:szCs w:val="18"/>
          <w:color w:val="auto"/>
        </w:rPr>
      </w:pPr>
    </w:p>
    <w:p>
      <w:pPr>
        <w:ind w:left="1120" w:right="60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promptly and effectively implement our operating strategies at the acquired properties and integrate our business and the business of the acquired companies to realize the synergies contemplated by the proposed acquisition;</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debt financing on the terms expected, or at all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possibility that the business of Tropicana or the Grand Victoria Casino may suffer as a result of the announcement of the acquisition;</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retain key employees of the acquired companies;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legal proceedings that may be instituted as a result of the proposed transactions; and</w:t>
      </w:r>
    </w:p>
    <w:p>
      <w:pPr>
        <w:spacing w:after="0" w:line="117" w:lineRule="exact"/>
        <w:rPr>
          <w:rFonts w:ascii="Arial" w:cs="Arial" w:eastAsia="Arial" w:hAnsi="Arial"/>
          <w:sz w:val="18"/>
          <w:szCs w:val="18"/>
          <w:color w:val="auto"/>
        </w:rPr>
      </w:pPr>
    </w:p>
    <w:p>
      <w:pPr>
        <w:ind w:left="1120" w:right="34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risks and uncertainties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on which this statement is made, even if subsequently made available on our website or otherwise, and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 as may be required by law.</w:t>
      </w:r>
    </w:p>
    <w:p>
      <w:pPr>
        <w:spacing w:after="0" w:line="211" w:lineRule="exact"/>
        <w:rPr>
          <w:sz w:val="20"/>
          <w:szCs w:val="20"/>
          <w:color w:val="auto"/>
        </w:rPr>
      </w:pPr>
    </w:p>
    <w:p>
      <w:pPr>
        <w:ind w:right="20" w:firstLine="555"/>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0" w:firstLine="555"/>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At June 30, 2018, interest on borrowings under our Credit Facility was subject to fluctuation based on changes in short-term interest rates.</w:t>
      </w:r>
    </w:p>
    <w:p>
      <w:pPr>
        <w:spacing w:after="0" w:line="202" w:lineRule="exact"/>
        <w:rPr>
          <w:sz w:val="20"/>
          <w:szCs w:val="20"/>
          <w:color w:val="auto"/>
        </w:rPr>
      </w:pPr>
    </w:p>
    <w:p>
      <w:pPr>
        <w:jc w:val="both"/>
        <w:ind w:right="160" w:firstLine="555"/>
        <w:spacing w:after="0" w:line="221" w:lineRule="exact"/>
        <w:rPr>
          <w:sz w:val="20"/>
          <w:szCs w:val="20"/>
          <w:color w:val="auto"/>
        </w:rPr>
      </w:pPr>
      <w:r>
        <w:rPr>
          <w:rFonts w:ascii="Arial" w:cs="Arial" w:eastAsia="Arial" w:hAnsi="Arial"/>
          <w:sz w:val="18"/>
          <w:szCs w:val="18"/>
          <w:color w:val="auto"/>
        </w:rPr>
        <w:t>As of June 30, 2018,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$956.8 million under the Term Loan and represented approximately 43% of our long</w:t>
      </w:r>
      <w:r>
        <w:rPr>
          <w:rFonts w:ascii="MS PGothic" w:cs="MS PGothic" w:eastAsia="MS PGothic" w:hAnsi="MS PGothic"/>
          <w:sz w:val="18"/>
          <w:szCs w:val="18"/>
          <w:color w:val="auto"/>
        </w:rPr>
        <w:t>‑</w:t>
      </w:r>
      <w:r>
        <w:rPr>
          <w:rFonts w:ascii="Arial" w:cs="Arial" w:eastAsia="Arial" w:hAnsi="Arial"/>
          <w:sz w:val="18"/>
          <w:szCs w:val="18"/>
          <w:color w:val="auto"/>
        </w:rPr>
        <w:t>term debt compared to 67% of our long</w:t>
      </w:r>
      <w:r>
        <w:rPr>
          <w:rFonts w:ascii="MS PGothic" w:cs="MS PGothic" w:eastAsia="MS PGothic" w:hAnsi="MS PGothic"/>
          <w:sz w:val="18"/>
          <w:szCs w:val="18"/>
          <w:color w:val="auto"/>
        </w:rPr>
        <w:t>‑</w:t>
      </w:r>
      <w:r>
        <w:rPr>
          <w:rFonts w:ascii="Arial" w:cs="Arial" w:eastAsia="Arial" w:hAnsi="Arial"/>
          <w:sz w:val="18"/>
          <w:szCs w:val="18"/>
          <w:color w:val="auto"/>
        </w:rPr>
        <w:t>term debt as of June 30, 2017. During the six months ended June 30, 2018, the weighted average interest rates on our variable and fixed rate debt were 4.1% and 6.3%, respectively.</w:t>
      </w:r>
    </w:p>
    <w:p>
      <w:pPr>
        <w:spacing w:after="0" w:line="202" w:lineRule="exact"/>
        <w:rPr>
          <w:sz w:val="20"/>
          <w:szCs w:val="20"/>
          <w:color w:val="auto"/>
        </w:rPr>
      </w:pPr>
    </w:p>
    <w:p>
      <w:pPr>
        <w:jc w:val="both"/>
        <w:ind w:right="20" w:firstLine="555"/>
        <w:spacing w:after="0" w:line="286"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three months ended June 30, 2018.</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1" w:name="page52"/>
    <w:bookmarkEnd w:id="51"/>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55"/>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7" w:lineRule="exact"/>
        <w:rPr>
          <w:sz w:val="20"/>
          <w:szCs w:val="20"/>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360" w:firstLine="555"/>
        <w:spacing w:after="0" w:line="223" w:lineRule="exact"/>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60" w:firstLine="555"/>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ind w:right="160" w:firstLine="555"/>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15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3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20" w:firstLine="555"/>
        <w:spacing w:after="0" w:line="221"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There have been no material changes to those risk factors during the three months ended June 30, 2018, except for the following additional risk factors related to certain acquisitions and dispositions.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relating to the acquisitions and dispositions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Some of our casinos are located on leased property and we expect to enter into a master lease with respect to certain properties that we expect to acquire in the Tropicana Acquisition. If we default on one or more leases, the applicable lessors could terminate the affected leases and we could lose possession of the affected casino.</w:t>
      </w:r>
    </w:p>
    <w:p>
      <w:pPr>
        <w:spacing w:after="0" w:line="73"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We currently lease certain parcels of land on which several of our properties are located and we expect to enter into a master lease with respect to six of the properties that we will acquire in the Tropicana Acquisition (the “Master Lease”). As a ground lessee, we have the right to use the leased land; however, we do not hold fee ownership of the underlying land. Accordingly, with respect to the leased land, we will have no interest in the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the Master Lease is expected to require initial annual rent payments of $110 million and obligate us to make specified minimum capital expenditures with respect to the leased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the master lease could result in a default under our debt agreements and could have a material adverse effect on our business, financial condition and results of operations. Further, in the event that any lessor with respect to our leased properties, including properties that will be subject to the Master Lease, encounters financial, operational, regulatory or other challenges, there can be no assurance that such lessor will be able to comply with its obligations under the applicable lease.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Master Lease is expected to be a triple-net lease. Accordingly, in addition to rent, we will be required to pay, among other things, the following:</w:t>
      </w:r>
    </w:p>
    <w:p>
      <w:pPr>
        <w:spacing w:after="0" w:line="46" w:lineRule="exact"/>
        <w:rPr>
          <w:sz w:val="20"/>
          <w:szCs w:val="20"/>
          <w:color w:val="auto"/>
        </w:rPr>
      </w:pPr>
    </w:p>
    <w:p>
      <w:pPr>
        <w:ind w:right="40" w:firstLine="8"/>
        <w:spacing w:after="0" w:line="26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facility maintenance, (2) 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 We will be responsible for incurring the costs described in the preceding sentence notwithstanding the fact that many of the benefits received in exchange for such costs shall in part accrue to the lessor as the owner of the associated facilities. In addition, we expect that we will remain obligated for lease payments and other obligations under the Master Lease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ind w:right="720"/>
        <w:spacing w:after="0" w:line="277" w:lineRule="auto"/>
        <w:rPr>
          <w:sz w:val="20"/>
          <w:szCs w:val="20"/>
          <w:color w:val="auto"/>
        </w:rPr>
      </w:pPr>
      <w:r>
        <w:rPr>
          <w:rFonts w:ascii="Arial" w:cs="Arial" w:eastAsia="Arial" w:hAnsi="Arial"/>
          <w:sz w:val="18"/>
          <w:szCs w:val="18"/>
          <w:b w:val="1"/>
          <w:bCs w:val="1"/>
          <w:i w:val="1"/>
          <w:iCs w:val="1"/>
          <w:color w:val="auto"/>
        </w:rPr>
        <w:t>Delay or failure to complete the Tropicana Acquisition or dispositions would prevent the Company from realizing the anticipated benefits of the transactions.</w:t>
      </w:r>
    </w:p>
    <w:p>
      <w:pPr>
        <w:spacing w:after="0" w:line="62"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Any delay in completing the Tropicana Acquisition or dispositions may reduce the synergies, use of proceeds and other benefits that we anticipate if we successfully complete the transactions within the expected timeframe and integrate our business and the business of Tropicana. In addition, the market price of our common stock may reflect various market assumptions as to whether and when the Tropicana Acquisition and dispositions will be completed. Consequently, the completion of, the failure to complete, or any delay in the completion of the Tropicana Acquisition or dispositions could result in significant changes in the market price of our common stock.</w:t>
      </w:r>
    </w:p>
    <w:p>
      <w:pPr>
        <w:spacing w:after="0" w:line="29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The acquisition of Tropicana and the sale of Presque Isle Downs are subject to the receipt of approvals and clearances that may impose conditions that could have an adverse effect on us or, if not obtained, could prevent completion of the transactions. We may be required to pay significant reverse termination fee if we are unable to obtain regulatory approvals for the Tropicana Acquisition.</w:t>
      </w:r>
    </w:p>
    <w:p>
      <w:pPr>
        <w:spacing w:after="0" w:line="57" w:lineRule="exact"/>
        <w:rPr>
          <w:sz w:val="20"/>
          <w:szCs w:val="20"/>
          <w:color w:val="auto"/>
        </w:rPr>
      </w:pPr>
    </w:p>
    <w:p>
      <w:pPr>
        <w:ind w:right="20" w:firstLine="555"/>
        <w:spacing w:after="0" w:line="284" w:lineRule="auto"/>
        <w:rPr>
          <w:sz w:val="20"/>
          <w:szCs w:val="20"/>
          <w:color w:val="auto"/>
        </w:rPr>
      </w:pPr>
      <w:r>
        <w:rPr>
          <w:rFonts w:ascii="Arial" w:cs="Arial" w:eastAsia="Arial" w:hAnsi="Arial"/>
          <w:sz w:val="16"/>
          <w:szCs w:val="16"/>
          <w:color w:val="auto"/>
        </w:rPr>
        <w:t>Completion of each of the Tropicana Acquisition and dispositions is conditioned upon the receipt of certain governmental approvals, including, without limitation, gaming regulatory. There can be no assurance that these approvals will be obtained and that the other conditions to completing the acquisitions and dispositions will be satisfied in a timely fashion, or at all. In addition, the governmental authorities from which the regulatory approvals are required may impose conditions on the completion of the transactions or require changes to the terms of the agreements governing the transactions. Such conditions or changes and the process of obtaining regulatory approvals could have the effect of delaying or impeding consummation of the Acquisitions and dispositions or of imposing additional costs or limitations on us following completion of the transactions, any of which might have an adverse effect on</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us. The waiting period under the Hart-Scott-Rodino Antitrust Improvement Acts of 1976, as amended, has been terminated with respect to the Tropicana Acquisition and the Presque Isle Downs disposition.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if we fail to obtain required regulatory approvals for the Tropicana Acquisition, we may be required to pay a reverse termination fee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$92.5 million and could be liable for additional damages. Further, we have incurred and will continue to incur significant costs, such as legal, accounting,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similar costs, relating to the Tropicana Acquisition. We will be required to pay such costs whether or not the acquisition is consummated.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obligation to consummate the Tropicana Acquisition is not subject to a financing condition.</w:t>
      </w:r>
    </w:p>
    <w:p>
      <w:pPr>
        <w:spacing w:after="0" w:line="117" w:lineRule="exact"/>
        <w:rPr>
          <w:sz w:val="20"/>
          <w:szCs w:val="20"/>
          <w:color w:val="auto"/>
        </w:rPr>
      </w:pPr>
    </w:p>
    <w:p>
      <w:pPr>
        <w:ind w:right="240" w:firstLine="555"/>
        <w:spacing w:after="0" w:line="308" w:lineRule="auto"/>
        <w:rPr>
          <w:sz w:val="20"/>
          <w:szCs w:val="20"/>
          <w:color w:val="auto"/>
        </w:rPr>
      </w:pPr>
      <w:r>
        <w:rPr>
          <w:rFonts w:ascii="Arial" w:cs="Arial" w:eastAsia="Arial" w:hAnsi="Arial"/>
          <w:sz w:val="17"/>
          <w:szCs w:val="17"/>
          <w:color w:val="auto"/>
        </w:rPr>
        <w:t>Our obligation to consummate the Tropicana Acquisition is not subject to a financing condition. As a result, if we are unable to obtain financing to pay the consideration for such transaction we may be subject to liability for a breach of the agreement governing the acquisition.</w:t>
      </w:r>
    </w:p>
    <w:p>
      <w:pPr>
        <w:spacing w:after="0" w:line="14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We intend to finance a portion of the cash consideration that we are required to pay in connection with the Tropicana Acquisition with debt financing expected to be obtained pursuant to a $600.0 million commitment provided by J.P. Morgan (the “Commitment Letter”). We expected to issue at least $600.0 million of senior unsecured notes to finance such portion of the cash consideration, but if the notes are not issued and sold on or prior to the date of the consummation of Tropicana, the Commitment Letter contemplates that the lenders thereunder will make available at least $600.0 million in senior unsecured bridge loans under a senior unsecured credit facility. As a result, if financing cannot be obtained and the Tropicana Acquisition is not completed, we may be required to pay Tropicana damages, including a reverse termination fee of $92.5 million, or we may be compelled to specifically perform our obligation to consummate the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pending Tropicana Acquisition and dispositions may be disruptive to our business.</w:t>
      </w:r>
    </w:p>
    <w:p>
      <w:pPr>
        <w:spacing w:after="0" w:line="117" w:lineRule="exact"/>
        <w:rPr>
          <w:sz w:val="20"/>
          <w:szCs w:val="20"/>
          <w:color w:val="auto"/>
        </w:rPr>
      </w:pPr>
    </w:p>
    <w:p>
      <w:pPr>
        <w:ind w:right="60" w:firstLine="555"/>
        <w:spacing w:after="0" w:line="342" w:lineRule="auto"/>
        <w:rPr>
          <w:sz w:val="20"/>
          <w:szCs w:val="20"/>
          <w:color w:val="auto"/>
        </w:rPr>
      </w:pPr>
      <w:r>
        <w:rPr>
          <w:rFonts w:ascii="Arial" w:cs="Arial" w:eastAsia="Arial" w:hAnsi="Arial"/>
          <w:sz w:val="16"/>
          <w:szCs w:val="16"/>
          <w:color w:val="auto"/>
        </w:rPr>
        <w:t>Whether or not the Tropicana Acquisition or dispositions are completed, the pendency of the transactions could cause disruptions in our business and the business of Tropicana, which could have an adverse effect on our businesses and financial results. These disruptions could include the following:</w:t>
      </w:r>
    </w:p>
    <w:p>
      <w:pPr>
        <w:spacing w:after="0" w:line="16" w:lineRule="exact"/>
        <w:rPr>
          <w:sz w:val="20"/>
          <w:szCs w:val="20"/>
          <w:color w:val="auto"/>
        </w:rPr>
      </w:pPr>
    </w:p>
    <w:p>
      <w:pPr>
        <w:jc w:val="both"/>
        <w:ind w:left="1120" w:right="320" w:hanging="558"/>
        <w:spacing w:after="0" w:line="264"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and prospective employees may experience uncertainty about their future roles with the combined company or consider other employment alternatives, which might adversely affect our ability to retain or attract key managers and other employees and the ability of Tropicana to retain employees that we consider key to our future combined operations;</w:t>
      </w:r>
    </w:p>
    <w:p>
      <w:pPr>
        <w:spacing w:after="0" w:line="86"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and prospective customers may anticipate changes in how they are served or the benefits offered our loyalty reward program and may, as a result, choose to discontinue their patronage; and</w:t>
      </w:r>
    </w:p>
    <w:p>
      <w:pPr>
        <w:spacing w:after="0" w:line="75"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attention of our management may be diverted from the operation of our 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Litigation challenging the Tropicana Acquisition could delay or prevent the completion of the transaction.</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One of the conditions to the Tropicana Acquisition is that no temporary restraining order, preliminary or permanent injunction, or other judgment, order or decree issued by any court of competent jurisdiction or other legal restraint or prohibition preventing the consummation of the merger will be in effect; nor will there be any law, statute, ordinance, rule, regulation, order, policy, guideline or agency requirement enacted, entered, promulgated, enforced or deemed applicable by any governmental entity that prohibits or makes illegal the consummation of the merger. While we are not aware of any lawsuit that has been filed seeking the enjoin the Tropicana Acquisition, there can be no assurance that such a claim will not be filed by seeking damages relating to, or otherwise challenging, the acquisition. If the plaintiffs in any such action secure injunctive or other relief prohibiting, delaying or otherwise adversely affecting our ability or Tropicana’s ability to consummate the Tropicana Acquisition, then such injunctive or other relief may prevent the merger from becoming effective within the expected time frame or at all. If consummation of the Tropicana Acquisition is prevented or delayed, it could result in substantial costs to us or Tropicana. In addition, we and Tropicana could incur significant costs in connection with such lawsuits, including costs associated with the indemnification of directors and officers.</w:t>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integration of our operations with Tropicana and the Grand Victoria following the acquisitions may present significant challenges and impair our ability to realize the anticipated benefits of the acquisitions in the anticipated time frame or at all.</w:t>
      </w:r>
    </w:p>
    <w:p>
      <w:pPr>
        <w:spacing w:after="0" w:line="62"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Our ability to realize the anticipated benefits of the acquisitions will depend, to a large extent, on our ability to integrate the business of Tropicana and the Grand Victoria into our operations in the anticipated time frame or at all. We may face significant challenges in combining the operations of the acquired companies into our operations in a timely and efficient manner. The combination of independent businesses is a complex, costly and time-consuming process. As a result, we will be required to devote significant management attention and resources to integrating the business practices and operations of the acquired companies into our operations. The integration process may disrupt the business of the acquired properties and, if implemented ineffectively or inefficiently, could preclude realization of the full benefits that we expect. The failure to successfully integrate the acquired properties and to manage the challenges presented by the integration process successfully may result in an interruption of, or loss of momentum in, the combined business, which may have the effect of depressing the market price of our common stock following the closing of the transactions.</w:t>
      </w:r>
    </w:p>
    <w:p>
      <w:pPr>
        <w:spacing w:after="0" w:line="166"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color w:val="auto"/>
        </w:rPr>
        <w:t>In addition, while we expect to realize cost synergies from combining the sales and general and administrative functions of the acquired businesses with ours, we will be required to incur costs, including severance and related expenses, to realize the anticipated cost savings. While we believe that the combined entity will benefit from cost synergies, we may be unable to realize all of the expected cost synergies within the time frame expected or at all. In addition, we may incur additional or unexpected costs in order to realize these cost synergies.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Acquisitions may not be accretive and may cause dilution to our earnings per share, which may negatively affect the price of our common stock.</w:t>
      </w:r>
    </w:p>
    <w:p>
      <w:pPr>
        <w:spacing w:after="0" w:line="140"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currently anticipate that the acquisitions will be accretive to the earnings per share of the combined company in 2019. This expectation is based on preliminary estimates and assumes certain synergies expected to be realized by the combined company over a 12-month period following the completion of the acquisitions. Such estimates and assumptions could materially change due to additional transaction-related costs, delays in regulatory approvals, the failure to realize any or all of the benefits expected in the acquisitions or other factors beyond our control. All of these factors could delay, decrease or eliminate the expected accretive effect of the acquisitions and cause resulting dilution to our earnings per share or to the price of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will have a substantial amount of debt outstanding following the Acquisitions and we may incur additional indebtedness.</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expect that we will have approximately $2.8 billion of debt and an additional $110 million of other annual obligations relating to the Master Lease following the completion of the acquisitions and dispositions. In addition, we expect that our borrowing capacity under our revolving credit facility will be increased from $300 million to $500 million effective at the time of the consummation of the Tropicana Acquisition and that we will have the ability to incur additional debt under the increased facility revolving credit facility. We incurred debt under our revolving credit facility to purchase Elgin and may be required to incur indebtedness in excess of the $600 million of committed financing to fund the consideration payable under the Tropicana Acquisition. In addition, we may incur debt to finance costs associated with the development of a mixed-use entertainment and hospitality destination expected to be located on unused land adjacent to the Pompano casino and racetrack. As a result of the increased levels of outstanding indebtedness following the acquisitions and rent payments under the Master Lease, future interest expense, rent and debt service obligations will be significantly higher than our historic interest expense and other obligations associated with financing.</w:t>
      </w:r>
    </w:p>
    <w:p>
      <w:pPr>
        <w:spacing w:after="0" w:line="28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5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42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24"/>
                <w:szCs w:val="24"/>
                <w:color w:val="auto"/>
              </w:rPr>
            </w:pPr>
          </w:p>
        </w:tc>
        <w:tc>
          <w:tcPr>
            <w:tcW w:w="28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74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40"/>
          </w:cols>
          <w:pgMar w:left="240" w:top="337" w:right="219" w:bottom="1440" w:gutter="0" w:footer="0" w:header="0"/>
        </w:sectPr>
      </w:pPr>
    </w:p>
    <w:tbl>
      <w:tblPr>
        <w:tblLayout w:type="fixed"/>
        <w:tblInd w:w="220" w:type="dxa"/>
        <w:tblCellMar>
          <w:top w:w="0" w:type="dxa"/>
          <w:left w:w="0" w:type="dxa"/>
          <w:bottom w:w="0" w:type="dxa"/>
          <w:right w:w="0" w:type="dxa"/>
        </w:tblCellMar>
      </w:tblPr>
      <w:tr>
        <w:trPr>
          <w:trHeight w:val="207"/>
        </w:trPr>
        <w:tc>
          <w:tcPr>
            <w:tcW w:w="820" w:type="dxa"/>
            <w:vAlign w:val="bottom"/>
          </w:tcPr>
          <w:p>
            <w:pPr>
              <w:ind w:left="20"/>
              <w:spacing w:after="0"/>
              <w:rPr>
                <w:sz w:val="20"/>
                <w:szCs w:val="20"/>
                <w:color w:val="auto"/>
              </w:rPr>
            </w:pPr>
            <w:r>
              <w:rPr>
                <w:rFonts w:ascii="Arial" w:cs="Arial" w:eastAsia="Arial" w:hAnsi="Arial"/>
                <w:sz w:val="18"/>
                <w:szCs w:val="18"/>
                <w:color w:val="auto"/>
              </w:rPr>
              <w:t>2.1</w:t>
            </w:r>
          </w:p>
        </w:tc>
        <w:tc>
          <w:tcPr>
            <w:tcW w:w="7140" w:type="dxa"/>
            <w:vAlign w:val="bottom"/>
            <w:tcBorders>
              <w:bottom w:val="single" w:sz="8" w:color="0000EE"/>
            </w:tcBorders>
            <w:gridSpan w:val="8"/>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Agreement and Plan of Merger by and among Eldorado Resorts, Inc., Delta Merger Sub, Inc., GLP</w:t>
              </w:r>
            </w:hyperlink>
          </w:p>
        </w:tc>
        <w:tc>
          <w:tcPr>
            <w:tcW w:w="2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7380" w:type="dxa"/>
            <w:vAlign w:val="bottom"/>
            <w:gridSpan w:val="9"/>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Capital, L.P. and Tropicana Entertainment Inc., dated as of April 15, 2018</w:t>
              </w:r>
            </w:hyperlink>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2.2</w:t>
            </w:r>
          </w:p>
        </w:tc>
        <w:tc>
          <w:tcPr>
            <w:tcW w:w="7380" w:type="dxa"/>
            <w:vAlign w:val="bottom"/>
            <w:gridSpan w:val="9"/>
          </w:tcPr>
          <w:p>
            <w:pPr>
              <w:spacing w:after="0"/>
              <w:rPr>
                <w:rFonts w:ascii="Arial" w:cs="Arial" w:eastAsia="Arial" w:hAnsi="Arial"/>
                <w:sz w:val="18"/>
                <w:szCs w:val="18"/>
                <w:color w:val="0000EE"/>
                <w:w w:val="95"/>
              </w:rPr>
            </w:pPr>
            <w:hyperlink r:id="rId82">
              <w:r>
                <w:rPr>
                  <w:rFonts w:ascii="Arial" w:cs="Arial" w:eastAsia="Arial" w:hAnsi="Arial"/>
                  <w:sz w:val="18"/>
                  <w:szCs w:val="18"/>
                  <w:color w:val="0000EE"/>
                  <w:w w:val="95"/>
                </w:rPr>
                <w:t>Interest Purchase Agreement by and among MGM Elgin Sub, Inc., Illinois RBG, L.L.C., Eldorado</w:t>
              </w:r>
            </w:hyperlink>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73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Resorts, Inc., Elgin Holdings I LLC, Elgin Holdings II LLC, Elgin Riverboat Resort-Riverboat Casino</w:t>
              </w:r>
            </w:hyperlink>
          </w:p>
        </w:tc>
      </w:tr>
      <w:tr>
        <w:trPr>
          <w:trHeight w:val="196"/>
        </w:trPr>
        <w:tc>
          <w:tcPr>
            <w:tcW w:w="820" w:type="dxa"/>
            <w:vAlign w:val="bottom"/>
          </w:tcPr>
          <w:p>
            <w:pPr>
              <w:spacing w:after="0"/>
              <w:rPr>
                <w:sz w:val="17"/>
                <w:szCs w:val="17"/>
                <w:color w:val="auto"/>
              </w:rPr>
            </w:pPr>
          </w:p>
        </w:tc>
        <w:tc>
          <w:tcPr>
            <w:tcW w:w="7380" w:type="dxa"/>
            <w:vAlign w:val="bottom"/>
            <w:gridSpan w:val="9"/>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and MGM Resorts International, dated as of April 15, 2018</w:t>
              </w:r>
            </w:hyperlink>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3.1</w:t>
            </w:r>
          </w:p>
        </w:tc>
        <w:tc>
          <w:tcPr>
            <w:tcW w:w="738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Certificate of Amendment to Articles of Incorporation, dated June 28, 2018</w:t>
              </w:r>
            </w:hyperlink>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7380" w:type="dxa"/>
            <w:vAlign w:val="bottom"/>
            <w:gridSpan w:val="9"/>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Fifth Supplemental Indenture, dated as of June 18, 2018, by and among Eldorado Resorts, Inc., the</w:t>
              </w:r>
            </w:hyperlink>
          </w:p>
        </w:tc>
      </w:tr>
      <w:tr>
        <w:trPr>
          <w:trHeight w:val="196"/>
        </w:trPr>
        <w:tc>
          <w:tcPr>
            <w:tcW w:w="8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guarantors party thereto and U.S. Bank National Association, as Trustee, under the 2023 Notes</w:t>
              </w:r>
            </w:hyperlink>
          </w:p>
        </w:tc>
        <w:tc>
          <w:tcPr>
            <w:tcW w:w="28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Indenture</w:t>
              </w:r>
            </w:hyperlink>
          </w:p>
        </w:tc>
        <w:tc>
          <w:tcPr>
            <w:tcW w:w="6680" w:type="dxa"/>
            <w:vAlign w:val="bottom"/>
            <w:gridSpan w:val="8"/>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Previously filed on Form 8-K filed on April 16, 2018.</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Previously filed on Form 8-K filed on April 16,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45" w:lineRule="exact"/>
        <w:rPr>
          <w:sz w:val="20"/>
          <w:szCs w:val="20"/>
          <w:color w:val="auto"/>
        </w:rPr>
      </w:pPr>
    </w:p>
    <w:p>
      <w:pPr>
        <w:sectPr>
          <w:pgSz w:w="11900" w:h="16838" w:orient="portrait"/>
          <w:cols w:equalWidth="0" w:num="2">
            <w:col w:w="8420" w:space="160"/>
            <w:col w:w="2860"/>
          </w:cols>
          <w:pgMar w:left="240" w:top="33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4.2</w:t>
            </w:r>
          </w:p>
        </w:tc>
        <w:tc>
          <w:tcPr>
            <w:tcW w:w="7420" w:type="dxa"/>
            <w:vAlign w:val="bottom"/>
            <w:gridSpan w:val="11"/>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Second Supplemental Indenture, dated as of June 18, 2018, by and among Eldorado Resorts, Inc., the</w:t>
              </w:r>
            </w:hyperlink>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96"/>
        </w:trPr>
        <w:tc>
          <w:tcPr>
            <w:tcW w:w="104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guarantors party thereto and U.S. Bank National Association, as Trustee, under the 2025 Notes</w:t>
              </w:r>
            </w:hyperlink>
          </w:p>
        </w:tc>
        <w:tc>
          <w:tcPr>
            <w:tcW w:w="46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Indenture</w:t>
              </w:r>
            </w:hyperlink>
          </w:p>
        </w:tc>
        <w:tc>
          <w:tcPr>
            <w:tcW w:w="6720" w:type="dxa"/>
            <w:vAlign w:val="bottom"/>
            <w:gridSpan w:val="10"/>
          </w:tcPr>
          <w:p>
            <w:pPr>
              <w:spacing w:after="0"/>
              <w:rPr>
                <w:sz w:val="17"/>
                <w:szCs w:val="17"/>
                <w:color w:val="auto"/>
              </w:rPr>
            </w:pPr>
          </w:p>
        </w:tc>
        <w:tc>
          <w:tcPr>
            <w:tcW w:w="2980" w:type="dxa"/>
            <w:vAlign w:val="bottom"/>
          </w:tcPr>
          <w:p>
            <w:pPr>
              <w:spacing w:after="0"/>
              <w:rPr>
                <w:sz w:val="17"/>
                <w:szCs w:val="17"/>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4.3</w:t>
            </w:r>
          </w:p>
        </w:tc>
        <w:tc>
          <w:tcPr>
            <w:tcW w:w="72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Sixth Supplemental Indenture, dated as of August 7, 2018, by and among Eldorado Resorts, Inc., the</w:t>
              </w:r>
            </w:hyperlink>
          </w:p>
        </w:tc>
        <w:tc>
          <w:tcPr>
            <w:tcW w:w="160" w:type="dxa"/>
            <w:vAlign w:val="bottom"/>
            <w:gridSpan w:val="3"/>
          </w:tcPr>
          <w:p>
            <w:pPr>
              <w:spacing w:after="0"/>
              <w:rPr>
                <w:sz w:val="24"/>
                <w:szCs w:val="24"/>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96"/>
        </w:trPr>
        <w:tc>
          <w:tcPr>
            <w:tcW w:w="1040" w:type="dxa"/>
            <w:vAlign w:val="bottom"/>
          </w:tcPr>
          <w:p>
            <w:pPr>
              <w:spacing w:after="0"/>
              <w:rPr>
                <w:sz w:val="17"/>
                <w:szCs w:val="17"/>
                <w:color w:val="auto"/>
              </w:rPr>
            </w:pPr>
          </w:p>
        </w:tc>
        <w:tc>
          <w:tcPr>
            <w:tcW w:w="6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guarantors party thereto and U.S. Bank National Association, as Trustee, under the 2023 Notes</w:t>
              </w:r>
            </w:hyperlink>
          </w:p>
        </w:tc>
        <w:tc>
          <w:tcPr>
            <w:tcW w:w="580" w:type="dxa"/>
            <w:vAlign w:val="bottom"/>
            <w:gridSpan w:val="4"/>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Indenture</w:t>
              </w:r>
            </w:hyperlink>
          </w:p>
        </w:tc>
        <w:tc>
          <w:tcPr>
            <w:tcW w:w="6720" w:type="dxa"/>
            <w:vAlign w:val="bottom"/>
            <w:gridSpan w:val="10"/>
          </w:tcPr>
          <w:p>
            <w:pPr>
              <w:spacing w:after="0"/>
              <w:rPr>
                <w:sz w:val="17"/>
                <w:szCs w:val="17"/>
                <w:color w:val="auto"/>
              </w:rPr>
            </w:pPr>
          </w:p>
        </w:tc>
        <w:tc>
          <w:tcPr>
            <w:tcW w:w="2980" w:type="dxa"/>
            <w:vAlign w:val="bottom"/>
          </w:tcPr>
          <w:p>
            <w:pPr>
              <w:spacing w:after="0"/>
              <w:rPr>
                <w:sz w:val="17"/>
                <w:szCs w:val="17"/>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4.4</w:t>
            </w:r>
          </w:p>
        </w:tc>
        <w:tc>
          <w:tcPr>
            <w:tcW w:w="72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Third Supplemental Indenture, dated as of August 7, 2018, by and among Eldorado Resorts, Inc., the</w:t>
              </w:r>
            </w:hyperlink>
          </w:p>
        </w:tc>
        <w:tc>
          <w:tcPr>
            <w:tcW w:w="140" w:type="dxa"/>
            <w:vAlign w:val="bottom"/>
            <w:gridSpan w:val="2"/>
          </w:tcPr>
          <w:p>
            <w:pPr>
              <w:spacing w:after="0"/>
              <w:rPr>
                <w:sz w:val="24"/>
                <w:szCs w:val="24"/>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96"/>
        </w:trPr>
        <w:tc>
          <w:tcPr>
            <w:tcW w:w="1040" w:type="dxa"/>
            <w:vAlign w:val="bottom"/>
          </w:tcPr>
          <w:p>
            <w:pPr>
              <w:spacing w:after="0"/>
              <w:rPr>
                <w:sz w:val="17"/>
                <w:szCs w:val="17"/>
                <w:color w:val="auto"/>
              </w:rPr>
            </w:pPr>
          </w:p>
        </w:tc>
        <w:tc>
          <w:tcPr>
            <w:tcW w:w="6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guarantors party thereto and U.S. Bank National Association, as Trustee, under the 2025 Notes</w:t>
              </w:r>
            </w:hyperlink>
          </w:p>
        </w:tc>
        <w:tc>
          <w:tcPr>
            <w:tcW w:w="580" w:type="dxa"/>
            <w:vAlign w:val="bottom"/>
            <w:gridSpan w:val="4"/>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Indenture</w:t>
              </w:r>
            </w:hyperlink>
          </w:p>
        </w:tc>
        <w:tc>
          <w:tcPr>
            <w:tcW w:w="6720" w:type="dxa"/>
            <w:vAlign w:val="bottom"/>
            <w:gridSpan w:val="10"/>
          </w:tcPr>
          <w:p>
            <w:pPr>
              <w:spacing w:after="0"/>
              <w:rPr>
                <w:sz w:val="17"/>
                <w:szCs w:val="17"/>
                <w:color w:val="auto"/>
              </w:rPr>
            </w:pPr>
          </w:p>
        </w:tc>
        <w:tc>
          <w:tcPr>
            <w:tcW w:w="2980" w:type="dxa"/>
            <w:vAlign w:val="bottom"/>
          </w:tcPr>
          <w:p>
            <w:pPr>
              <w:spacing w:after="0"/>
              <w:rPr>
                <w:sz w:val="17"/>
                <w:szCs w:val="17"/>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10.1</w:t>
            </w:r>
          </w:p>
        </w:tc>
        <w:tc>
          <w:tcPr>
            <w:tcW w:w="7420" w:type="dxa"/>
            <w:vAlign w:val="bottom"/>
            <w:gridSpan w:val="11"/>
          </w:tcPr>
          <w:p>
            <w:pPr>
              <w:spacing w:after="0"/>
              <w:rPr>
                <w:rFonts w:ascii="Arial" w:cs="Arial" w:eastAsia="Arial" w:hAnsi="Arial"/>
                <w:sz w:val="18"/>
                <w:szCs w:val="18"/>
                <w:color w:val="0000EE"/>
                <w:w w:val="97"/>
              </w:rPr>
            </w:pPr>
            <w:hyperlink w:anchor="page76">
              <w:r>
                <w:rPr>
                  <w:rFonts w:ascii="Arial" w:cs="Arial" w:eastAsia="Arial" w:hAnsi="Arial"/>
                  <w:sz w:val="18"/>
                  <w:szCs w:val="18"/>
                  <w:color w:val="0000EE"/>
                  <w:w w:val="97"/>
                </w:rPr>
                <w:t>Amendment Agreement No. 2, dated June 6, 2018, by and between Eldorado Resorts, Inc. and</w:t>
              </w:r>
            </w:hyperlink>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JPMorgan Chase, N.A., as administrative agent in connection with the Credit Agreement, dated as of</w:t>
              </w:r>
            </w:hyperlink>
          </w:p>
        </w:tc>
        <w:tc>
          <w:tcPr>
            <w:tcW w:w="14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420" w:type="dxa"/>
            <w:vAlign w:val="bottom"/>
            <w:gridSpan w:val="1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April 17, 2017</w:t>
              </w:r>
            </w:hyperlink>
          </w:p>
        </w:tc>
        <w:tc>
          <w:tcPr>
            <w:tcW w:w="29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7420" w:type="dxa"/>
            <w:vAlign w:val="bottom"/>
            <w:gridSpan w:val="11"/>
          </w:tcPr>
          <w:p>
            <w:pPr>
              <w:spacing w:after="0" w:line="207" w:lineRule="exact"/>
              <w:rPr>
                <w:rFonts w:ascii="Arial" w:cs="Arial" w:eastAsia="Arial" w:hAnsi="Arial"/>
                <w:sz w:val="18"/>
                <w:szCs w:val="18"/>
                <w:color w:val="0000EE"/>
              </w:rPr>
            </w:pPr>
            <w:hyperlink w:anchor="page99">
              <w:r>
                <w:rPr>
                  <w:rFonts w:ascii="Arial" w:cs="Arial" w:eastAsia="Arial" w:hAnsi="Arial"/>
                  <w:sz w:val="18"/>
                  <w:szCs w:val="18"/>
                  <w:color w:val="0000EE"/>
                </w:rPr>
                <w:t>Certification of Gary L. Carano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544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7420" w:type="dxa"/>
            <w:vAlign w:val="bottom"/>
            <w:gridSpan w:val="11"/>
          </w:tcPr>
          <w:p>
            <w:pPr>
              <w:spacing w:after="0" w:line="207" w:lineRule="exact"/>
              <w:rPr>
                <w:rFonts w:ascii="Arial" w:cs="Arial" w:eastAsia="Arial" w:hAnsi="Arial"/>
                <w:sz w:val="18"/>
                <w:szCs w:val="18"/>
                <w:color w:val="0000EE"/>
              </w:rPr>
            </w:pPr>
            <w:hyperlink w:anchor="page100">
              <w:r>
                <w:rPr>
                  <w:rFonts w:ascii="Arial" w:cs="Arial" w:eastAsia="Arial" w:hAnsi="Arial"/>
                  <w:sz w:val="18"/>
                  <w:szCs w:val="18"/>
                  <w:color w:val="0000EE"/>
                </w:rPr>
                <w:t>Certification of Thomas R. Reeg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5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Gary L. Carano in accordance with 18 U.S.C. Section 1350</w:t>
              </w:r>
            </w:hyperlink>
          </w:p>
        </w:tc>
        <w:tc>
          <w:tcPr>
            <w:tcW w:w="220" w:type="dxa"/>
            <w:vAlign w:val="bottom"/>
            <w:tcBorders>
              <w:top w:val="single" w:sz="8" w:color="0000EE"/>
            </w:tcBorders>
            <w:gridSpan w:val="2"/>
          </w:tcPr>
          <w:p>
            <w:pPr>
              <w:spacing w:after="0"/>
              <w:rPr>
                <w:sz w:val="24"/>
                <w:szCs w:val="24"/>
                <w:color w:val="auto"/>
              </w:rPr>
            </w:pPr>
          </w:p>
        </w:tc>
        <w:tc>
          <w:tcPr>
            <w:tcW w:w="1760" w:type="dxa"/>
            <w:vAlign w:val="bottom"/>
            <w:gridSpan w:val="6"/>
          </w:tcPr>
          <w:p>
            <w:pPr>
              <w:spacing w:after="0"/>
              <w:rPr>
                <w:sz w:val="24"/>
                <w:szCs w:val="24"/>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32.2</w:t>
            </w:r>
          </w:p>
        </w:tc>
        <w:tc>
          <w:tcPr>
            <w:tcW w:w="5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Certification of Thomas R. Reeg in accordance with 18 U.S.C. Section 1350</w:t>
              </w:r>
            </w:hyperlink>
          </w:p>
        </w:tc>
        <w:tc>
          <w:tcPr>
            <w:tcW w:w="1840" w:type="dxa"/>
            <w:vAlign w:val="bottom"/>
            <w:gridSpan w:val="7"/>
          </w:tcPr>
          <w:p>
            <w:pPr>
              <w:spacing w:after="0"/>
              <w:rPr>
                <w:sz w:val="24"/>
                <w:szCs w:val="24"/>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5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101.1</w:t>
            </w:r>
          </w:p>
        </w:tc>
        <w:tc>
          <w:tcPr>
            <w:tcW w:w="74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101.2</w:t>
            </w:r>
          </w:p>
        </w:tc>
        <w:tc>
          <w:tcPr>
            <w:tcW w:w="74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101.3</w:t>
            </w:r>
          </w:p>
        </w:tc>
        <w:tc>
          <w:tcPr>
            <w:tcW w:w="74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101.4</w:t>
            </w:r>
          </w:p>
        </w:tc>
        <w:tc>
          <w:tcPr>
            <w:tcW w:w="74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101.5</w:t>
            </w:r>
          </w:p>
        </w:tc>
        <w:tc>
          <w:tcPr>
            <w:tcW w:w="74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101.6</w:t>
            </w:r>
          </w:p>
        </w:tc>
        <w:tc>
          <w:tcPr>
            <w:tcW w:w="74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662"/>
        </w:trPr>
        <w:tc>
          <w:tcPr>
            <w:tcW w:w="1040" w:type="dxa"/>
            <w:vAlign w:val="bottom"/>
          </w:tcPr>
          <w:p>
            <w:pPr>
              <w:spacing w:after="0"/>
              <w:rPr>
                <w:sz w:val="24"/>
                <w:szCs w:val="24"/>
                <w:color w:val="auto"/>
              </w:rPr>
            </w:pPr>
          </w:p>
        </w:tc>
        <w:tc>
          <w:tcPr>
            <w:tcW w:w="5440" w:type="dxa"/>
            <w:vAlign w:val="bottom"/>
            <w:gridSpan w:val="3"/>
          </w:tcPr>
          <w:p>
            <w:pPr>
              <w:ind w:left="45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7, 2018</w:t>
            </w:r>
          </w:p>
        </w:tc>
        <w:tc>
          <w:tcPr>
            <w:tcW w:w="328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w:t>
            </w:r>
            <w:r>
              <w:rPr>
                <w:rFonts w:ascii="Arial" w:cs="Arial" w:eastAsia="Arial" w:hAnsi="Arial"/>
                <w:sz w:val="12"/>
                <w:szCs w:val="12"/>
                <w:color w:val="auto"/>
                <w:w w:val="97"/>
              </w:rPr>
              <w:t>ARY</w:t>
            </w:r>
            <w:r>
              <w:rPr>
                <w:rFonts w:ascii="Arial" w:cs="Arial" w:eastAsia="Arial" w:hAnsi="Arial"/>
                <w:sz w:val="18"/>
                <w:szCs w:val="18"/>
                <w:color w:val="auto"/>
                <w:w w:val="97"/>
              </w:rPr>
              <w:t xml:space="preserve"> L. C</w:t>
            </w:r>
            <w:r>
              <w:rPr>
                <w:rFonts w:ascii="Arial" w:cs="Arial" w:eastAsia="Arial" w:hAnsi="Arial"/>
                <w:sz w:val="12"/>
                <w:szCs w:val="12"/>
                <w:color w:val="auto"/>
                <w:w w:val="97"/>
              </w:rPr>
              <w:t>ARANO</w:t>
            </w:r>
          </w:p>
        </w:tc>
      </w:tr>
      <w:tr>
        <w:trPr>
          <w:trHeight w:val="195"/>
        </w:trPr>
        <w:tc>
          <w:tcPr>
            <w:tcW w:w="3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0"/>
              </w:rPr>
              <w:t>Gary L. Carano</w:t>
            </w:r>
          </w:p>
        </w:tc>
      </w:tr>
      <w:tr>
        <w:trPr>
          <w:trHeight w:val="230"/>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Chairman of the Board</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7, 2018</w:t>
            </w:r>
          </w:p>
        </w:tc>
        <w:tc>
          <w:tcPr>
            <w:tcW w:w="328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16"/>
        </w:trPr>
        <w:tc>
          <w:tcPr>
            <w:tcW w:w="3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Financial Officer</w:t>
            </w:r>
          </w:p>
        </w:tc>
      </w:tr>
      <w:tr>
        <w:trPr>
          <w:trHeight w:val="230"/>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648"/>
        </w:trPr>
        <w:tc>
          <w:tcPr>
            <w:tcW w:w="3580" w:type="dxa"/>
            <w:vAlign w:val="bottom"/>
          </w:tcPr>
          <w:p>
            <w:pPr>
              <w:spacing w:after="0"/>
              <w:rPr>
                <w:sz w:val="24"/>
                <w:szCs w:val="24"/>
                <w:color w:val="auto"/>
              </w:rPr>
            </w:pPr>
          </w:p>
        </w:tc>
        <w:tc>
          <w:tcPr>
            <w:tcW w:w="3280" w:type="dxa"/>
            <w:vAlign w:val="bottom"/>
          </w:tcPr>
          <w:p>
            <w:pPr>
              <w:jc w:val="right"/>
              <w:ind w:right="970"/>
              <w:spacing w:after="0"/>
              <w:rPr>
                <w:sz w:val="20"/>
                <w:szCs w:val="20"/>
                <w:color w:val="auto"/>
              </w:rPr>
            </w:pPr>
            <w:r>
              <w:rPr>
                <w:rFonts w:ascii="Arial" w:cs="Arial" w:eastAsia="Arial" w:hAnsi="Arial"/>
                <w:sz w:val="18"/>
                <w:szCs w:val="18"/>
                <w:color w:val="auto"/>
              </w:rPr>
              <w:t>57</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8" w:name="page59"/>
    <w:bookmarkEnd w:id="58"/>
    <w:p>
      <w:pPr>
        <w:spacing w:after="0" w:line="248"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668655" cy="660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68655" cy="660400"/>
                    </a:xfrm>
                    <a:prstGeom prst="rect">
                      <a:avLst/>
                    </a:prstGeom>
                    <a:noFill/>
                  </pic:spPr>
                </pic:pic>
              </a:graphicData>
            </a:graphic>
          </wp:anchor>
        </w:drawing>
      </w:r>
    </w:p>
    <w:p>
      <w:pPr>
        <w:ind w:left="1660"/>
        <w:spacing w:after="0" w:line="226" w:lineRule="auto"/>
        <w:rPr>
          <w:sz w:val="20"/>
          <w:szCs w:val="20"/>
          <w:color w:val="auto"/>
        </w:rPr>
      </w:pPr>
      <w:r>
        <w:rPr>
          <w:rFonts w:ascii="Arial" w:cs="Arial" w:eastAsia="Arial" w:hAnsi="Arial"/>
          <w:sz w:val="14"/>
          <w:szCs w:val="14"/>
          <w:b w:val="1"/>
          <w:bCs w:val="1"/>
          <w:color w:val="auto"/>
        </w:rPr>
        <w:t>Secretary of State</w:t>
      </w:r>
    </w:p>
    <w:p>
      <w:pPr>
        <w:ind w:left="1660"/>
        <w:spacing w:after="0" w:line="222" w:lineRule="auto"/>
        <w:rPr>
          <w:sz w:val="20"/>
          <w:szCs w:val="20"/>
          <w:color w:val="auto"/>
        </w:rPr>
      </w:pPr>
      <w:r>
        <w:rPr>
          <w:rFonts w:ascii="Arial" w:cs="Arial" w:eastAsia="Arial" w:hAnsi="Arial"/>
          <w:sz w:val="14"/>
          <w:szCs w:val="14"/>
          <w:b w:val="1"/>
          <w:bCs w:val="1"/>
          <w:color w:val="auto"/>
        </w:rPr>
        <w:t>202 North Carson Street</w:t>
      </w:r>
    </w:p>
    <w:p>
      <w:pPr>
        <w:ind w:left="1660"/>
        <w:spacing w:after="0"/>
        <w:rPr>
          <w:sz w:val="20"/>
          <w:szCs w:val="20"/>
          <w:color w:val="auto"/>
        </w:rPr>
      </w:pPr>
      <w:r>
        <w:rPr>
          <w:rFonts w:ascii="Arial" w:cs="Arial" w:eastAsia="Arial" w:hAnsi="Arial"/>
          <w:sz w:val="13"/>
          <w:szCs w:val="13"/>
          <w:b w:val="1"/>
          <w:bCs w:val="1"/>
          <w:color w:val="auto"/>
        </w:rPr>
        <w:t>Carson City, Nevada 89701-4201</w:t>
      </w:r>
    </w:p>
    <w:p>
      <w:pPr>
        <w:ind w:left="1660"/>
        <w:spacing w:after="0" w:line="221" w:lineRule="auto"/>
        <w:rPr>
          <w:sz w:val="20"/>
          <w:szCs w:val="20"/>
          <w:color w:val="auto"/>
        </w:rPr>
      </w:pPr>
      <w:r>
        <w:rPr>
          <w:rFonts w:ascii="Arial" w:cs="Arial" w:eastAsia="Arial" w:hAnsi="Arial"/>
          <w:sz w:val="14"/>
          <w:szCs w:val="14"/>
          <w:b w:val="1"/>
          <w:bCs w:val="1"/>
          <w:color w:val="auto"/>
        </w:rPr>
        <w:t>(775) 684-5708</w:t>
      </w:r>
    </w:p>
    <w:p>
      <w:pPr>
        <w:ind w:left="1660"/>
        <w:spacing w:after="0"/>
        <w:rPr>
          <w:sz w:val="20"/>
          <w:szCs w:val="20"/>
          <w:color w:val="auto"/>
        </w:rPr>
      </w:pPr>
      <w:r>
        <w:rPr>
          <w:rFonts w:ascii="Arial" w:cs="Arial" w:eastAsia="Arial" w:hAnsi="Arial"/>
          <w:sz w:val="14"/>
          <w:szCs w:val="14"/>
          <w:b w:val="1"/>
          <w:bCs w:val="1"/>
          <w:color w:val="auto"/>
        </w:rPr>
        <w:t>Website: www.nvsos.gov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Exhibit 3.1</w:t>
      </w:r>
    </w:p>
    <w:p>
      <w:pPr>
        <w:spacing w:after="0" w:line="1149" w:lineRule="exact"/>
        <w:rPr>
          <w:sz w:val="20"/>
          <w:szCs w:val="20"/>
          <w:color w:val="auto"/>
        </w:rPr>
      </w:pPr>
    </w:p>
    <w:p>
      <w:pPr>
        <w:sectPr>
          <w:pgSz w:w="11900" w:h="16838" w:orient="portrait"/>
          <w:cols w:equalWidth="0" w:num="2">
            <w:col w:w="9700" w:space="720"/>
            <w:col w:w="1020"/>
          </w:cols>
          <w:pgMar w:left="240" w:top="11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auto"/>
        </w:rPr>
        <w:t>Certificate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490595"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90595" cy="266065"/>
                    </a:xfrm>
                    <a:prstGeom prst="rect">
                      <a:avLst/>
                    </a:prstGeom>
                    <a:noFill/>
                  </pic:spPr>
                </pic:pic>
              </a:graphicData>
            </a:graphic>
          </wp:anchor>
        </w:drawing>
      </w:r>
    </w:p>
    <w:p>
      <w:pPr>
        <w:spacing w:after="0" w:line="2"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(PURSUANT TO NRS 78.385 AND 78.390)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Filed in the office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/s/Barbara K. Cegavske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Barbara K. Cegavske Secretary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Nevada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Document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-98425</wp:posOffset>
            </wp:positionV>
            <wp:extent cx="3395980" cy="831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95980" cy="8318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20180288973-38</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Filing Date and Time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06/28/2018 8:00 AM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Entity Number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E0435072013-1</w:t>
      </w:r>
    </w:p>
    <w:p>
      <w:pPr>
        <w:spacing w:after="0" w:line="228" w:lineRule="exact"/>
        <w:rPr>
          <w:sz w:val="20"/>
          <w:szCs w:val="20"/>
          <w:color w:val="auto"/>
        </w:rPr>
      </w:pPr>
    </w:p>
    <w:p>
      <w:pPr>
        <w:sectPr>
          <w:pgSz w:w="11900" w:h="16838" w:orient="portrait"/>
          <w:cols w:equalWidth="0" w:num="3">
            <w:col w:w="5360" w:space="720"/>
            <w:col w:w="2460" w:space="240"/>
            <w:col w:w="2660"/>
          </w:cols>
          <w:pgMar w:left="240" w:top="112" w:right="21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USE BLACK INK ONLY </w:t>
      </w:r>
      <w:r>
        <w:rPr>
          <w:rFonts w:ascii="Arial" w:cs="Arial" w:eastAsia="Arial" w:hAnsi="Arial"/>
          <w:sz w:val="14"/>
          <w:szCs w:val="14"/>
          <w:color w:val="auto"/>
        </w:rPr>
        <w:t>•</w:t>
      </w:r>
      <w:r>
        <w:rPr>
          <w:rFonts w:ascii="Arial" w:cs="Arial" w:eastAsia="Arial" w:hAnsi="Arial"/>
          <w:sz w:val="14"/>
          <w:szCs w:val="14"/>
          <w:b w:val="1"/>
          <w:bCs w:val="1"/>
          <w:color w:val="auto"/>
        </w:rPr>
        <w:t xml:space="preserve"> DO NOT HIGHLIGHT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ABOVE SPACE IS FOR OFFICE USE ONLY</w:t>
      </w:r>
    </w:p>
    <w:p>
      <w:pPr>
        <w:spacing w:after="0" w:line="199" w:lineRule="exact"/>
        <w:rPr>
          <w:sz w:val="20"/>
          <w:szCs w:val="20"/>
          <w:color w:val="auto"/>
        </w:rPr>
      </w:pPr>
    </w:p>
    <w:p>
      <w:pPr>
        <w:sectPr>
          <w:pgSz w:w="11900" w:h="16838" w:orient="portrait"/>
          <w:cols w:equalWidth="0" w:num="2">
            <w:col w:w="6160" w:space="720"/>
            <w:col w:w="4560"/>
          </w:cols>
          <w:pgMar w:left="240" w:top="112" w:right="219" w:bottom="1440" w:gutter="0" w:footer="0" w:header="0"/>
          <w:type w:val="continuous"/>
        </w:sectPr>
      </w:pPr>
    </w:p>
    <w:p>
      <w:pPr>
        <w:jc w:val="center"/>
        <w:ind w:right="20"/>
        <w:spacing w:after="0" w:line="243" w:lineRule="auto"/>
        <w:rPr>
          <w:sz w:val="20"/>
          <w:szCs w:val="20"/>
          <w:color w:val="auto"/>
        </w:rPr>
      </w:pPr>
      <w:r>
        <w:rPr>
          <w:rFonts w:ascii="Arial" w:cs="Arial" w:eastAsia="Arial" w:hAnsi="Arial"/>
          <w:sz w:val="22"/>
          <w:szCs w:val="22"/>
          <w:b w:val="1"/>
          <w:bCs w:val="1"/>
          <w:u w:val="single" w:color="auto"/>
          <w:color w:val="auto"/>
        </w:rPr>
        <w:t xml:space="preserve">Certificate of Amendment to Articles of Incorporation For Nevada Profit Corporations </w:t>
      </w:r>
      <w:r>
        <w:rPr>
          <w:rFonts w:ascii="Arial" w:cs="Arial" w:eastAsia="Arial" w:hAnsi="Arial"/>
          <w:sz w:val="22"/>
          <w:szCs w:val="22"/>
          <w:b w:val="1"/>
          <w:bCs w:val="1"/>
          <w:color w:val="auto"/>
        </w:rPr>
        <w:t>(Pursuant to NRS 78.385 and 78.390 - After Issuance of Stock)</w:t>
      </w:r>
    </w:p>
    <w:p>
      <w:pPr>
        <w:spacing w:after="0" w:line="183" w:lineRule="exact"/>
        <w:rPr>
          <w:sz w:val="20"/>
          <w:szCs w:val="20"/>
          <w:color w:val="auto"/>
        </w:rPr>
      </w:pPr>
    </w:p>
    <w:p>
      <w:pPr>
        <w:ind w:left="20" w:right="9300" w:hanging="12"/>
        <w:spacing w:after="0" w:line="343" w:lineRule="auto"/>
        <w:tabs>
          <w:tab w:leader="none" w:pos="277" w:val="left"/>
        </w:tabs>
        <w:numPr>
          <w:ilvl w:val="0"/>
          <w:numId w:val="26"/>
        </w:numPr>
        <w:rPr>
          <w:rFonts w:ascii="Arial" w:cs="Arial" w:eastAsia="Arial" w:hAnsi="Arial"/>
          <w:sz w:val="19"/>
          <w:szCs w:val="19"/>
          <w:color w:val="auto"/>
        </w:rPr>
      </w:pPr>
      <w:r>
        <w:rPr>
          <w:rFonts w:ascii="Arial" w:cs="Arial" w:eastAsia="Arial" w:hAnsi="Arial"/>
          <w:sz w:val="19"/>
          <w:szCs w:val="19"/>
          <w:color w:val="auto"/>
        </w:rPr>
        <w:t>Name of corporation: Eldorado Resorts, Inc.</w:t>
      </w:r>
    </w:p>
    <w:p>
      <w:pPr>
        <w:spacing w:after="0" w:line="320" w:lineRule="exact"/>
        <w:rPr>
          <w:rFonts w:ascii="Arial" w:cs="Arial" w:eastAsia="Arial" w:hAnsi="Arial"/>
          <w:sz w:val="19"/>
          <w:szCs w:val="19"/>
          <w:color w:val="auto"/>
        </w:rPr>
      </w:pPr>
    </w:p>
    <w:p>
      <w:pPr>
        <w:ind w:left="20" w:right="4020" w:hanging="12"/>
        <w:spacing w:after="0" w:line="343" w:lineRule="auto"/>
        <w:tabs>
          <w:tab w:leader="none" w:pos="273"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articles have been amended as follows: (provide article numbers, if available) Section A of Article IV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254875"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548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254875" cy="1046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54875" cy="1046480"/>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 Authorized Shares.</w:t>
      </w:r>
    </w:p>
    <w:p>
      <w:pPr>
        <w:spacing w:after="0" w:line="206" w:lineRule="exact"/>
        <w:rPr>
          <w:sz w:val="20"/>
          <w:szCs w:val="20"/>
          <w:color w:val="auto"/>
        </w:rPr>
      </w:pPr>
    </w:p>
    <w:p>
      <w:pPr>
        <w:ind w:left="20" w:right="20"/>
        <w:spacing w:after="0" w:line="251" w:lineRule="auto"/>
        <w:rPr>
          <w:sz w:val="20"/>
          <w:szCs w:val="20"/>
          <w:color w:val="auto"/>
        </w:rPr>
      </w:pPr>
      <w:r>
        <w:rPr>
          <w:rFonts w:ascii="Arial" w:cs="Arial" w:eastAsia="Arial" w:hAnsi="Arial"/>
          <w:sz w:val="22"/>
          <w:szCs w:val="22"/>
          <w:color w:val="auto"/>
        </w:rPr>
        <w:t>The Corporation is authorized to issue two hundred million (200,000,000) shares of common stock having a par value of $0.00001 per share (hereinafter referred to as “Common Stock”).”</w:t>
      </w:r>
    </w:p>
    <w:p>
      <w:pPr>
        <w:spacing w:after="0" w:line="200" w:lineRule="exact"/>
        <w:rPr>
          <w:sz w:val="20"/>
          <w:szCs w:val="20"/>
          <w:color w:val="auto"/>
        </w:rPr>
      </w:pPr>
    </w:p>
    <w:p>
      <w:pPr>
        <w:spacing w:after="0" w:line="203" w:lineRule="exact"/>
        <w:rPr>
          <w:sz w:val="20"/>
          <w:szCs w:val="20"/>
          <w:color w:val="auto"/>
        </w:rPr>
      </w:pPr>
    </w:p>
    <w:p>
      <w:pPr>
        <w:ind w:right="3020" w:firstLine="8"/>
        <w:spacing w:after="0" w:line="273" w:lineRule="auto"/>
        <w:tabs>
          <w:tab w:leader="none" w:pos="266"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w:t>
      </w:r>
    </w:p>
    <w:tbl>
      <w:tblPr>
        <w:tblLayout w:type="fixed"/>
        <w:tblInd w:w="0" w:type="dxa"/>
        <w:tblCellMar>
          <w:top w:w="0" w:type="dxa"/>
          <w:left w:w="0" w:type="dxa"/>
          <w:bottom w:w="0" w:type="dxa"/>
          <w:right w:w="0" w:type="dxa"/>
        </w:tblCellMar>
      </w:tblPr>
      <w:tr>
        <w:trPr>
          <w:trHeight w:val="242"/>
        </w:trPr>
        <w:tc>
          <w:tcPr>
            <w:tcW w:w="6900" w:type="dxa"/>
            <w:vAlign w:val="bottom"/>
            <w:gridSpan w:val="2"/>
          </w:tcPr>
          <w:p>
            <w:pPr>
              <w:spacing w:after="0" w:line="242" w:lineRule="exact"/>
              <w:rPr>
                <w:sz w:val="20"/>
                <w:szCs w:val="20"/>
                <w:color w:val="auto"/>
              </w:rPr>
            </w:pPr>
            <w:r>
              <w:rPr>
                <w:rFonts w:ascii="Arial" w:cs="Arial" w:eastAsia="Arial" w:hAnsi="Arial"/>
                <w:sz w:val="22"/>
                <w:szCs w:val="22"/>
                <w:color w:val="auto"/>
                <w:w w:val="98"/>
              </w:rPr>
              <w:t>of the articles of incorporation</w:t>
            </w:r>
            <w:r>
              <w:rPr>
                <w:rFonts w:ascii="Arial" w:cs="Arial" w:eastAsia="Arial" w:hAnsi="Arial"/>
                <w:sz w:val="18"/>
                <w:szCs w:val="18"/>
                <w:color w:val="auto"/>
                <w:w w:val="98"/>
              </w:rPr>
              <w:t>*</w:t>
            </w:r>
            <w:r>
              <w:rPr>
                <w:rFonts w:ascii="Arial" w:cs="Arial" w:eastAsia="Arial" w:hAnsi="Arial"/>
                <w:sz w:val="22"/>
                <w:szCs w:val="22"/>
                <w:color w:val="auto"/>
                <w:w w:val="98"/>
              </w:rPr>
              <w:t xml:space="preserve"> have voted in favor of the amendment is:</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1520" w:type="dxa"/>
            <w:vAlign w:val="bottom"/>
            <w:tcBorders>
              <w:top w:val="single" w:sz="8" w:color="auto"/>
              <w:bottom w:val="single" w:sz="8" w:color="auto"/>
              <w:right w:val="single" w:sz="8" w:color="auto"/>
            </w:tcBorders>
            <w:gridSpan w:val="2"/>
          </w:tcPr>
          <w:p>
            <w:pPr>
              <w:jc w:val="right"/>
              <w:ind w:right="300"/>
              <w:spacing w:after="0" w:line="242" w:lineRule="exact"/>
              <w:rPr>
                <w:sz w:val="20"/>
                <w:szCs w:val="20"/>
                <w:color w:val="auto"/>
              </w:rPr>
            </w:pPr>
            <w:r>
              <w:rPr>
                <w:rFonts w:ascii="Arial" w:cs="Arial" w:eastAsia="Arial" w:hAnsi="Arial"/>
                <w:sz w:val="22"/>
                <w:szCs w:val="22"/>
                <w:color w:val="auto"/>
              </w:rPr>
              <w:t>51,471,217</w:t>
            </w:r>
          </w:p>
        </w:tc>
        <w:tc>
          <w:tcPr>
            <w:tcW w:w="0" w:type="dxa"/>
            <w:vAlign w:val="bottom"/>
          </w:tcPr>
          <w:p>
            <w:pPr>
              <w:spacing w:after="0"/>
              <w:rPr>
                <w:sz w:val="1"/>
                <w:szCs w:val="1"/>
                <w:color w:val="auto"/>
              </w:rPr>
            </w:pPr>
          </w:p>
        </w:tc>
      </w:tr>
      <w:tr>
        <w:trPr>
          <w:trHeight w:val="210"/>
        </w:trPr>
        <w:tc>
          <w:tcPr>
            <w:tcW w:w="220" w:type="dxa"/>
            <w:vAlign w:val="bottom"/>
            <w:vMerge w:val="restart"/>
          </w:tcPr>
          <w:p>
            <w:pPr>
              <w:spacing w:after="0"/>
              <w:rPr>
                <w:sz w:val="20"/>
                <w:szCs w:val="20"/>
                <w:color w:val="auto"/>
              </w:rPr>
            </w:pPr>
            <w:r>
              <w:rPr>
                <w:rFonts w:ascii="Arial" w:cs="Arial" w:eastAsia="Arial" w:hAnsi="Arial"/>
                <w:sz w:val="22"/>
                <w:szCs w:val="22"/>
                <w:color w:val="auto"/>
              </w:rPr>
              <w:t>4.</w:t>
            </w:r>
          </w:p>
        </w:tc>
        <w:tc>
          <w:tcPr>
            <w:tcW w:w="6680" w:type="dxa"/>
            <w:vAlign w:val="bottom"/>
            <w:vMerge w:val="restart"/>
          </w:tcPr>
          <w:p>
            <w:pPr>
              <w:ind w:left="60"/>
              <w:spacing w:after="0"/>
              <w:rPr>
                <w:sz w:val="20"/>
                <w:szCs w:val="20"/>
                <w:color w:val="auto"/>
              </w:rPr>
            </w:pPr>
            <w:r>
              <w:rPr>
                <w:rFonts w:ascii="Arial" w:cs="Arial" w:eastAsia="Arial" w:hAnsi="Arial"/>
                <w:sz w:val="22"/>
                <w:szCs w:val="22"/>
                <w:color w:val="auto"/>
              </w:rPr>
              <w:t>Effective date and time of filing: (optional)</w:t>
            </w:r>
          </w:p>
        </w:tc>
        <w:tc>
          <w:tcPr>
            <w:tcW w:w="1080" w:type="dxa"/>
            <w:vAlign w:val="bottom"/>
            <w:vMerge w:val="restart"/>
          </w:tcPr>
          <w:p>
            <w:pPr>
              <w:ind w:left="560"/>
              <w:spacing w:after="0"/>
              <w:rPr>
                <w:sz w:val="20"/>
                <w:szCs w:val="20"/>
                <w:color w:val="auto"/>
              </w:rPr>
            </w:pPr>
            <w:r>
              <w:rPr>
                <w:rFonts w:ascii="Arial" w:cs="Arial" w:eastAsia="Arial" w:hAnsi="Arial"/>
                <w:sz w:val="22"/>
                <w:szCs w:val="22"/>
                <w:color w:val="auto"/>
                <w:w w:val="94"/>
              </w:rPr>
              <w:t>Date:</w:t>
            </w:r>
          </w:p>
        </w:tc>
        <w:tc>
          <w:tcPr>
            <w:tcW w:w="220" w:type="dxa"/>
            <w:vAlign w:val="bottom"/>
            <w:vMerge w:val="restart"/>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22"/>
                <w:szCs w:val="22"/>
                <w:color w:val="auto"/>
              </w:rPr>
              <w:t>Time:</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0" w:type="dxa"/>
            <w:vAlign w:val="bottom"/>
            <w:vMerge w:val="continue"/>
          </w:tcPr>
          <w:p>
            <w:pPr>
              <w:spacing w:after="0"/>
              <w:rPr>
                <w:sz w:val="20"/>
                <w:szCs w:val="20"/>
                <w:color w:val="auto"/>
              </w:rPr>
            </w:pPr>
          </w:p>
        </w:tc>
        <w:tc>
          <w:tcPr>
            <w:tcW w:w="66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22"/>
                <w:szCs w:val="22"/>
                <w:color w:val="auto"/>
              </w:rPr>
              <w:t>5.</w:t>
            </w:r>
          </w:p>
        </w:tc>
        <w:tc>
          <w:tcPr>
            <w:tcW w:w="6680" w:type="dxa"/>
            <w:vAlign w:val="bottom"/>
            <w:vMerge w:val="restart"/>
          </w:tcPr>
          <w:p>
            <w:pPr>
              <w:ind w:left="60"/>
              <w:spacing w:after="0"/>
              <w:rPr>
                <w:sz w:val="20"/>
                <w:szCs w:val="20"/>
                <w:color w:val="auto"/>
              </w:rPr>
            </w:pPr>
            <w:r>
              <w:rPr>
                <w:rFonts w:ascii="Arial" w:cs="Arial" w:eastAsia="Arial" w:hAnsi="Arial"/>
                <w:sz w:val="22"/>
                <w:szCs w:val="22"/>
                <w:color w:val="auto"/>
              </w:rPr>
              <w:t>Signature: (required)</w:t>
            </w:r>
          </w:p>
        </w:tc>
        <w:tc>
          <w:tcPr>
            <w:tcW w:w="1080" w:type="dxa"/>
            <w:vAlign w:val="bottom"/>
          </w:tcPr>
          <w:p>
            <w:pPr>
              <w:spacing w:after="0"/>
              <w:rPr>
                <w:sz w:val="17"/>
                <w:szCs w:val="17"/>
                <w:color w:val="auto"/>
              </w:rPr>
            </w:pPr>
          </w:p>
        </w:tc>
        <w:tc>
          <w:tcPr>
            <w:tcW w:w="3460" w:type="dxa"/>
            <w:vAlign w:val="bottom"/>
            <w:gridSpan w:val="5"/>
          </w:tcPr>
          <w:p>
            <w:pPr>
              <w:jc w:val="right"/>
              <w:ind w:right="20"/>
              <w:spacing w:after="0"/>
              <w:rPr>
                <w:sz w:val="20"/>
                <w:szCs w:val="20"/>
                <w:color w:val="auto"/>
              </w:rPr>
            </w:pPr>
            <w:r>
              <w:rPr>
                <w:rFonts w:ascii="Arial" w:cs="Arial" w:eastAsia="Arial" w:hAnsi="Arial"/>
                <w:sz w:val="14"/>
                <w:szCs w:val="14"/>
                <w:color w:val="auto"/>
                <w:w w:val="94"/>
              </w:rPr>
              <w:t>(must not be later than 90 days after the certificate is filed)</w:t>
            </w:r>
          </w:p>
        </w:tc>
        <w:tc>
          <w:tcPr>
            <w:tcW w:w="0" w:type="dxa"/>
            <w:vAlign w:val="bottom"/>
          </w:tcPr>
          <w:p>
            <w:pPr>
              <w:spacing w:after="0"/>
              <w:rPr>
                <w:sz w:val="1"/>
                <w:szCs w:val="1"/>
                <w:color w:val="auto"/>
              </w:rPr>
            </w:pPr>
          </w:p>
        </w:tc>
      </w:tr>
      <w:tr>
        <w:trPr>
          <w:trHeight w:val="238"/>
        </w:trPr>
        <w:tc>
          <w:tcPr>
            <w:tcW w:w="220" w:type="dxa"/>
            <w:vAlign w:val="bottom"/>
            <w:vMerge w:val="continue"/>
          </w:tcPr>
          <w:p>
            <w:pPr>
              <w:spacing w:after="0"/>
              <w:rPr>
                <w:sz w:val="20"/>
                <w:szCs w:val="20"/>
                <w:color w:val="auto"/>
              </w:rPr>
            </w:pPr>
          </w:p>
        </w:tc>
        <w:tc>
          <w:tcPr>
            <w:tcW w:w="668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 </w:t>
      </w:r>
      <w:r>
        <w:rPr>
          <w:rFonts w:ascii="Arial" w:cs="Arial" w:eastAsia="Arial" w:hAnsi="Arial"/>
          <w:sz w:val="18"/>
          <w:szCs w:val="18"/>
          <w:color w:val="auto"/>
        </w:rPr>
        <w:t>/s/Edmund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965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Signature of Officer</w:t>
      </w:r>
    </w:p>
    <w:p>
      <w:pPr>
        <w:spacing w:after="0" w:line="192"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*lf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79" w:lineRule="exact"/>
        <w:rPr>
          <w:sz w:val="20"/>
          <w:szCs w:val="20"/>
          <w:color w:val="auto"/>
        </w:rPr>
      </w:pPr>
    </w:p>
    <w:p>
      <w:pPr>
        <w:spacing w:after="0"/>
        <w:tabs>
          <w:tab w:leader="none" w:pos="8720" w:val="left"/>
        </w:tabs>
        <w:rPr>
          <w:sz w:val="20"/>
          <w:szCs w:val="20"/>
          <w:color w:val="auto"/>
        </w:rPr>
      </w:pPr>
      <w:r>
        <w:rPr>
          <w:rFonts w:ascii="Arial" w:cs="Arial" w:eastAsia="Arial" w:hAnsi="Arial"/>
          <w:sz w:val="14"/>
          <w:szCs w:val="14"/>
          <w:b w:val="1"/>
          <w:bCs w:val="1"/>
          <w:color w:val="auto"/>
        </w:rPr>
        <w:t>IMPORTANT</w:t>
      </w:r>
      <w:r>
        <w:rPr>
          <w:rFonts w:ascii="Arial" w:cs="Arial" w:eastAsia="Arial" w:hAnsi="Arial"/>
          <w:sz w:val="14"/>
          <w:szCs w:val="14"/>
          <w:color w:val="auto"/>
        </w:rPr>
        <w:t>: Failure to include any of the above information and submit with the proper fees</w:t>
      </w:r>
      <w:r>
        <w:rPr>
          <w:sz w:val="20"/>
          <w:szCs w:val="20"/>
          <w:color w:val="auto"/>
        </w:rPr>
        <w:tab/>
      </w:r>
      <w:r>
        <w:rPr>
          <w:rFonts w:ascii="Arial" w:cs="Arial" w:eastAsia="Arial" w:hAnsi="Arial"/>
          <w:sz w:val="13"/>
          <w:szCs w:val="13"/>
          <w:color w:val="auto"/>
        </w:rPr>
        <w:t>Nevada Secretary of State Amend Profit-After</w:t>
      </w:r>
    </w:p>
    <w:p>
      <w:pPr>
        <w:spacing w:after="0" w:line="4"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may cause this filing to be rejected.</w:t>
      </w:r>
      <w:r>
        <w:rPr>
          <w:sz w:val="20"/>
          <w:szCs w:val="20"/>
          <w:color w:val="auto"/>
        </w:rPr>
        <w:tab/>
      </w:r>
      <w:r>
        <w:rPr>
          <w:rFonts w:ascii="Arial" w:cs="Arial" w:eastAsia="Arial" w:hAnsi="Arial"/>
          <w:sz w:val="13"/>
          <w:szCs w:val="13"/>
          <w:color w:val="auto"/>
        </w:rPr>
        <w:t>Revised: 1-5-15</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This form must be accompanied by appropriate fees</w:t>
      </w:r>
      <w:r>
        <w:rPr>
          <w:rFonts w:ascii="Arial" w:cs="Arial" w:eastAsia="Arial" w:hAnsi="Arial"/>
          <w:sz w:val="14"/>
          <w:szCs w:val="14"/>
          <w:color w:val="auto"/>
        </w:rPr>
        <w:t>.</w:t>
      </w:r>
    </w:p>
    <w:p>
      <w:pPr>
        <w:sectPr>
          <w:pgSz w:w="11900" w:h="16838" w:orient="portrait"/>
          <w:cols w:equalWidth="0" w:num="1">
            <w:col w:w="11440"/>
          </w:cols>
          <w:pgMar w:left="240" w:top="112" w:right="21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FIFTH SUPPLEMENTAL INDENTURE</w:t>
      </w:r>
    </w:p>
    <w:p>
      <w:pPr>
        <w:spacing w:after="0" w:line="200"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IFTH</w:t>
      </w:r>
      <w:r>
        <w:rPr>
          <w:rFonts w:ascii="Arial" w:cs="Arial" w:eastAsia="Arial" w:hAnsi="Arial"/>
          <w:sz w:val="18"/>
          <w:szCs w:val="18"/>
          <w:color w:val="auto"/>
        </w:rPr>
        <w:t xml:space="preserve"> S</w:t>
      </w:r>
      <w:r>
        <w:rPr>
          <w:rFonts w:ascii="Arial" w:cs="Arial" w:eastAsia="Arial" w:hAnsi="Arial"/>
          <w:sz w:val="12"/>
          <w:szCs w:val="12"/>
          <w:color w:val="auto"/>
        </w:rPr>
        <w:t>UPPLEMENTAL</w:t>
      </w:r>
      <w:r>
        <w:rPr>
          <w:rFonts w:ascii="Arial" w:cs="Arial" w:eastAsia="Arial" w:hAnsi="Arial"/>
          <w:sz w:val="18"/>
          <w:szCs w:val="18"/>
          <w:color w:val="auto"/>
        </w:rPr>
        <w:t xml:space="preserve"> I</w:t>
      </w:r>
      <w:r>
        <w:rPr>
          <w:rFonts w:ascii="Arial" w:cs="Arial" w:eastAsia="Arial" w:hAnsi="Arial"/>
          <w:sz w:val="12"/>
          <w:szCs w:val="12"/>
          <w:color w:val="auto"/>
        </w:rPr>
        <w:t>NDENTURE</w:t>
      </w:r>
      <w:r>
        <w:rPr>
          <w:rFonts w:ascii="Arial" w:cs="Arial" w:eastAsia="Arial" w:hAnsi="Arial"/>
          <w:sz w:val="18"/>
          <w:szCs w:val="18"/>
          <w:color w:val="auto"/>
        </w:rPr>
        <w:t xml:space="preserv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June 18, 2018, among E</w:t>
      </w:r>
      <w:r>
        <w:rPr>
          <w:rFonts w:ascii="Arial" w:cs="Arial" w:eastAsia="Arial" w:hAnsi="Arial"/>
          <w:sz w:val="12"/>
          <w:szCs w:val="12"/>
          <w:color w:val="auto"/>
        </w:rPr>
        <w:t>LGIN</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I LLC, a Delaware limited liability company, E</w:t>
      </w:r>
      <w:r>
        <w:rPr>
          <w:rFonts w:ascii="Arial" w:cs="Arial" w:eastAsia="Arial" w:hAnsi="Arial"/>
          <w:sz w:val="12"/>
          <w:szCs w:val="12"/>
          <w:color w:val="auto"/>
        </w:rPr>
        <w:t>LGIN</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II LLC, a Delaware limited liability company, PPI D</w:t>
      </w:r>
      <w:r>
        <w:rPr>
          <w:rFonts w:ascii="Arial" w:cs="Arial" w:eastAsia="Arial" w:hAnsi="Arial"/>
          <w:sz w:val="12"/>
          <w:szCs w:val="12"/>
          <w:color w:val="auto"/>
        </w:rPr>
        <w:t>EVELOPMENT</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 Delaware limited liability company and PPI D</w:t>
      </w:r>
      <w:r>
        <w:rPr>
          <w:rFonts w:ascii="Arial" w:cs="Arial" w:eastAsia="Arial" w:hAnsi="Arial"/>
          <w:sz w:val="12"/>
          <w:szCs w:val="12"/>
          <w:color w:val="auto"/>
        </w:rPr>
        <w:t>EVELOPMENT</w:t>
      </w:r>
      <w:r>
        <w:rPr>
          <w:rFonts w:ascii="Arial" w:cs="Arial" w:eastAsia="Arial" w:hAnsi="Arial"/>
          <w:sz w:val="18"/>
          <w:szCs w:val="18"/>
          <w:color w:val="auto"/>
        </w:rPr>
        <w:t xml:space="preserve"> LLC, a Delaware limited liability company (each, a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and,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Eldorado Resorts, Inc. (or its permitted successor),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Company and U.S. Bank National Association,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WHEREAS, the Company has heretofore executed and delivered to the Trustee an indenture (as amended by that certain First Supplemental Indenture dated as of December 16, 2015, that certain Second Supplemental Indenture dated as of May 26, 2016, that certain Third Supplemental Indenture, dated as of March 16, 2017 and that certain Fourth Supplemental Indenture, dated as of May 1, 2017 and as may be further amended, supplemented, or otherwise modified, the “</w:t>
      </w:r>
      <w:r>
        <w:rPr>
          <w:rFonts w:ascii="Arial" w:cs="Arial" w:eastAsia="Arial" w:hAnsi="Arial"/>
          <w:sz w:val="20"/>
          <w:szCs w:val="20"/>
          <w:i w:val="1"/>
          <w:iCs w:val="1"/>
          <w:color w:val="auto"/>
        </w:rPr>
        <w:t>Indenture</w:t>
      </w:r>
      <w:r>
        <w:rPr>
          <w:rFonts w:ascii="Arial" w:cs="Arial" w:eastAsia="Arial" w:hAnsi="Arial"/>
          <w:sz w:val="20"/>
          <w:szCs w:val="20"/>
          <w:color w:val="auto"/>
        </w:rPr>
        <w:t>”), dated as of July 23, 2015 providing for the issuance of 7% Senior Notes due 2023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95"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39"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Subsidiaries and the Trustee mutually covenant and agree for the benefit of each other and the equal and ratable benefit of the Holders of the Notes as follows:</w:t>
      </w:r>
    </w:p>
    <w:p>
      <w:pPr>
        <w:spacing w:after="0" w:line="186" w:lineRule="exact"/>
        <w:rPr>
          <w:sz w:val="20"/>
          <w:szCs w:val="20"/>
          <w:color w:val="auto"/>
        </w:rPr>
      </w:pPr>
    </w:p>
    <w:p>
      <w:pPr>
        <w:ind w:left="860"/>
        <w:spacing w:after="0"/>
        <w:tabs>
          <w:tab w:leader="none" w:pos="1640" w:val="left"/>
          <w:tab w:leader="none" w:pos="3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C</w:t>
      </w:r>
      <w:r>
        <w:rPr>
          <w:rFonts w:ascii="Arial" w:cs="Arial" w:eastAsia="Arial" w:hAnsi="Arial"/>
          <w:sz w:val="13"/>
          <w:szCs w:val="13"/>
          <w:color w:val="auto"/>
        </w:rPr>
        <w:t>APITALIZED</w:t>
      </w:r>
      <w:r>
        <w:rPr>
          <w:rFonts w:ascii="Arial" w:cs="Arial" w:eastAsia="Arial" w:hAnsi="Arial"/>
          <w:sz w:val="20"/>
          <w:szCs w:val="20"/>
          <w:color w:val="auto"/>
        </w:rPr>
        <w:t xml:space="preserve"> T</w:t>
      </w:r>
      <w:r>
        <w:rPr>
          <w:rFonts w:ascii="Arial" w:cs="Arial" w:eastAsia="Arial" w:hAnsi="Arial"/>
          <w:sz w:val="13"/>
          <w:szCs w:val="13"/>
          <w:color w:val="auto"/>
        </w:rPr>
        <w:t>ERMS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Capitalized terms used herein without definition shall have the meanings assigned to them in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ind w:firstLine="868"/>
        <w:spacing w:after="0" w:line="287" w:lineRule="auto"/>
        <w:tabs>
          <w:tab w:leader="none" w:pos="1657" w:val="left"/>
        </w:tabs>
        <w:numPr>
          <w:ilvl w:val="0"/>
          <w:numId w:val="28"/>
        </w:numPr>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2"/>
          <w:szCs w:val="12"/>
          <w:color w:val="auto"/>
        </w:rPr>
        <w:t>GREEMENT TO</w:t>
      </w:r>
      <w:r>
        <w:rPr>
          <w:rFonts w:ascii="Arial" w:cs="Arial" w:eastAsia="Arial" w:hAnsi="Arial"/>
          <w:sz w:val="19"/>
          <w:szCs w:val="19"/>
          <w:color w:val="auto"/>
        </w:rPr>
        <w:t xml:space="preserve"> G</w:t>
      </w:r>
      <w:r>
        <w:rPr>
          <w:rFonts w:ascii="Arial" w:cs="Arial" w:eastAsia="Arial" w:hAnsi="Arial"/>
          <w:sz w:val="12"/>
          <w:szCs w:val="12"/>
          <w:color w:val="auto"/>
        </w:rPr>
        <w:t>UARANTEE</w:t>
      </w:r>
      <w:r>
        <w:rPr>
          <w:rFonts w:ascii="Arial" w:cs="Arial" w:eastAsia="Arial" w:hAnsi="Arial"/>
          <w:sz w:val="19"/>
          <w:szCs w:val="19"/>
          <w:color w:val="auto"/>
        </w:rPr>
        <w:t>. Each Guaranteeing Subsidiary hereby agrees to provide an unconditional Guarantee on the terms and subject to the conditions set forth in the Note Guarantee and in the Indenture including but not limited to Article 10 thereof.</w:t>
      </w:r>
    </w:p>
    <w:p>
      <w:pPr>
        <w:spacing w:after="0" w:line="152" w:lineRule="exact"/>
        <w:rPr>
          <w:rFonts w:ascii="Arial" w:cs="Arial" w:eastAsia="Arial" w:hAnsi="Arial"/>
          <w:sz w:val="19"/>
          <w:szCs w:val="19"/>
          <w:color w:val="auto"/>
        </w:rPr>
      </w:pPr>
    </w:p>
    <w:p>
      <w:pPr>
        <w:jc w:val="both"/>
        <w:ind w:firstLine="868"/>
        <w:spacing w:after="0" w:line="244" w:lineRule="auto"/>
        <w:tabs>
          <w:tab w:leader="none" w:pos="1657" w:val="left"/>
        </w:tabs>
        <w:numPr>
          <w:ilvl w:val="0"/>
          <w:numId w:val="28"/>
        </w:numPr>
        <w:rPr>
          <w:rFonts w:ascii="Arial" w:cs="Arial" w:eastAsia="Arial" w:hAnsi="Arial"/>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O</w:t>
      </w:r>
      <w:r>
        <w:rPr>
          <w:rFonts w:ascii="Arial" w:cs="Arial" w:eastAsia="Arial" w:hAnsi="Arial"/>
          <w:sz w:val="20"/>
          <w:szCs w:val="20"/>
          <w:color w:val="auto"/>
        </w:rPr>
        <w:t xml:space="preserve"> R</w:t>
      </w:r>
      <w:r>
        <w:rPr>
          <w:rFonts w:ascii="Arial" w:cs="Arial" w:eastAsia="Arial" w:hAnsi="Arial"/>
          <w:sz w:val="13"/>
          <w:szCs w:val="13"/>
          <w:color w:val="auto"/>
        </w:rPr>
        <w:t>ECOURSE</w:t>
      </w:r>
      <w:r>
        <w:rPr>
          <w:rFonts w:ascii="Arial" w:cs="Arial" w:eastAsia="Arial" w:hAnsi="Arial"/>
          <w:sz w:val="20"/>
          <w:szCs w:val="20"/>
          <w:color w:val="auto"/>
        </w:rPr>
        <w:t xml:space="preserve"> A</w:t>
      </w:r>
      <w:r>
        <w:rPr>
          <w:rFonts w:ascii="Arial" w:cs="Arial" w:eastAsia="Arial" w:hAnsi="Arial"/>
          <w:sz w:val="13"/>
          <w:szCs w:val="13"/>
          <w:color w:val="auto"/>
        </w:rPr>
        <w:t>GAINST</w:t>
      </w:r>
      <w:r>
        <w:rPr>
          <w:rFonts w:ascii="Arial" w:cs="Arial" w:eastAsia="Arial" w:hAnsi="Arial"/>
          <w:sz w:val="20"/>
          <w:szCs w:val="20"/>
          <w:color w:val="auto"/>
        </w:rPr>
        <w:t xml:space="preserve"> O</w:t>
      </w:r>
      <w:r>
        <w:rPr>
          <w:rFonts w:ascii="Arial" w:cs="Arial" w:eastAsia="Arial" w:hAnsi="Arial"/>
          <w:sz w:val="13"/>
          <w:szCs w:val="13"/>
          <w:color w:val="auto"/>
        </w:rPr>
        <w:t>THERS</w:t>
      </w:r>
      <w:r>
        <w:rPr>
          <w:rFonts w:ascii="Arial" w:cs="Arial" w:eastAsia="Arial" w:hAnsi="Arial"/>
          <w:sz w:val="20"/>
          <w:szCs w:val="20"/>
          <w:color w:val="auto"/>
        </w:rPr>
        <w:t>. No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0" w:name="page61"/>
    <w:bookmarkEnd w:id="60"/>
    <w:p>
      <w:pPr>
        <w:jc w:val="both"/>
        <w:ind w:firstLine="868"/>
        <w:spacing w:after="0" w:line="246" w:lineRule="auto"/>
        <w:tabs>
          <w:tab w:leader="none" w:pos="1657"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91" w:lineRule="exact"/>
        <w:rPr>
          <w:rFonts w:ascii="Arial" w:cs="Arial" w:eastAsia="Arial" w:hAnsi="Arial"/>
          <w:sz w:val="20"/>
          <w:szCs w:val="20"/>
          <w:color w:val="auto"/>
        </w:rPr>
      </w:pPr>
    </w:p>
    <w:p>
      <w:pPr>
        <w:ind w:firstLine="868"/>
        <w:spacing w:after="0" w:line="260" w:lineRule="auto"/>
        <w:tabs>
          <w:tab w:leader="none" w:pos="1657" w:val="left"/>
        </w:tabs>
        <w:numPr>
          <w:ilvl w:val="0"/>
          <w:numId w:val="29"/>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92" w:lineRule="exact"/>
        <w:rPr>
          <w:sz w:val="20"/>
          <w:szCs w:val="20"/>
          <w:color w:val="auto"/>
        </w:rPr>
      </w:pPr>
    </w:p>
    <w:p>
      <w:pPr>
        <w:ind w:left="1660" w:hanging="792"/>
        <w:spacing w:after="0"/>
        <w:tabs>
          <w:tab w:leader="none" w:pos="1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38" w:lineRule="exact"/>
        <w:rPr>
          <w:rFonts w:ascii="Arial" w:cs="Arial" w:eastAsia="Arial" w:hAnsi="Arial"/>
          <w:sz w:val="18"/>
          <w:szCs w:val="18"/>
          <w:color w:val="auto"/>
        </w:rPr>
      </w:pPr>
    </w:p>
    <w:p>
      <w:pPr>
        <w:jc w:val="both"/>
        <w:ind w:firstLine="868"/>
        <w:spacing w:after="0" w:line="250" w:lineRule="auto"/>
        <w:tabs>
          <w:tab w:leader="none" w:pos="1657" w:val="left"/>
        </w:tabs>
        <w:numPr>
          <w:ilvl w:val="0"/>
          <w:numId w:val="30"/>
        </w:numPr>
        <w:rPr>
          <w:rFonts w:ascii="Arial" w:cs="Arial" w:eastAsia="Arial" w:hAnsi="Arial"/>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T</w:t>
      </w:r>
      <w:r>
        <w:rPr>
          <w:rFonts w:ascii="Arial" w:cs="Arial" w:eastAsia="Arial" w:hAnsi="Arial"/>
          <w:sz w:val="13"/>
          <w:szCs w:val="13"/>
          <w:color w:val="auto"/>
        </w:rPr>
        <w: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1" w:name="page62"/>
    <w:bookmarkEnd w:id="61"/>
    <w:p>
      <w:pPr>
        <w:ind w:firstLine="877"/>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ELGIN HOLDINGS I LLC</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ELGIN HOLDING II LLC</w:t>
      </w:r>
    </w:p>
    <w:p>
      <w:pPr>
        <w:spacing w:after="0" w:line="213"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R. Reeg</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Thomas R. Reeg</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President and Chief Financial Officer</w:t>
            </w:r>
          </w:p>
        </w:tc>
      </w:tr>
    </w:tbl>
    <w:p>
      <w:pPr>
        <w:spacing w:after="0" w:line="20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PPI DEVELOPMENT HOLDINGS LLC</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PPI DEVELOPMENT LLC</w:t>
      </w:r>
    </w:p>
    <w:p>
      <w:pPr>
        <w:spacing w:after="0" w:line="213"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R. Reeg</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Thomas R. Reeg</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President and Chief Financial Officer</w:t>
            </w:r>
          </w:p>
        </w:tc>
      </w:tr>
      <w:tr>
        <w:trPr>
          <w:trHeight w:val="459"/>
        </w:trPr>
        <w:tc>
          <w:tcPr>
            <w:tcW w:w="5700" w:type="dxa"/>
            <w:vAlign w:val="bottom"/>
            <w:gridSpan w:val="2"/>
          </w:tcPr>
          <w:p>
            <w:pPr>
              <w:spacing w:after="0"/>
              <w:rPr>
                <w:sz w:val="20"/>
                <w:szCs w:val="20"/>
                <w:color w:val="auto"/>
              </w:rPr>
            </w:pPr>
            <w:r>
              <w:rPr>
                <w:rFonts w:ascii="Arial" w:cs="Arial" w:eastAsia="Arial" w:hAnsi="Arial"/>
                <w:sz w:val="20"/>
                <w:szCs w:val="20"/>
                <w:color w:val="auto"/>
              </w:rPr>
              <w:t>ELDORADO RESORTS, INC.</w:t>
            </w:r>
          </w:p>
        </w:tc>
      </w:tr>
      <w:tr>
        <w:trPr>
          <w:trHeight w:val="455"/>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R. Reeg</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Thomas R. Reeg</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2" w:name="page63"/>
    <w:bookmarkEnd w:id="62"/>
    <w:p>
      <w:pPr>
        <w:ind w:left="452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Trustee</w:t>
      </w:r>
    </w:p>
    <w:p>
      <w:pPr>
        <w:spacing w:after="0" w:line="213" w:lineRule="exact"/>
        <w:rPr>
          <w:sz w:val="20"/>
          <w:szCs w:val="20"/>
          <w:color w:val="auto"/>
        </w:rPr>
      </w:pPr>
    </w:p>
    <w:tbl>
      <w:tblPr>
        <w:tblLayout w:type="fixed"/>
        <w:tblInd w:w="45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Laurel A. Melody-Casasania</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Laurel A. Melody-Casasania</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2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10220"/>
          </w:cols>
          <w:pgMar w:left="1440" w:top="35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4.2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SUPPLEMENTAL INDENTURE</w:t>
      </w:r>
    </w:p>
    <w:p>
      <w:pPr>
        <w:spacing w:after="0" w:line="200"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ECOND</w:t>
      </w:r>
      <w:r>
        <w:rPr>
          <w:rFonts w:ascii="Arial" w:cs="Arial" w:eastAsia="Arial" w:hAnsi="Arial"/>
          <w:sz w:val="20"/>
          <w:szCs w:val="20"/>
          <w:color w:val="auto"/>
        </w:rPr>
        <w:t xml:space="preserve"> S</w:t>
      </w:r>
      <w:r>
        <w:rPr>
          <w:rFonts w:ascii="Arial" w:cs="Arial" w:eastAsia="Arial" w:hAnsi="Arial"/>
          <w:sz w:val="13"/>
          <w:szCs w:val="13"/>
          <w:color w:val="auto"/>
        </w:rPr>
        <w:t>UPPLEMENTAL</w:t>
      </w:r>
      <w:r>
        <w:rPr>
          <w:rFonts w:ascii="Arial" w:cs="Arial" w:eastAsia="Arial" w:hAnsi="Arial"/>
          <w:sz w:val="20"/>
          <w:szCs w:val="20"/>
          <w:color w:val="auto"/>
        </w:rPr>
        <w:t xml:space="preserve"> I</w:t>
      </w:r>
      <w:r>
        <w:rPr>
          <w:rFonts w:ascii="Arial" w:cs="Arial" w:eastAsia="Arial" w:hAnsi="Arial"/>
          <w:sz w:val="13"/>
          <w:szCs w:val="13"/>
          <w:color w:val="auto"/>
        </w:rPr>
        <w:t>NDENTURE</w:t>
      </w:r>
      <w:r>
        <w:rPr>
          <w:rFonts w:ascii="Arial" w:cs="Arial" w:eastAsia="Arial" w:hAnsi="Arial"/>
          <w:sz w:val="20"/>
          <w:szCs w:val="20"/>
          <w:color w:val="auto"/>
        </w:rPr>
        <w:t xml:space="preserve"> (this “</w:t>
      </w:r>
      <w:r>
        <w:rPr>
          <w:rFonts w:ascii="Arial" w:cs="Arial" w:eastAsia="Arial" w:hAnsi="Arial"/>
          <w:sz w:val="20"/>
          <w:szCs w:val="20"/>
          <w:i w:val="1"/>
          <w:iCs w:val="1"/>
          <w:color w:val="auto"/>
        </w:rPr>
        <w:t>Supplemental Indenture</w:t>
      </w:r>
      <w:r>
        <w:rPr>
          <w:rFonts w:ascii="Arial" w:cs="Arial" w:eastAsia="Arial" w:hAnsi="Arial"/>
          <w:sz w:val="20"/>
          <w:szCs w:val="20"/>
          <w:color w:val="auto"/>
        </w:rPr>
        <w:t>”), dated as of June 18, 2018, among E</w:t>
      </w:r>
      <w:r>
        <w:rPr>
          <w:rFonts w:ascii="Arial" w:cs="Arial" w:eastAsia="Arial" w:hAnsi="Arial"/>
          <w:sz w:val="13"/>
          <w:szCs w:val="13"/>
          <w:color w:val="auto"/>
        </w:rPr>
        <w:t>LGIN</w:t>
      </w:r>
      <w:r>
        <w:rPr>
          <w:rFonts w:ascii="Arial" w:cs="Arial" w:eastAsia="Arial" w:hAnsi="Arial"/>
          <w:sz w:val="20"/>
          <w:szCs w:val="20"/>
          <w:color w:val="auto"/>
        </w:rPr>
        <w:t xml:space="preserve"> H</w:t>
      </w:r>
      <w:r>
        <w:rPr>
          <w:rFonts w:ascii="Arial" w:cs="Arial" w:eastAsia="Arial" w:hAnsi="Arial"/>
          <w:sz w:val="13"/>
          <w:szCs w:val="13"/>
          <w:color w:val="auto"/>
        </w:rPr>
        <w:t>OLDINGS</w:t>
      </w:r>
      <w:r>
        <w:rPr>
          <w:rFonts w:ascii="Arial" w:cs="Arial" w:eastAsia="Arial" w:hAnsi="Arial"/>
          <w:sz w:val="20"/>
          <w:szCs w:val="20"/>
          <w:color w:val="auto"/>
        </w:rPr>
        <w:t xml:space="preserve"> I LLC, a Delaware limited liability company, E</w:t>
      </w:r>
      <w:r>
        <w:rPr>
          <w:rFonts w:ascii="Arial" w:cs="Arial" w:eastAsia="Arial" w:hAnsi="Arial"/>
          <w:sz w:val="13"/>
          <w:szCs w:val="13"/>
          <w:color w:val="auto"/>
        </w:rPr>
        <w:t>LGIN</w:t>
      </w:r>
      <w:r>
        <w:rPr>
          <w:rFonts w:ascii="Arial" w:cs="Arial" w:eastAsia="Arial" w:hAnsi="Arial"/>
          <w:sz w:val="20"/>
          <w:szCs w:val="20"/>
          <w:color w:val="auto"/>
        </w:rPr>
        <w:t xml:space="preserve"> H</w:t>
      </w:r>
      <w:r>
        <w:rPr>
          <w:rFonts w:ascii="Arial" w:cs="Arial" w:eastAsia="Arial" w:hAnsi="Arial"/>
          <w:sz w:val="13"/>
          <w:szCs w:val="13"/>
          <w:color w:val="auto"/>
        </w:rPr>
        <w:t>OLDINGS</w:t>
      </w:r>
      <w:r>
        <w:rPr>
          <w:rFonts w:ascii="Arial" w:cs="Arial" w:eastAsia="Arial" w:hAnsi="Arial"/>
          <w:sz w:val="20"/>
          <w:szCs w:val="20"/>
          <w:color w:val="auto"/>
        </w:rPr>
        <w:t xml:space="preserve"> II LLC, a Delaware limited liability company, PPI D</w:t>
      </w:r>
      <w:r>
        <w:rPr>
          <w:rFonts w:ascii="Arial" w:cs="Arial" w:eastAsia="Arial" w:hAnsi="Arial"/>
          <w:sz w:val="13"/>
          <w:szCs w:val="13"/>
          <w:color w:val="auto"/>
        </w:rPr>
        <w:t>EVELOPMENT</w:t>
      </w:r>
      <w:r>
        <w:rPr>
          <w:rFonts w:ascii="Arial" w:cs="Arial" w:eastAsia="Arial" w:hAnsi="Arial"/>
          <w:sz w:val="20"/>
          <w:szCs w:val="20"/>
          <w:color w:val="auto"/>
        </w:rPr>
        <w:t xml:space="preserve"> H</w:t>
      </w:r>
      <w:r>
        <w:rPr>
          <w:rFonts w:ascii="Arial" w:cs="Arial" w:eastAsia="Arial" w:hAnsi="Arial"/>
          <w:sz w:val="13"/>
          <w:szCs w:val="13"/>
          <w:color w:val="auto"/>
        </w:rPr>
        <w:t>OLDINGS</w:t>
      </w:r>
      <w:r>
        <w:rPr>
          <w:rFonts w:ascii="Arial" w:cs="Arial" w:eastAsia="Arial" w:hAnsi="Arial"/>
          <w:sz w:val="20"/>
          <w:szCs w:val="20"/>
          <w:color w:val="auto"/>
        </w:rPr>
        <w:t xml:space="preserve"> LLC, a Delaware limited liability company and PPI D</w:t>
      </w:r>
      <w:r>
        <w:rPr>
          <w:rFonts w:ascii="Arial" w:cs="Arial" w:eastAsia="Arial" w:hAnsi="Arial"/>
          <w:sz w:val="13"/>
          <w:szCs w:val="13"/>
          <w:color w:val="auto"/>
        </w:rPr>
        <w:t>EVELOPMENT</w:t>
      </w:r>
      <w:r>
        <w:rPr>
          <w:rFonts w:ascii="Arial" w:cs="Arial" w:eastAsia="Arial" w:hAnsi="Arial"/>
          <w:sz w:val="20"/>
          <w:szCs w:val="20"/>
          <w:color w:val="auto"/>
        </w:rPr>
        <w:t xml:space="preserve"> LLC, a Delaware limited liability company (each, a “</w:t>
      </w:r>
      <w:r>
        <w:rPr>
          <w:rFonts w:ascii="Arial" w:cs="Arial" w:eastAsia="Arial" w:hAnsi="Arial"/>
          <w:sz w:val="20"/>
          <w:szCs w:val="20"/>
          <w:i w:val="1"/>
          <w:iCs w:val="1"/>
          <w:color w:val="auto"/>
        </w:rPr>
        <w:t>Guaranteeing Subsidiary</w:t>
      </w:r>
      <w:r>
        <w:rPr>
          <w:rFonts w:ascii="Arial" w:cs="Arial" w:eastAsia="Arial" w:hAnsi="Arial"/>
          <w:sz w:val="20"/>
          <w:szCs w:val="20"/>
          <w:color w:val="auto"/>
        </w:rPr>
        <w:t>” and, collectively, the “</w:t>
      </w:r>
      <w:r>
        <w:rPr>
          <w:rFonts w:ascii="Arial" w:cs="Arial" w:eastAsia="Arial" w:hAnsi="Arial"/>
          <w:sz w:val="20"/>
          <w:szCs w:val="20"/>
          <w:i w:val="1"/>
          <w:iCs w:val="1"/>
          <w:color w:val="auto"/>
        </w:rPr>
        <w:t>Guaranteeing Subsidiaries</w:t>
      </w:r>
      <w:r>
        <w:rPr>
          <w:rFonts w:ascii="Arial" w:cs="Arial" w:eastAsia="Arial" w:hAnsi="Arial"/>
          <w:sz w:val="20"/>
          <w:szCs w:val="20"/>
          <w:color w:val="auto"/>
        </w:rPr>
        <w:t>”), each a subsidiary of Eldorado Resorts, Inc. (or its permitted successor), a Nevada corporation (the “</w:t>
      </w:r>
      <w:r>
        <w:rPr>
          <w:rFonts w:ascii="Arial" w:cs="Arial" w:eastAsia="Arial" w:hAnsi="Arial"/>
          <w:sz w:val="20"/>
          <w:szCs w:val="20"/>
          <w:i w:val="1"/>
          <w:iCs w:val="1"/>
          <w:color w:val="auto"/>
        </w:rPr>
        <w:t>Company</w:t>
      </w:r>
      <w:r>
        <w:rPr>
          <w:rFonts w:ascii="Arial" w:cs="Arial" w:eastAsia="Arial" w:hAnsi="Arial"/>
          <w:sz w:val="20"/>
          <w:szCs w:val="20"/>
          <w:color w:val="auto"/>
        </w:rPr>
        <w:t>”), the Company, the other Guarantors (as defined in the Indenture referred to herein) and U.S. Bank National Association, as trustee under the Indenture referred to below (the “</w:t>
      </w:r>
      <w:r>
        <w:rPr>
          <w:rFonts w:ascii="Arial" w:cs="Arial" w:eastAsia="Arial" w:hAnsi="Arial"/>
          <w:sz w:val="20"/>
          <w:szCs w:val="20"/>
          <w:i w:val="1"/>
          <w:iCs w:val="1"/>
          <w:color w:val="auto"/>
        </w:rPr>
        <w:t>Trustee</w:t>
      </w:r>
      <w:r>
        <w:rPr>
          <w:rFonts w:ascii="Arial" w:cs="Arial" w:eastAsia="Arial" w:hAnsi="Arial"/>
          <w:sz w:val="20"/>
          <w:szCs w:val="20"/>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WHEREAS, the Company has heretofore executed and delivered to the Trustee an indenture (as amended by that certain Supplemental Indenture dated as of May 1, 2017 and as may be further amended, supplemented, or otherwise modified, the “</w:t>
      </w:r>
      <w:r>
        <w:rPr>
          <w:rFonts w:ascii="Arial" w:cs="Arial" w:eastAsia="Arial" w:hAnsi="Arial"/>
          <w:sz w:val="20"/>
          <w:szCs w:val="20"/>
          <w:i w:val="1"/>
          <w:iCs w:val="1"/>
          <w:color w:val="auto"/>
        </w:rPr>
        <w:t>Indenture</w:t>
      </w:r>
      <w:r>
        <w:rPr>
          <w:rFonts w:ascii="Arial" w:cs="Arial" w:eastAsia="Arial" w:hAnsi="Arial"/>
          <w:sz w:val="20"/>
          <w:szCs w:val="20"/>
          <w:color w:val="auto"/>
        </w:rPr>
        <w:t>”), dated as of March 29, 2017 providing for the issuance of 6% Senior Notes due 2025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86"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39"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Subsidiaries and the Trustee mutually covenant and agree for the benefit of each other and the equal and ratable benefit of the Holders of the Notes as follows:</w:t>
      </w:r>
    </w:p>
    <w:p>
      <w:pPr>
        <w:sectPr>
          <w:pgSz w:w="11900" w:h="16838" w:orient="portrait"/>
          <w:cols w:equalWidth="0" w:num="1">
            <w:col w:w="11420"/>
          </w:cols>
          <w:pgMar w:left="240" w:top="116" w:right="239" w:bottom="1440" w:gutter="0" w:footer="0" w:header="0"/>
        </w:sectPr>
      </w:pPr>
    </w:p>
    <w:p>
      <w:pPr>
        <w:spacing w:after="0" w:line="18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Indenture.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w:t>
      </w:r>
    </w:p>
    <w:p>
      <w:pPr>
        <w:spacing w:after="0" w:line="422" w:lineRule="exact"/>
        <w:rPr>
          <w:sz w:val="20"/>
          <w:szCs w:val="20"/>
          <w:color w:val="auto"/>
        </w:rPr>
      </w:pPr>
    </w:p>
    <w:p>
      <w:pPr>
        <w:sectPr>
          <w:pgSz w:w="11900" w:h="16838" w:orient="portrait"/>
          <w:cols w:equalWidth="0" w:num="2">
            <w:col w:w="1600" w:space="720"/>
            <w:col w:w="9100"/>
          </w:cols>
          <w:pgMar w:left="240" w:top="116" w:right="239" w:bottom="1440" w:gutter="0" w:footer="0" w:header="0"/>
          <w:type w:val="continuous"/>
        </w:sectPr>
      </w:pPr>
    </w:p>
    <w:p>
      <w:pPr>
        <w:spacing w:after="0" w:line="46" w:lineRule="exact"/>
        <w:rPr>
          <w:sz w:val="20"/>
          <w:szCs w:val="20"/>
          <w:color w:val="auto"/>
        </w:rPr>
      </w:pPr>
    </w:p>
    <w:p>
      <w:pPr>
        <w:jc w:val="both"/>
        <w:ind w:firstLine="860"/>
        <w:spacing w:after="0" w:line="287" w:lineRule="auto"/>
        <w:rPr>
          <w:sz w:val="20"/>
          <w:szCs w:val="20"/>
          <w:color w:val="auto"/>
        </w:rPr>
      </w:pPr>
      <w:r>
        <w:rPr>
          <w:rFonts w:ascii="Arial" w:cs="Arial" w:eastAsia="Arial" w:hAnsi="Arial"/>
          <w:sz w:val="19"/>
          <w:szCs w:val="19"/>
          <w:color w:val="auto"/>
        </w:rPr>
        <w:t>2. A</w:t>
      </w:r>
      <w:r>
        <w:rPr>
          <w:rFonts w:ascii="Arial" w:cs="Arial" w:eastAsia="Arial" w:hAnsi="Arial"/>
          <w:sz w:val="12"/>
          <w:szCs w:val="12"/>
          <w:color w:val="auto"/>
        </w:rPr>
        <w:t>GREEMENT TO</w:t>
      </w:r>
      <w:r>
        <w:rPr>
          <w:rFonts w:ascii="Arial" w:cs="Arial" w:eastAsia="Arial" w:hAnsi="Arial"/>
          <w:sz w:val="19"/>
          <w:szCs w:val="19"/>
          <w:color w:val="auto"/>
        </w:rPr>
        <w:t xml:space="preserve"> G</w:t>
      </w:r>
      <w:r>
        <w:rPr>
          <w:rFonts w:ascii="Arial" w:cs="Arial" w:eastAsia="Arial" w:hAnsi="Arial"/>
          <w:sz w:val="12"/>
          <w:szCs w:val="12"/>
          <w:color w:val="auto"/>
        </w:rPr>
        <w:t>UARANTEE</w:t>
      </w:r>
      <w:r>
        <w:rPr>
          <w:rFonts w:ascii="Arial" w:cs="Arial" w:eastAsia="Arial" w:hAnsi="Arial"/>
          <w:sz w:val="19"/>
          <w:szCs w:val="19"/>
          <w:color w:val="auto"/>
        </w:rPr>
        <w:t>. Each Guaranteeing Subsidiary hereby agrees to provide an unconditional Guarantee on the terms and subject to the conditions set forth in the Note Guarantee and in the Indenture including but not limited to Article 10 thereof.</w:t>
      </w:r>
    </w:p>
    <w:p>
      <w:pPr>
        <w:spacing w:after="0" w:line="153" w:lineRule="exact"/>
        <w:rPr>
          <w:sz w:val="20"/>
          <w:szCs w:val="20"/>
          <w:color w:val="auto"/>
        </w:rPr>
      </w:pPr>
    </w:p>
    <w:p>
      <w:pPr>
        <w:jc w:val="both"/>
        <w:ind w:firstLine="860"/>
        <w:spacing w:after="0" w:line="244" w:lineRule="auto"/>
        <w:rPr>
          <w:sz w:val="20"/>
          <w:szCs w:val="20"/>
          <w:color w:val="auto"/>
        </w:rPr>
      </w:pPr>
      <w:r>
        <w:rPr>
          <w:rFonts w:ascii="Arial" w:cs="Arial" w:eastAsia="Arial" w:hAnsi="Arial"/>
          <w:sz w:val="20"/>
          <w:szCs w:val="20"/>
          <w:color w:val="auto"/>
        </w:rPr>
        <w:t>3. N</w:t>
      </w:r>
      <w:r>
        <w:rPr>
          <w:rFonts w:ascii="Arial" w:cs="Arial" w:eastAsia="Arial" w:hAnsi="Arial"/>
          <w:sz w:val="13"/>
          <w:szCs w:val="13"/>
          <w:color w:val="auto"/>
        </w:rPr>
        <w:t>O</w:t>
      </w:r>
      <w:r>
        <w:rPr>
          <w:rFonts w:ascii="Arial" w:cs="Arial" w:eastAsia="Arial" w:hAnsi="Arial"/>
          <w:sz w:val="20"/>
          <w:szCs w:val="20"/>
          <w:color w:val="auto"/>
        </w:rPr>
        <w:t xml:space="preserve"> R</w:t>
      </w:r>
      <w:r>
        <w:rPr>
          <w:rFonts w:ascii="Arial" w:cs="Arial" w:eastAsia="Arial" w:hAnsi="Arial"/>
          <w:sz w:val="13"/>
          <w:szCs w:val="13"/>
          <w:color w:val="auto"/>
        </w:rPr>
        <w:t>ECOURSE</w:t>
      </w:r>
      <w:r>
        <w:rPr>
          <w:rFonts w:ascii="Arial" w:cs="Arial" w:eastAsia="Arial" w:hAnsi="Arial"/>
          <w:sz w:val="20"/>
          <w:szCs w:val="20"/>
          <w:color w:val="auto"/>
        </w:rPr>
        <w:t xml:space="preserve"> A</w:t>
      </w:r>
      <w:r>
        <w:rPr>
          <w:rFonts w:ascii="Arial" w:cs="Arial" w:eastAsia="Arial" w:hAnsi="Arial"/>
          <w:sz w:val="13"/>
          <w:szCs w:val="13"/>
          <w:color w:val="auto"/>
        </w:rPr>
        <w:t>GAINST</w:t>
      </w:r>
      <w:r>
        <w:rPr>
          <w:rFonts w:ascii="Arial" w:cs="Arial" w:eastAsia="Arial" w:hAnsi="Arial"/>
          <w:sz w:val="20"/>
          <w:szCs w:val="20"/>
          <w:color w:val="auto"/>
        </w:rPr>
        <w:t xml:space="preserve"> O</w:t>
      </w:r>
      <w:r>
        <w:rPr>
          <w:rFonts w:ascii="Arial" w:cs="Arial" w:eastAsia="Arial" w:hAnsi="Arial"/>
          <w:sz w:val="13"/>
          <w:szCs w:val="13"/>
          <w:color w:val="auto"/>
        </w:rPr>
        <w:t>THERS</w:t>
      </w:r>
      <w:r>
        <w:rPr>
          <w:rFonts w:ascii="Arial" w:cs="Arial" w:eastAsia="Arial" w:hAnsi="Arial"/>
          <w:sz w:val="20"/>
          <w:szCs w:val="20"/>
          <w:color w:val="auto"/>
        </w:rPr>
        <w:t>. No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95"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64" w:name="page65"/>
    <w:bookmarkEnd w:id="64"/>
    <w:p>
      <w:pPr>
        <w:jc w:val="both"/>
        <w:ind w:firstLine="860"/>
        <w:spacing w:after="0" w:line="260" w:lineRule="auto"/>
        <w:rPr>
          <w:sz w:val="20"/>
          <w:szCs w:val="20"/>
          <w:color w:val="auto"/>
        </w:rPr>
      </w:pPr>
      <w:r>
        <w:rPr>
          <w:rFonts w:ascii="Arial" w:cs="Arial" w:eastAsia="Arial" w:hAnsi="Arial"/>
          <w:sz w:val="20"/>
          <w:szCs w:val="20"/>
          <w:color w:val="auto"/>
        </w:rPr>
        <w:t>5. C</w:t>
      </w:r>
      <w:r>
        <w:rPr>
          <w:rFonts w:ascii="Arial" w:cs="Arial" w:eastAsia="Arial" w:hAnsi="Arial"/>
          <w:sz w:val="13"/>
          <w:szCs w:val="13"/>
          <w:color w:val="auto"/>
        </w:rPr>
        <w:t>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7"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color w:val="auto"/>
        </w:rPr>
        <w:t>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92"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200" w:lineRule="exact"/>
        <w:rPr>
          <w:sz w:val="20"/>
          <w:szCs w:val="20"/>
          <w:color w:val="auto"/>
        </w:rPr>
      </w:pPr>
    </w:p>
    <w:p>
      <w:pPr>
        <w:jc w:val="both"/>
        <w:ind w:firstLine="860"/>
        <w:spacing w:after="0" w:line="250" w:lineRule="auto"/>
        <w:rPr>
          <w:sz w:val="20"/>
          <w:szCs w:val="20"/>
          <w:color w:val="auto"/>
        </w:rPr>
      </w:pPr>
      <w:r>
        <w:rPr>
          <w:rFonts w:ascii="Arial" w:cs="Arial" w:eastAsia="Arial" w:hAnsi="Arial"/>
          <w:sz w:val="20"/>
          <w:szCs w:val="20"/>
          <w:color w:val="auto"/>
        </w:rPr>
        <w:t>7. T</w:t>
      </w:r>
      <w:r>
        <w:rPr>
          <w:rFonts w:ascii="Arial" w:cs="Arial" w:eastAsia="Arial" w:hAnsi="Arial"/>
          <w:sz w:val="13"/>
          <w:szCs w:val="13"/>
          <w:color w:val="auto"/>
        </w:rPr>
        <w:t>HE</w:t>
      </w:r>
      <w:r>
        <w:rPr>
          <w:rFonts w:ascii="Arial" w:cs="Arial" w:eastAsia="Arial" w:hAnsi="Arial"/>
          <w:sz w:val="20"/>
          <w:szCs w:val="20"/>
          <w:color w:val="auto"/>
        </w:rPr>
        <w:t xml:space="preserve"> T</w:t>
      </w:r>
      <w:r>
        <w:rPr>
          <w:rFonts w:ascii="Arial" w:cs="Arial" w:eastAsia="Arial" w:hAnsi="Arial"/>
          <w:sz w:val="13"/>
          <w:szCs w:val="13"/>
          <w:color w:val="auto"/>
        </w:rPr>
        <w: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5" w:name="page66"/>
    <w:bookmarkEnd w:id="65"/>
    <w:p>
      <w:pPr>
        <w:ind w:right="20" w:firstLine="877"/>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39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ELGIN HOLDINGS I LLC</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ELGIN HOLDING II LLC</w:t>
      </w:r>
    </w:p>
    <w:p>
      <w:pPr>
        <w:spacing w:after="0" w:line="200"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R. Reeg</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Thomas R. Reeg</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President and Chief Financial Officer</w:t>
            </w:r>
          </w:p>
        </w:tc>
      </w:tr>
    </w:tbl>
    <w:p>
      <w:pPr>
        <w:spacing w:after="0" w:line="19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PPI DEVELOPMENT HOLDINGS LLC</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PPI DEVELOPMENT LLC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80" w:type="dxa"/>
            <w:vAlign w:val="bottom"/>
          </w:tcPr>
          <w:p>
            <w:pPr>
              <w:ind w:left="5720"/>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R. Reeg</w:t>
            </w:r>
          </w:p>
        </w:tc>
        <w:tc>
          <w:tcPr>
            <w:tcW w:w="20" w:type="dxa"/>
            <w:vAlign w:val="bottom"/>
          </w:tcPr>
          <w:p>
            <w:pPr>
              <w:spacing w:after="0"/>
              <w:rPr>
                <w:sz w:val="21"/>
                <w:szCs w:val="21"/>
                <w:color w:val="auto"/>
              </w:rPr>
            </w:pPr>
          </w:p>
        </w:tc>
      </w:tr>
      <w:tr>
        <w:trPr>
          <w:trHeight w:val="206"/>
        </w:trPr>
        <w:tc>
          <w:tcPr>
            <w:tcW w:w="6680" w:type="dxa"/>
            <w:vAlign w:val="bottom"/>
          </w:tcPr>
          <w:p>
            <w:pPr>
              <w:ind w:left="5720"/>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Thomas R. Reeg</w:t>
            </w:r>
          </w:p>
        </w:tc>
        <w:tc>
          <w:tcPr>
            <w:tcW w:w="20" w:type="dxa"/>
            <w:vAlign w:val="bottom"/>
          </w:tcPr>
          <w:p>
            <w:pPr>
              <w:spacing w:after="0"/>
              <w:rPr>
                <w:sz w:val="17"/>
                <w:szCs w:val="17"/>
                <w:color w:val="auto"/>
              </w:rPr>
            </w:pPr>
          </w:p>
        </w:tc>
      </w:tr>
      <w:tr>
        <w:trPr>
          <w:trHeight w:val="250"/>
        </w:trPr>
        <w:tc>
          <w:tcPr>
            <w:tcW w:w="6680" w:type="dxa"/>
            <w:vAlign w:val="bottom"/>
          </w:tcPr>
          <w:p>
            <w:pPr>
              <w:ind w:left="5720"/>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President and Chief Financial Officer</w:t>
            </w:r>
          </w:p>
        </w:tc>
        <w:tc>
          <w:tcPr>
            <w:tcW w:w="20" w:type="dxa"/>
            <w:vAlign w:val="bottom"/>
          </w:tcPr>
          <w:p>
            <w:pPr>
              <w:spacing w:after="0"/>
              <w:rPr>
                <w:sz w:val="21"/>
                <w:szCs w:val="21"/>
                <w:color w:val="auto"/>
              </w:rPr>
            </w:pPr>
          </w:p>
        </w:tc>
      </w:tr>
      <w:tr>
        <w:trPr>
          <w:trHeight w:val="446"/>
        </w:trPr>
        <w:tc>
          <w:tcPr>
            <w:tcW w:w="11420" w:type="dxa"/>
            <w:vAlign w:val="bottom"/>
            <w:gridSpan w:val="2"/>
          </w:tcPr>
          <w:p>
            <w:pPr>
              <w:ind w:left="5720"/>
              <w:spacing w:after="0"/>
              <w:rPr>
                <w:sz w:val="20"/>
                <w:szCs w:val="20"/>
                <w:color w:val="auto"/>
              </w:rPr>
            </w:pPr>
            <w:r>
              <w:rPr>
                <w:rFonts w:ascii="Arial" w:cs="Arial" w:eastAsia="Arial" w:hAnsi="Arial"/>
                <w:sz w:val="20"/>
                <w:szCs w:val="20"/>
                <w:color w:val="auto"/>
              </w:rPr>
              <w:t>ELDORADO RESORTS, INC.</w:t>
            </w:r>
          </w:p>
        </w:tc>
        <w:tc>
          <w:tcPr>
            <w:tcW w:w="20" w:type="dxa"/>
            <w:vAlign w:val="bottom"/>
          </w:tcPr>
          <w:p>
            <w:pPr>
              <w:spacing w:after="0"/>
              <w:rPr>
                <w:sz w:val="24"/>
                <w:szCs w:val="24"/>
                <w:color w:val="auto"/>
              </w:rPr>
            </w:pPr>
          </w:p>
        </w:tc>
      </w:tr>
      <w:tr>
        <w:trPr>
          <w:trHeight w:val="442"/>
        </w:trPr>
        <w:tc>
          <w:tcPr>
            <w:tcW w:w="6680" w:type="dxa"/>
            <w:vAlign w:val="bottom"/>
          </w:tcPr>
          <w:p>
            <w:pPr>
              <w:ind w:left="5720"/>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R. Reeg</w:t>
            </w:r>
          </w:p>
        </w:tc>
        <w:tc>
          <w:tcPr>
            <w:tcW w:w="20" w:type="dxa"/>
            <w:vAlign w:val="bottom"/>
          </w:tcPr>
          <w:p>
            <w:pPr>
              <w:spacing w:after="0"/>
              <w:rPr>
                <w:sz w:val="24"/>
                <w:szCs w:val="24"/>
                <w:color w:val="auto"/>
              </w:rPr>
            </w:pPr>
          </w:p>
        </w:tc>
      </w:tr>
      <w:tr>
        <w:trPr>
          <w:trHeight w:val="206"/>
        </w:trPr>
        <w:tc>
          <w:tcPr>
            <w:tcW w:w="6680" w:type="dxa"/>
            <w:vAlign w:val="bottom"/>
          </w:tcPr>
          <w:p>
            <w:pPr>
              <w:ind w:left="5720"/>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Thomas R. Reeg</w:t>
            </w:r>
          </w:p>
        </w:tc>
        <w:tc>
          <w:tcPr>
            <w:tcW w:w="20" w:type="dxa"/>
            <w:vAlign w:val="bottom"/>
          </w:tcPr>
          <w:p>
            <w:pPr>
              <w:spacing w:after="0"/>
              <w:rPr>
                <w:sz w:val="17"/>
                <w:szCs w:val="17"/>
                <w:color w:val="auto"/>
              </w:rPr>
            </w:pPr>
          </w:p>
        </w:tc>
      </w:tr>
      <w:tr>
        <w:trPr>
          <w:trHeight w:val="250"/>
        </w:trPr>
        <w:tc>
          <w:tcPr>
            <w:tcW w:w="6680" w:type="dxa"/>
            <w:vAlign w:val="bottom"/>
          </w:tcPr>
          <w:p>
            <w:pPr>
              <w:ind w:left="5720"/>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President and Chief Financial Officer</w:t>
            </w:r>
          </w:p>
        </w:tc>
        <w:tc>
          <w:tcPr>
            <w:tcW w:w="20" w:type="dxa"/>
            <w:vAlign w:val="bottom"/>
          </w:tcPr>
          <w:p>
            <w:pPr>
              <w:spacing w:after="0"/>
              <w:rPr>
                <w:sz w:val="21"/>
                <w:szCs w:val="21"/>
                <w:color w:val="auto"/>
              </w:rPr>
            </w:pPr>
          </w:p>
        </w:tc>
      </w:tr>
      <w:tr>
        <w:trPr>
          <w:trHeight w:val="975"/>
        </w:trPr>
        <w:tc>
          <w:tcPr>
            <w:tcW w:w="668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66" w:name="page67"/>
    <w:bookmarkEnd w:id="66"/>
    <w:p>
      <w:pPr>
        <w:ind w:left="452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tbl>
      <w:tblPr>
        <w:tblLayout w:type="fixed"/>
        <w:tblInd w:w="45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Laurel A. Melody-Casasania</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Laurel A. Melody-Casasania</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Vice President</w:t>
            </w:r>
          </w:p>
        </w:tc>
      </w:tr>
    </w:tbl>
    <w:p>
      <w:pPr>
        <w:sectPr>
          <w:pgSz w:w="11900" w:h="16838" w:orient="portrait"/>
          <w:cols w:equalWidth="0" w:num="1">
            <w:col w:w="10220"/>
          </w:cols>
          <w:pgMar w:left="1440" w:top="33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4.3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SIXTH SUPPLEMENTAL INDENTURE</w:t>
      </w:r>
    </w:p>
    <w:p>
      <w:pPr>
        <w:spacing w:after="0" w:line="200"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IXTH</w:t>
      </w:r>
      <w:r>
        <w:rPr>
          <w:rFonts w:ascii="Arial" w:cs="Arial" w:eastAsia="Arial" w:hAnsi="Arial"/>
          <w:sz w:val="20"/>
          <w:szCs w:val="20"/>
          <w:color w:val="auto"/>
        </w:rPr>
        <w:t xml:space="preserve"> S</w:t>
      </w:r>
      <w:r>
        <w:rPr>
          <w:rFonts w:ascii="Arial" w:cs="Arial" w:eastAsia="Arial" w:hAnsi="Arial"/>
          <w:sz w:val="13"/>
          <w:szCs w:val="13"/>
          <w:color w:val="auto"/>
        </w:rPr>
        <w:t>UPPLEMENTAL</w:t>
      </w:r>
      <w:r>
        <w:rPr>
          <w:rFonts w:ascii="Arial" w:cs="Arial" w:eastAsia="Arial" w:hAnsi="Arial"/>
          <w:sz w:val="20"/>
          <w:szCs w:val="20"/>
          <w:color w:val="auto"/>
        </w:rPr>
        <w:t xml:space="preserve"> I</w:t>
      </w:r>
      <w:r>
        <w:rPr>
          <w:rFonts w:ascii="Arial" w:cs="Arial" w:eastAsia="Arial" w:hAnsi="Arial"/>
          <w:sz w:val="13"/>
          <w:szCs w:val="13"/>
          <w:color w:val="auto"/>
        </w:rPr>
        <w:t>NDENTURE</w:t>
      </w:r>
      <w:r>
        <w:rPr>
          <w:rFonts w:ascii="Arial" w:cs="Arial" w:eastAsia="Arial" w:hAnsi="Arial"/>
          <w:sz w:val="20"/>
          <w:szCs w:val="20"/>
          <w:color w:val="auto"/>
        </w:rPr>
        <w:t xml:space="preserve"> (this “</w:t>
      </w:r>
      <w:r>
        <w:rPr>
          <w:rFonts w:ascii="Arial" w:cs="Arial" w:eastAsia="Arial" w:hAnsi="Arial"/>
          <w:sz w:val="20"/>
          <w:szCs w:val="20"/>
          <w:i w:val="1"/>
          <w:iCs w:val="1"/>
          <w:color w:val="auto"/>
        </w:rPr>
        <w:t>Supplemental Indenture</w:t>
      </w:r>
      <w:r>
        <w:rPr>
          <w:rFonts w:ascii="Arial" w:cs="Arial" w:eastAsia="Arial" w:hAnsi="Arial"/>
          <w:sz w:val="20"/>
          <w:szCs w:val="20"/>
          <w:color w:val="auto"/>
        </w:rPr>
        <w:t>”), dated as of August 7, 2018, among E</w:t>
      </w:r>
      <w:r>
        <w:rPr>
          <w:rFonts w:ascii="Arial" w:cs="Arial" w:eastAsia="Arial" w:hAnsi="Arial"/>
          <w:sz w:val="13"/>
          <w:szCs w:val="13"/>
          <w:color w:val="auto"/>
        </w:rPr>
        <w:t>LGIN</w:t>
      </w:r>
      <w:r>
        <w:rPr>
          <w:rFonts w:ascii="Arial" w:cs="Arial" w:eastAsia="Arial" w:hAnsi="Arial"/>
          <w:sz w:val="20"/>
          <w:szCs w:val="20"/>
          <w:color w:val="auto"/>
        </w:rPr>
        <w:t xml:space="preserve"> R</w:t>
      </w:r>
      <w:r>
        <w:rPr>
          <w:rFonts w:ascii="Arial" w:cs="Arial" w:eastAsia="Arial" w:hAnsi="Arial"/>
          <w:sz w:val="13"/>
          <w:szCs w:val="13"/>
          <w:color w:val="auto"/>
        </w:rPr>
        <w:t>IVERBOAT</w:t>
      </w:r>
      <w:r>
        <w:rPr>
          <w:rFonts w:ascii="Arial" w:cs="Arial" w:eastAsia="Arial" w:hAnsi="Arial"/>
          <w:sz w:val="20"/>
          <w:szCs w:val="20"/>
          <w:color w:val="auto"/>
        </w:rPr>
        <w:t xml:space="preserve"> R</w:t>
      </w:r>
      <w:r>
        <w:rPr>
          <w:rFonts w:ascii="Arial" w:cs="Arial" w:eastAsia="Arial" w:hAnsi="Arial"/>
          <w:sz w:val="13"/>
          <w:szCs w:val="13"/>
          <w:color w:val="auto"/>
        </w:rPr>
        <w:t>ESORT</w:t>
      </w:r>
      <w:r>
        <w:rPr>
          <w:rFonts w:ascii="Arial" w:cs="Arial" w:eastAsia="Arial" w:hAnsi="Arial"/>
          <w:sz w:val="20"/>
          <w:szCs w:val="20"/>
          <w:color w:val="auto"/>
        </w:rPr>
        <w:t>-R</w:t>
      </w:r>
      <w:r>
        <w:rPr>
          <w:rFonts w:ascii="Arial" w:cs="Arial" w:eastAsia="Arial" w:hAnsi="Arial"/>
          <w:sz w:val="13"/>
          <w:szCs w:val="13"/>
          <w:color w:val="auto"/>
        </w:rPr>
        <w:t>IVERBOAT</w:t>
      </w:r>
      <w:r>
        <w:rPr>
          <w:rFonts w:ascii="Arial" w:cs="Arial" w:eastAsia="Arial" w:hAnsi="Arial"/>
          <w:sz w:val="20"/>
          <w:szCs w:val="20"/>
          <w:color w:val="auto"/>
        </w:rPr>
        <w:t xml:space="preserve"> C</w:t>
      </w:r>
      <w:r>
        <w:rPr>
          <w:rFonts w:ascii="Arial" w:cs="Arial" w:eastAsia="Arial" w:hAnsi="Arial"/>
          <w:sz w:val="13"/>
          <w:szCs w:val="13"/>
          <w:color w:val="auto"/>
        </w:rPr>
        <w:t>ASINO</w:t>
      </w:r>
      <w:r>
        <w:rPr>
          <w:rFonts w:ascii="Arial" w:cs="Arial" w:eastAsia="Arial" w:hAnsi="Arial"/>
          <w:sz w:val="20"/>
          <w:szCs w:val="20"/>
          <w:color w:val="auto"/>
        </w:rPr>
        <w:t>, an Illinois partnership (the “</w:t>
      </w:r>
      <w:r>
        <w:rPr>
          <w:rFonts w:ascii="Arial" w:cs="Arial" w:eastAsia="Arial" w:hAnsi="Arial"/>
          <w:sz w:val="20"/>
          <w:szCs w:val="20"/>
          <w:i w:val="1"/>
          <w:iCs w:val="1"/>
          <w:color w:val="auto"/>
        </w:rPr>
        <w:t>Guaranteeing Subsidiary</w:t>
      </w:r>
      <w:r>
        <w:rPr>
          <w:rFonts w:ascii="Arial" w:cs="Arial" w:eastAsia="Arial" w:hAnsi="Arial"/>
          <w:sz w:val="20"/>
          <w:szCs w:val="20"/>
          <w:color w:val="auto"/>
        </w:rPr>
        <w:t>”), a subsidiary of Eldorado Resorts, Inc. (or its permitted successor), a Nevada corporation (the “</w:t>
      </w:r>
      <w:r>
        <w:rPr>
          <w:rFonts w:ascii="Arial" w:cs="Arial" w:eastAsia="Arial" w:hAnsi="Arial"/>
          <w:sz w:val="20"/>
          <w:szCs w:val="20"/>
          <w:i w:val="1"/>
          <w:iCs w:val="1"/>
          <w:color w:val="auto"/>
        </w:rPr>
        <w:t>Company</w:t>
      </w:r>
      <w:r>
        <w:rPr>
          <w:rFonts w:ascii="Arial" w:cs="Arial" w:eastAsia="Arial" w:hAnsi="Arial"/>
          <w:sz w:val="20"/>
          <w:szCs w:val="20"/>
          <w:color w:val="auto"/>
        </w:rPr>
        <w:t>”), the Company and U.S. Bank National Association, as trustee under the Indenture referred to below (the “</w:t>
      </w:r>
      <w:r>
        <w:rPr>
          <w:rFonts w:ascii="Arial" w:cs="Arial" w:eastAsia="Arial" w:hAnsi="Arial"/>
          <w:sz w:val="20"/>
          <w:szCs w:val="20"/>
          <w:i w:val="1"/>
          <w:iCs w:val="1"/>
          <w:color w:val="auto"/>
        </w:rPr>
        <w:t>Trustee</w:t>
      </w:r>
      <w:r>
        <w:rPr>
          <w:rFonts w:ascii="Arial" w:cs="Arial" w:eastAsia="Arial" w:hAnsi="Arial"/>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WHEREAS, the Company has heretofore executed and delivered to the Trustee an indenture (as amended by that certain First Supplemental Indenture dated as of December 16, 2015, that certain Second Supplemental Indenture dated as of May 26, 2016, that certain Third Supplemental Indenture, dated as of March 16, 2017, that certain Fourth Supplemental Indenture, dated as of May 1, 2017 and that certain Fifth Supplemental Indenture, dated as of June 18, 2018 and as may be further amended, supplemented, or otherwise modified, the “</w:t>
      </w:r>
      <w:r>
        <w:rPr>
          <w:rFonts w:ascii="Arial" w:cs="Arial" w:eastAsia="Arial" w:hAnsi="Arial"/>
          <w:sz w:val="19"/>
          <w:szCs w:val="19"/>
          <w:i w:val="1"/>
          <w:iCs w:val="1"/>
          <w:color w:val="auto"/>
        </w:rPr>
        <w:t>Indenture</w:t>
      </w:r>
      <w:r>
        <w:rPr>
          <w:rFonts w:ascii="Arial" w:cs="Arial" w:eastAsia="Arial" w:hAnsi="Arial"/>
          <w:sz w:val="19"/>
          <w:szCs w:val="19"/>
          <w:color w:val="auto"/>
        </w:rPr>
        <w:t>”), dated as of July 23, 2015 providing for the issuance of 7% Senior Notes due 2023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181"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39"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Subsidiary and the Trustee mutually covenant and agree for the benefit of each other and the equal and ratable benefit of the Holders of the Notes as follows:</w:t>
      </w:r>
    </w:p>
    <w:p>
      <w:pPr>
        <w:spacing w:after="0" w:line="186" w:lineRule="exact"/>
        <w:rPr>
          <w:sz w:val="20"/>
          <w:szCs w:val="20"/>
          <w:color w:val="auto"/>
        </w:rPr>
      </w:pPr>
    </w:p>
    <w:p>
      <w:pPr>
        <w:ind w:left="860"/>
        <w:spacing w:after="0"/>
        <w:tabs>
          <w:tab w:leader="none" w:pos="1640" w:val="left"/>
          <w:tab w:leader="none" w:pos="3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C</w:t>
      </w:r>
      <w:r>
        <w:rPr>
          <w:rFonts w:ascii="Arial" w:cs="Arial" w:eastAsia="Arial" w:hAnsi="Arial"/>
          <w:sz w:val="13"/>
          <w:szCs w:val="13"/>
          <w:color w:val="auto"/>
        </w:rPr>
        <w:t>APITALIZED</w:t>
      </w:r>
      <w:r>
        <w:rPr>
          <w:rFonts w:ascii="Arial" w:cs="Arial" w:eastAsia="Arial" w:hAnsi="Arial"/>
          <w:sz w:val="20"/>
          <w:szCs w:val="20"/>
          <w:color w:val="auto"/>
        </w:rPr>
        <w:t xml:space="preserve"> T</w:t>
      </w:r>
      <w:r>
        <w:rPr>
          <w:rFonts w:ascii="Arial" w:cs="Arial" w:eastAsia="Arial" w:hAnsi="Arial"/>
          <w:sz w:val="13"/>
          <w:szCs w:val="13"/>
          <w:color w:val="auto"/>
        </w:rPr>
        <w:t>ERMS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Capitalized terms used herein without definition shall have the meanings assigned to them in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ind w:firstLine="868"/>
        <w:spacing w:after="0" w:line="287" w:lineRule="auto"/>
        <w:tabs>
          <w:tab w:leader="none" w:pos="1657" w:val="left"/>
        </w:tabs>
        <w:numPr>
          <w:ilvl w:val="0"/>
          <w:numId w:val="31"/>
        </w:numPr>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2"/>
          <w:szCs w:val="12"/>
          <w:color w:val="auto"/>
        </w:rPr>
        <w:t>GREEMENT TO</w:t>
      </w:r>
      <w:r>
        <w:rPr>
          <w:rFonts w:ascii="Arial" w:cs="Arial" w:eastAsia="Arial" w:hAnsi="Arial"/>
          <w:sz w:val="19"/>
          <w:szCs w:val="19"/>
          <w:color w:val="auto"/>
        </w:rPr>
        <w:t xml:space="preserve"> G</w:t>
      </w:r>
      <w:r>
        <w:rPr>
          <w:rFonts w:ascii="Arial" w:cs="Arial" w:eastAsia="Arial" w:hAnsi="Arial"/>
          <w:sz w:val="12"/>
          <w:szCs w:val="12"/>
          <w:color w:val="auto"/>
        </w:rPr>
        <w:t>UARANTEE</w:t>
      </w:r>
      <w:r>
        <w:rPr>
          <w:rFonts w:ascii="Arial" w:cs="Arial" w:eastAsia="Arial" w:hAnsi="Arial"/>
          <w:sz w:val="19"/>
          <w:szCs w:val="19"/>
          <w:color w:val="auto"/>
        </w:rPr>
        <w:t>. The Guaranteeing Subsidiary hereby agrees to provide an unconditional Guarantee on the terms and subject to the conditions set forth in the Note Guarantee and in the Indenture including but not limited to Article 10 thereof.</w:t>
      </w:r>
    </w:p>
    <w:p>
      <w:pPr>
        <w:spacing w:after="0" w:line="152" w:lineRule="exact"/>
        <w:rPr>
          <w:rFonts w:ascii="Arial" w:cs="Arial" w:eastAsia="Arial" w:hAnsi="Arial"/>
          <w:sz w:val="19"/>
          <w:szCs w:val="19"/>
          <w:color w:val="auto"/>
        </w:rPr>
      </w:pPr>
    </w:p>
    <w:p>
      <w:pPr>
        <w:jc w:val="both"/>
        <w:ind w:firstLine="868"/>
        <w:spacing w:after="0" w:line="244" w:lineRule="auto"/>
        <w:tabs>
          <w:tab w:leader="none" w:pos="1657" w:val="left"/>
        </w:tabs>
        <w:numPr>
          <w:ilvl w:val="0"/>
          <w:numId w:val="31"/>
        </w:numPr>
        <w:rPr>
          <w:rFonts w:ascii="Arial" w:cs="Arial" w:eastAsia="Arial" w:hAnsi="Arial"/>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O</w:t>
      </w:r>
      <w:r>
        <w:rPr>
          <w:rFonts w:ascii="Arial" w:cs="Arial" w:eastAsia="Arial" w:hAnsi="Arial"/>
          <w:sz w:val="20"/>
          <w:szCs w:val="20"/>
          <w:color w:val="auto"/>
        </w:rPr>
        <w:t xml:space="preserve"> R</w:t>
      </w:r>
      <w:r>
        <w:rPr>
          <w:rFonts w:ascii="Arial" w:cs="Arial" w:eastAsia="Arial" w:hAnsi="Arial"/>
          <w:sz w:val="13"/>
          <w:szCs w:val="13"/>
          <w:color w:val="auto"/>
        </w:rPr>
        <w:t>ECOURSE</w:t>
      </w:r>
      <w:r>
        <w:rPr>
          <w:rFonts w:ascii="Arial" w:cs="Arial" w:eastAsia="Arial" w:hAnsi="Arial"/>
          <w:sz w:val="20"/>
          <w:szCs w:val="20"/>
          <w:color w:val="auto"/>
        </w:rPr>
        <w:t xml:space="preserve"> A</w:t>
      </w:r>
      <w:r>
        <w:rPr>
          <w:rFonts w:ascii="Arial" w:cs="Arial" w:eastAsia="Arial" w:hAnsi="Arial"/>
          <w:sz w:val="13"/>
          <w:szCs w:val="13"/>
          <w:color w:val="auto"/>
        </w:rPr>
        <w:t>GAINST</w:t>
      </w:r>
      <w:r>
        <w:rPr>
          <w:rFonts w:ascii="Arial" w:cs="Arial" w:eastAsia="Arial" w:hAnsi="Arial"/>
          <w:sz w:val="20"/>
          <w:szCs w:val="20"/>
          <w:color w:val="auto"/>
        </w:rPr>
        <w:t xml:space="preserve"> O</w:t>
      </w:r>
      <w:r>
        <w:rPr>
          <w:rFonts w:ascii="Arial" w:cs="Arial" w:eastAsia="Arial" w:hAnsi="Arial"/>
          <w:sz w:val="13"/>
          <w:szCs w:val="13"/>
          <w:color w:val="auto"/>
        </w:rPr>
        <w:t>THERS</w:t>
      </w:r>
      <w:r>
        <w:rPr>
          <w:rFonts w:ascii="Arial" w:cs="Arial" w:eastAsia="Arial" w:hAnsi="Arial"/>
          <w:sz w:val="20"/>
          <w:szCs w:val="20"/>
          <w:color w:val="auto"/>
        </w:rPr>
        <w:t>. No director, officer, employee, incorporator or stockholder of the Company or the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94" w:lineRule="exact"/>
        <w:rPr>
          <w:rFonts w:ascii="Arial" w:cs="Arial" w:eastAsia="Arial" w:hAnsi="Arial"/>
          <w:sz w:val="20"/>
          <w:szCs w:val="20"/>
          <w:color w:val="auto"/>
        </w:rPr>
      </w:pPr>
    </w:p>
    <w:p>
      <w:pPr>
        <w:jc w:val="both"/>
        <w:ind w:firstLine="868"/>
        <w:spacing w:after="0" w:line="246" w:lineRule="auto"/>
        <w:tabs>
          <w:tab w:leader="none" w:pos="1657" w:val="left"/>
        </w:tabs>
        <w:numPr>
          <w:ilvl w:val="0"/>
          <w:numId w:val="31"/>
        </w:numPr>
        <w:rPr>
          <w:rFonts w:ascii="Arial" w:cs="Arial" w:eastAsia="Arial" w:hAnsi="Arial"/>
          <w:sz w:val="20"/>
          <w:szCs w:val="20"/>
          <w:color w:val="auto"/>
        </w:rPr>
      </w:pPr>
      <w:r>
        <w:rPr>
          <w:rFonts w:ascii="Arial" w:cs="Arial" w:eastAsia="Arial" w:hAnsi="Arial"/>
          <w:sz w:val="20"/>
          <w:szCs w:val="20"/>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8" w:name="page69"/>
    <w:bookmarkEnd w:id="68"/>
    <w:p>
      <w:pPr>
        <w:ind w:firstLine="868"/>
        <w:spacing w:after="0" w:line="260" w:lineRule="auto"/>
        <w:tabs>
          <w:tab w:leader="none" w:pos="1657" w:val="left"/>
        </w:tabs>
        <w:numPr>
          <w:ilvl w:val="0"/>
          <w:numId w:val="32"/>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7"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color w:val="auto"/>
        </w:rPr>
        <w:t>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92" w:lineRule="exact"/>
        <w:rPr>
          <w:sz w:val="20"/>
          <w:szCs w:val="20"/>
          <w:color w:val="auto"/>
        </w:rPr>
      </w:pPr>
    </w:p>
    <w:p>
      <w:pPr>
        <w:ind w:left="1660" w:hanging="792"/>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38" w:lineRule="exact"/>
        <w:rPr>
          <w:rFonts w:ascii="Arial" w:cs="Arial" w:eastAsia="Arial" w:hAnsi="Arial"/>
          <w:sz w:val="18"/>
          <w:szCs w:val="18"/>
          <w:color w:val="auto"/>
        </w:rPr>
      </w:pPr>
    </w:p>
    <w:p>
      <w:pPr>
        <w:jc w:val="both"/>
        <w:ind w:firstLine="868"/>
        <w:spacing w:after="0" w:line="250" w:lineRule="auto"/>
        <w:tabs>
          <w:tab w:leader="none" w:pos="165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T</w:t>
      </w:r>
      <w:r>
        <w:rPr>
          <w:rFonts w:ascii="Arial" w:cs="Arial" w:eastAsia="Arial" w:hAnsi="Arial"/>
          <w:sz w:val="13"/>
          <w:szCs w:val="13"/>
          <w:color w:val="auto"/>
        </w:rPr>
        <w: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9" w:name="page70"/>
    <w:bookmarkEnd w:id="69"/>
    <w:p>
      <w:pPr>
        <w:ind w:firstLine="877"/>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ELGIN RIVERBOAT RESORT–RIVERBOAT CASINO</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Edmund L. Quatmann, Jr.</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Edmund L. Quatmann, Jr.</w:t>
            </w:r>
          </w:p>
        </w:tc>
      </w:t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Executive Vice President, Chief Legal</w:t>
            </w:r>
          </w:p>
        </w:tc>
      </w:tr>
      <w:tr>
        <w:trPr>
          <w:trHeight w:val="250"/>
        </w:trPr>
        <w:tc>
          <w:tcPr>
            <w:tcW w:w="9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20"/>
                <w:szCs w:val="20"/>
                <w:color w:val="auto"/>
              </w:rPr>
              <w:t>Officer and Secretary</w:t>
            </w:r>
          </w:p>
        </w:tc>
      </w:tr>
      <w:tr>
        <w:trPr>
          <w:trHeight w:val="689"/>
        </w:trPr>
        <w:tc>
          <w:tcPr>
            <w:tcW w:w="5700" w:type="dxa"/>
            <w:vAlign w:val="bottom"/>
            <w:gridSpan w:val="2"/>
          </w:tcPr>
          <w:p>
            <w:pPr>
              <w:spacing w:after="0"/>
              <w:rPr>
                <w:sz w:val="20"/>
                <w:szCs w:val="20"/>
                <w:color w:val="auto"/>
              </w:rPr>
            </w:pPr>
            <w:r>
              <w:rPr>
                <w:rFonts w:ascii="Arial" w:cs="Arial" w:eastAsia="Arial" w:hAnsi="Arial"/>
                <w:sz w:val="20"/>
                <w:szCs w:val="20"/>
                <w:color w:val="auto"/>
              </w:rPr>
              <w:t>ELDORADO RESORTS, INC.</w:t>
            </w:r>
          </w:p>
        </w:tc>
      </w:tr>
      <w:tr>
        <w:trPr>
          <w:trHeight w:val="455"/>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Edmund L. Quatmann, Jr.</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Edmund L. Quatmann, Jr.</w:t>
            </w:r>
          </w:p>
        </w:tc>
      </w:t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Executive Vice President, Chief Legal</w:t>
            </w:r>
          </w:p>
        </w:tc>
      </w:tr>
      <w:tr>
        <w:trPr>
          <w:trHeight w:val="250"/>
        </w:trPr>
        <w:tc>
          <w:tcPr>
            <w:tcW w:w="9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20"/>
                <w:szCs w:val="20"/>
                <w:color w:val="auto"/>
              </w:rPr>
              <w:t>Officer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Sixth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70" w:name="page71"/>
    <w:bookmarkEnd w:id="70"/>
    <w:p>
      <w:pPr>
        <w:ind w:left="452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Trustee</w:t>
      </w:r>
    </w:p>
    <w:p>
      <w:pPr>
        <w:spacing w:after="0" w:line="213" w:lineRule="exact"/>
        <w:rPr>
          <w:sz w:val="20"/>
          <w:szCs w:val="20"/>
          <w:color w:val="auto"/>
        </w:rPr>
      </w:pPr>
    </w:p>
    <w:tbl>
      <w:tblPr>
        <w:tblLayout w:type="fixed"/>
        <w:tblInd w:w="45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M. Hopkins</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Michael M. Hopkins</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Sixth Supplemental Indenture]</w:t>
      </w:r>
    </w:p>
    <w:p>
      <w:pPr>
        <w:sectPr>
          <w:pgSz w:w="11900" w:h="16838" w:orient="portrait"/>
          <w:cols w:equalWidth="0" w:num="1">
            <w:col w:w="10220"/>
          </w:cols>
          <w:pgMar w:left="1440" w:top="35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4.4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SUPPLEMENTAL INDENTURE</w:t>
      </w:r>
    </w:p>
    <w:p>
      <w:pPr>
        <w:spacing w:after="0" w:line="200"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HIRD</w:t>
      </w:r>
      <w:r>
        <w:rPr>
          <w:rFonts w:ascii="Arial" w:cs="Arial" w:eastAsia="Arial" w:hAnsi="Arial"/>
          <w:sz w:val="20"/>
          <w:szCs w:val="20"/>
          <w:color w:val="auto"/>
        </w:rPr>
        <w:t xml:space="preserve"> S</w:t>
      </w:r>
      <w:r>
        <w:rPr>
          <w:rFonts w:ascii="Arial" w:cs="Arial" w:eastAsia="Arial" w:hAnsi="Arial"/>
          <w:sz w:val="13"/>
          <w:szCs w:val="13"/>
          <w:color w:val="auto"/>
        </w:rPr>
        <w:t>UPPLEMENTAL</w:t>
      </w:r>
      <w:r>
        <w:rPr>
          <w:rFonts w:ascii="Arial" w:cs="Arial" w:eastAsia="Arial" w:hAnsi="Arial"/>
          <w:sz w:val="20"/>
          <w:szCs w:val="20"/>
          <w:color w:val="auto"/>
        </w:rPr>
        <w:t xml:space="preserve"> I</w:t>
      </w:r>
      <w:r>
        <w:rPr>
          <w:rFonts w:ascii="Arial" w:cs="Arial" w:eastAsia="Arial" w:hAnsi="Arial"/>
          <w:sz w:val="13"/>
          <w:szCs w:val="13"/>
          <w:color w:val="auto"/>
        </w:rPr>
        <w:t>NDENTURE</w:t>
      </w:r>
      <w:r>
        <w:rPr>
          <w:rFonts w:ascii="Arial" w:cs="Arial" w:eastAsia="Arial" w:hAnsi="Arial"/>
          <w:sz w:val="20"/>
          <w:szCs w:val="20"/>
          <w:color w:val="auto"/>
        </w:rPr>
        <w:t xml:space="preserve"> (this “</w:t>
      </w:r>
      <w:r>
        <w:rPr>
          <w:rFonts w:ascii="Arial" w:cs="Arial" w:eastAsia="Arial" w:hAnsi="Arial"/>
          <w:sz w:val="20"/>
          <w:szCs w:val="20"/>
          <w:i w:val="1"/>
          <w:iCs w:val="1"/>
          <w:color w:val="auto"/>
        </w:rPr>
        <w:t>Supplemental Indenture</w:t>
      </w:r>
      <w:r>
        <w:rPr>
          <w:rFonts w:ascii="Arial" w:cs="Arial" w:eastAsia="Arial" w:hAnsi="Arial"/>
          <w:sz w:val="20"/>
          <w:szCs w:val="20"/>
          <w:color w:val="auto"/>
        </w:rPr>
        <w:t>”), dated as of August 7, 2018, among E</w:t>
      </w:r>
      <w:r>
        <w:rPr>
          <w:rFonts w:ascii="Arial" w:cs="Arial" w:eastAsia="Arial" w:hAnsi="Arial"/>
          <w:sz w:val="13"/>
          <w:szCs w:val="13"/>
          <w:color w:val="auto"/>
        </w:rPr>
        <w:t>LGIN</w:t>
      </w:r>
      <w:r>
        <w:rPr>
          <w:rFonts w:ascii="Arial" w:cs="Arial" w:eastAsia="Arial" w:hAnsi="Arial"/>
          <w:sz w:val="20"/>
          <w:szCs w:val="20"/>
          <w:color w:val="auto"/>
        </w:rPr>
        <w:t xml:space="preserve"> R</w:t>
      </w:r>
      <w:r>
        <w:rPr>
          <w:rFonts w:ascii="Arial" w:cs="Arial" w:eastAsia="Arial" w:hAnsi="Arial"/>
          <w:sz w:val="13"/>
          <w:szCs w:val="13"/>
          <w:color w:val="auto"/>
        </w:rPr>
        <w:t>IVERBOAT</w:t>
      </w:r>
      <w:r>
        <w:rPr>
          <w:rFonts w:ascii="Arial" w:cs="Arial" w:eastAsia="Arial" w:hAnsi="Arial"/>
          <w:sz w:val="20"/>
          <w:szCs w:val="20"/>
          <w:color w:val="auto"/>
        </w:rPr>
        <w:t xml:space="preserve"> R</w:t>
      </w:r>
      <w:r>
        <w:rPr>
          <w:rFonts w:ascii="Arial" w:cs="Arial" w:eastAsia="Arial" w:hAnsi="Arial"/>
          <w:sz w:val="13"/>
          <w:szCs w:val="13"/>
          <w:color w:val="auto"/>
        </w:rPr>
        <w:t>ESORT</w:t>
      </w:r>
      <w:r>
        <w:rPr>
          <w:rFonts w:ascii="Arial" w:cs="Arial" w:eastAsia="Arial" w:hAnsi="Arial"/>
          <w:sz w:val="20"/>
          <w:szCs w:val="20"/>
          <w:color w:val="auto"/>
        </w:rPr>
        <w:t>-R</w:t>
      </w:r>
      <w:r>
        <w:rPr>
          <w:rFonts w:ascii="Arial" w:cs="Arial" w:eastAsia="Arial" w:hAnsi="Arial"/>
          <w:sz w:val="13"/>
          <w:szCs w:val="13"/>
          <w:color w:val="auto"/>
        </w:rPr>
        <w:t>IVERBOAT</w:t>
      </w:r>
      <w:r>
        <w:rPr>
          <w:rFonts w:ascii="Arial" w:cs="Arial" w:eastAsia="Arial" w:hAnsi="Arial"/>
          <w:sz w:val="20"/>
          <w:szCs w:val="20"/>
          <w:color w:val="auto"/>
        </w:rPr>
        <w:t xml:space="preserve"> C</w:t>
      </w:r>
      <w:r>
        <w:rPr>
          <w:rFonts w:ascii="Arial" w:cs="Arial" w:eastAsia="Arial" w:hAnsi="Arial"/>
          <w:sz w:val="13"/>
          <w:szCs w:val="13"/>
          <w:color w:val="auto"/>
        </w:rPr>
        <w:t>ASINO</w:t>
      </w:r>
      <w:r>
        <w:rPr>
          <w:rFonts w:ascii="Arial" w:cs="Arial" w:eastAsia="Arial" w:hAnsi="Arial"/>
          <w:sz w:val="20"/>
          <w:szCs w:val="20"/>
          <w:color w:val="auto"/>
        </w:rPr>
        <w:t>, an Illinois general partnership (the “</w:t>
      </w:r>
      <w:r>
        <w:rPr>
          <w:rFonts w:ascii="Arial" w:cs="Arial" w:eastAsia="Arial" w:hAnsi="Arial"/>
          <w:sz w:val="20"/>
          <w:szCs w:val="20"/>
          <w:i w:val="1"/>
          <w:iCs w:val="1"/>
          <w:color w:val="auto"/>
        </w:rPr>
        <w:t>Guaranteeing Subsidiary</w:t>
      </w:r>
      <w:r>
        <w:rPr>
          <w:rFonts w:ascii="Arial" w:cs="Arial" w:eastAsia="Arial" w:hAnsi="Arial"/>
          <w:sz w:val="20"/>
          <w:szCs w:val="20"/>
          <w:color w:val="auto"/>
        </w:rPr>
        <w:t>”), a subsidiary of Eldorado Resorts, Inc. (or its permitted successor), a Nevada corporation (the “</w:t>
      </w:r>
      <w:r>
        <w:rPr>
          <w:rFonts w:ascii="Arial" w:cs="Arial" w:eastAsia="Arial" w:hAnsi="Arial"/>
          <w:sz w:val="20"/>
          <w:szCs w:val="20"/>
          <w:i w:val="1"/>
          <w:iCs w:val="1"/>
          <w:color w:val="auto"/>
        </w:rPr>
        <w:t>Company</w:t>
      </w:r>
      <w:r>
        <w:rPr>
          <w:rFonts w:ascii="Arial" w:cs="Arial" w:eastAsia="Arial" w:hAnsi="Arial"/>
          <w:sz w:val="20"/>
          <w:szCs w:val="20"/>
          <w:color w:val="auto"/>
        </w:rPr>
        <w:t>”), the Company, the other Guarantors (as defined in the Indenture referred to herein) and U.S. Bank National Association, as trustee under the Indenture referred to below (the “</w:t>
      </w:r>
      <w:r>
        <w:rPr>
          <w:rFonts w:ascii="Arial" w:cs="Arial" w:eastAsia="Arial" w:hAnsi="Arial"/>
          <w:sz w:val="20"/>
          <w:szCs w:val="20"/>
          <w:i w:val="1"/>
          <w:iCs w:val="1"/>
          <w:color w:val="auto"/>
        </w:rPr>
        <w:t>Trustee</w:t>
      </w:r>
      <w:r>
        <w:rPr>
          <w:rFonts w:ascii="Arial" w:cs="Arial" w:eastAsia="Arial" w:hAnsi="Arial"/>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WHEREAS, the Company has heretofore executed and delivered to the Trustee an indenture (as amended by that certain Supplemental Indenture dated as of May 1, 2017, that certain Second Supplemental Indenture dated as of June 18, 2018 and as may be further amended, supplemented, or otherwise modified, the “</w:t>
      </w:r>
      <w:r>
        <w:rPr>
          <w:rFonts w:ascii="Arial" w:cs="Arial" w:eastAsia="Arial" w:hAnsi="Arial"/>
          <w:sz w:val="20"/>
          <w:szCs w:val="20"/>
          <w:i w:val="1"/>
          <w:iCs w:val="1"/>
          <w:color w:val="auto"/>
        </w:rPr>
        <w:t>Indenture</w:t>
      </w:r>
      <w:r>
        <w:rPr>
          <w:rFonts w:ascii="Arial" w:cs="Arial" w:eastAsia="Arial" w:hAnsi="Arial"/>
          <w:sz w:val="20"/>
          <w:szCs w:val="20"/>
          <w:color w:val="auto"/>
        </w:rPr>
        <w:t>”), dated as of March 29, 2017 providing for the issuance of 6% Senior Notes due 2025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92"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39"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Subsidiary and the Trustee mutually covenant and agree for the benefit of each other and the equal and ratable benefit of the Holders of the Notes as follows:</w:t>
      </w:r>
    </w:p>
    <w:p>
      <w:pPr>
        <w:sectPr>
          <w:pgSz w:w="11900" w:h="16838" w:orient="portrait"/>
          <w:cols w:equalWidth="0" w:num="1">
            <w:col w:w="11420"/>
          </w:cols>
          <w:pgMar w:left="240" w:top="116" w:right="239" w:bottom="1440" w:gutter="0" w:footer="0" w:header="0"/>
        </w:sectPr>
      </w:pPr>
    </w:p>
    <w:p>
      <w:pPr>
        <w:spacing w:after="0" w:line="18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Indenture.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w:t>
      </w:r>
    </w:p>
    <w:p>
      <w:pPr>
        <w:spacing w:after="0" w:line="422" w:lineRule="exact"/>
        <w:rPr>
          <w:sz w:val="20"/>
          <w:szCs w:val="20"/>
          <w:color w:val="auto"/>
        </w:rPr>
      </w:pPr>
    </w:p>
    <w:p>
      <w:pPr>
        <w:sectPr>
          <w:pgSz w:w="11900" w:h="16838" w:orient="portrait"/>
          <w:cols w:equalWidth="0" w:num="2">
            <w:col w:w="1600" w:space="720"/>
            <w:col w:w="9100"/>
          </w:cols>
          <w:pgMar w:left="240" w:top="116" w:right="239" w:bottom="1440" w:gutter="0" w:footer="0" w:header="0"/>
          <w:type w:val="continuous"/>
        </w:sectPr>
      </w:pPr>
    </w:p>
    <w:p>
      <w:pPr>
        <w:spacing w:after="0" w:line="46" w:lineRule="exact"/>
        <w:rPr>
          <w:sz w:val="20"/>
          <w:szCs w:val="20"/>
          <w:color w:val="auto"/>
        </w:rPr>
      </w:pPr>
    </w:p>
    <w:p>
      <w:pPr>
        <w:jc w:val="both"/>
        <w:ind w:right="20" w:firstLine="860"/>
        <w:spacing w:after="0" w:line="287" w:lineRule="auto"/>
        <w:rPr>
          <w:sz w:val="20"/>
          <w:szCs w:val="20"/>
          <w:color w:val="auto"/>
        </w:rPr>
      </w:pPr>
      <w:r>
        <w:rPr>
          <w:rFonts w:ascii="Arial" w:cs="Arial" w:eastAsia="Arial" w:hAnsi="Arial"/>
          <w:sz w:val="19"/>
          <w:szCs w:val="19"/>
          <w:color w:val="auto"/>
        </w:rPr>
        <w:t>2. A</w:t>
      </w:r>
      <w:r>
        <w:rPr>
          <w:rFonts w:ascii="Arial" w:cs="Arial" w:eastAsia="Arial" w:hAnsi="Arial"/>
          <w:sz w:val="12"/>
          <w:szCs w:val="12"/>
          <w:color w:val="auto"/>
        </w:rPr>
        <w:t>GREEMENT TO</w:t>
      </w:r>
      <w:r>
        <w:rPr>
          <w:rFonts w:ascii="Arial" w:cs="Arial" w:eastAsia="Arial" w:hAnsi="Arial"/>
          <w:sz w:val="19"/>
          <w:szCs w:val="19"/>
          <w:color w:val="auto"/>
        </w:rPr>
        <w:t xml:space="preserve"> G</w:t>
      </w:r>
      <w:r>
        <w:rPr>
          <w:rFonts w:ascii="Arial" w:cs="Arial" w:eastAsia="Arial" w:hAnsi="Arial"/>
          <w:sz w:val="12"/>
          <w:szCs w:val="12"/>
          <w:color w:val="auto"/>
        </w:rPr>
        <w:t>UARANTEE</w:t>
      </w:r>
      <w:r>
        <w:rPr>
          <w:rFonts w:ascii="Arial" w:cs="Arial" w:eastAsia="Arial" w:hAnsi="Arial"/>
          <w:sz w:val="19"/>
          <w:szCs w:val="19"/>
          <w:color w:val="auto"/>
        </w:rPr>
        <w:t>. The Guaranteeing Subsidiary hereby agrees to provide an unconditional Guarantee on the terms and subject to the conditions set forth in the Note Guarantee and in the Indenture including but not limited to Article 10 thereof.</w:t>
      </w:r>
    </w:p>
    <w:p>
      <w:pPr>
        <w:spacing w:after="0" w:line="153" w:lineRule="exact"/>
        <w:rPr>
          <w:sz w:val="20"/>
          <w:szCs w:val="20"/>
          <w:color w:val="auto"/>
        </w:rPr>
      </w:pPr>
    </w:p>
    <w:p>
      <w:pPr>
        <w:jc w:val="both"/>
        <w:ind w:firstLine="860"/>
        <w:spacing w:after="0" w:line="244" w:lineRule="auto"/>
        <w:rPr>
          <w:sz w:val="20"/>
          <w:szCs w:val="20"/>
          <w:color w:val="auto"/>
        </w:rPr>
      </w:pPr>
      <w:r>
        <w:rPr>
          <w:rFonts w:ascii="Arial" w:cs="Arial" w:eastAsia="Arial" w:hAnsi="Arial"/>
          <w:sz w:val="20"/>
          <w:szCs w:val="20"/>
          <w:color w:val="auto"/>
        </w:rPr>
        <w:t>3. N</w:t>
      </w:r>
      <w:r>
        <w:rPr>
          <w:rFonts w:ascii="Arial" w:cs="Arial" w:eastAsia="Arial" w:hAnsi="Arial"/>
          <w:sz w:val="13"/>
          <w:szCs w:val="13"/>
          <w:color w:val="auto"/>
        </w:rPr>
        <w:t>O</w:t>
      </w:r>
      <w:r>
        <w:rPr>
          <w:rFonts w:ascii="Arial" w:cs="Arial" w:eastAsia="Arial" w:hAnsi="Arial"/>
          <w:sz w:val="20"/>
          <w:szCs w:val="20"/>
          <w:color w:val="auto"/>
        </w:rPr>
        <w:t xml:space="preserve"> R</w:t>
      </w:r>
      <w:r>
        <w:rPr>
          <w:rFonts w:ascii="Arial" w:cs="Arial" w:eastAsia="Arial" w:hAnsi="Arial"/>
          <w:sz w:val="13"/>
          <w:szCs w:val="13"/>
          <w:color w:val="auto"/>
        </w:rPr>
        <w:t>ECOURSE</w:t>
      </w:r>
      <w:r>
        <w:rPr>
          <w:rFonts w:ascii="Arial" w:cs="Arial" w:eastAsia="Arial" w:hAnsi="Arial"/>
          <w:sz w:val="20"/>
          <w:szCs w:val="20"/>
          <w:color w:val="auto"/>
        </w:rPr>
        <w:t xml:space="preserve"> A</w:t>
      </w:r>
      <w:r>
        <w:rPr>
          <w:rFonts w:ascii="Arial" w:cs="Arial" w:eastAsia="Arial" w:hAnsi="Arial"/>
          <w:sz w:val="13"/>
          <w:szCs w:val="13"/>
          <w:color w:val="auto"/>
        </w:rPr>
        <w:t>GAINST</w:t>
      </w:r>
      <w:r>
        <w:rPr>
          <w:rFonts w:ascii="Arial" w:cs="Arial" w:eastAsia="Arial" w:hAnsi="Arial"/>
          <w:sz w:val="20"/>
          <w:szCs w:val="20"/>
          <w:color w:val="auto"/>
        </w:rPr>
        <w:t xml:space="preserve"> O</w:t>
      </w:r>
      <w:r>
        <w:rPr>
          <w:rFonts w:ascii="Arial" w:cs="Arial" w:eastAsia="Arial" w:hAnsi="Arial"/>
          <w:sz w:val="13"/>
          <w:szCs w:val="13"/>
          <w:color w:val="auto"/>
        </w:rPr>
        <w:t>THERS</w:t>
      </w:r>
      <w:r>
        <w:rPr>
          <w:rFonts w:ascii="Arial" w:cs="Arial" w:eastAsia="Arial" w:hAnsi="Arial"/>
          <w:sz w:val="20"/>
          <w:szCs w:val="20"/>
          <w:color w:val="auto"/>
        </w:rPr>
        <w:t>. No director, officer, employee, incorporator or stockholder of the Company or the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95"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72" w:name="page73"/>
    <w:bookmarkEnd w:id="72"/>
    <w:p>
      <w:pPr>
        <w:jc w:val="both"/>
        <w:ind w:firstLine="860"/>
        <w:spacing w:after="0" w:line="260" w:lineRule="auto"/>
        <w:rPr>
          <w:sz w:val="20"/>
          <w:szCs w:val="20"/>
          <w:color w:val="auto"/>
        </w:rPr>
      </w:pPr>
      <w:r>
        <w:rPr>
          <w:rFonts w:ascii="Arial" w:cs="Arial" w:eastAsia="Arial" w:hAnsi="Arial"/>
          <w:sz w:val="20"/>
          <w:szCs w:val="20"/>
          <w:color w:val="auto"/>
        </w:rPr>
        <w:t>5. C</w:t>
      </w:r>
      <w:r>
        <w:rPr>
          <w:rFonts w:ascii="Arial" w:cs="Arial" w:eastAsia="Arial" w:hAnsi="Arial"/>
          <w:sz w:val="13"/>
          <w:szCs w:val="13"/>
          <w:color w:val="auto"/>
        </w:rPr>
        <w:t>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7" w:lineRule="exact"/>
        <w:rPr>
          <w:sz w:val="20"/>
          <w:szCs w:val="20"/>
          <w:color w:val="auto"/>
        </w:rPr>
      </w:pPr>
    </w:p>
    <w:p>
      <w:pPr>
        <w:jc w:val="both"/>
        <w:ind w:firstLine="860"/>
        <w:spacing w:after="0" w:line="246" w:lineRule="auto"/>
        <w:rPr>
          <w:sz w:val="20"/>
          <w:szCs w:val="20"/>
          <w:color w:val="auto"/>
        </w:rPr>
      </w:pPr>
      <w:r>
        <w:rPr>
          <w:rFonts w:ascii="Arial" w:cs="Arial" w:eastAsia="Arial" w:hAnsi="Arial"/>
          <w:sz w:val="20"/>
          <w:szCs w:val="20"/>
          <w:color w:val="auto"/>
        </w:rPr>
        <w:t>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92"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200" w:lineRule="exact"/>
        <w:rPr>
          <w:sz w:val="20"/>
          <w:szCs w:val="20"/>
          <w:color w:val="auto"/>
        </w:rPr>
      </w:pPr>
    </w:p>
    <w:p>
      <w:pPr>
        <w:jc w:val="both"/>
        <w:ind w:firstLine="860"/>
        <w:spacing w:after="0" w:line="250" w:lineRule="auto"/>
        <w:rPr>
          <w:sz w:val="20"/>
          <w:szCs w:val="20"/>
          <w:color w:val="auto"/>
        </w:rPr>
      </w:pPr>
      <w:r>
        <w:rPr>
          <w:rFonts w:ascii="Arial" w:cs="Arial" w:eastAsia="Arial" w:hAnsi="Arial"/>
          <w:sz w:val="20"/>
          <w:szCs w:val="20"/>
          <w:color w:val="auto"/>
        </w:rPr>
        <w:t>7. T</w:t>
      </w:r>
      <w:r>
        <w:rPr>
          <w:rFonts w:ascii="Arial" w:cs="Arial" w:eastAsia="Arial" w:hAnsi="Arial"/>
          <w:sz w:val="13"/>
          <w:szCs w:val="13"/>
          <w:color w:val="auto"/>
        </w:rPr>
        <w:t>HE</w:t>
      </w:r>
      <w:r>
        <w:rPr>
          <w:rFonts w:ascii="Arial" w:cs="Arial" w:eastAsia="Arial" w:hAnsi="Arial"/>
          <w:sz w:val="20"/>
          <w:szCs w:val="20"/>
          <w:color w:val="auto"/>
        </w:rPr>
        <w:t xml:space="preserve"> T</w:t>
      </w:r>
      <w:r>
        <w:rPr>
          <w:rFonts w:ascii="Arial" w:cs="Arial" w:eastAsia="Arial" w:hAnsi="Arial"/>
          <w:sz w:val="13"/>
          <w:szCs w:val="13"/>
          <w:color w:val="auto"/>
        </w:rPr>
        <w: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3" w:name="page74"/>
    <w:bookmarkEnd w:id="73"/>
    <w:p>
      <w:pPr>
        <w:ind w:firstLine="877"/>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39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ELGIN RIVERBOAT RESORT–RIVERBOAT CASINO</w:t>
      </w:r>
    </w:p>
    <w:p>
      <w:pPr>
        <w:spacing w:after="0" w:line="216"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Edmund L. Quatmann, Jr.</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Edmund L. Quatmann, Jr.</w:t>
            </w:r>
          </w:p>
        </w:tc>
      </w:t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Executive Vice President, Chief Legal</w:t>
            </w:r>
          </w:p>
        </w:tc>
      </w:tr>
      <w:tr>
        <w:trPr>
          <w:trHeight w:val="250"/>
        </w:trPr>
        <w:tc>
          <w:tcPr>
            <w:tcW w:w="9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20"/>
                <w:szCs w:val="20"/>
                <w:color w:val="auto"/>
              </w:rPr>
              <w:t>Officer and Secretary</w:t>
            </w:r>
          </w:p>
        </w:tc>
      </w:tr>
      <w:tr>
        <w:trPr>
          <w:trHeight w:val="662"/>
        </w:trPr>
        <w:tc>
          <w:tcPr>
            <w:tcW w:w="5700" w:type="dxa"/>
            <w:vAlign w:val="bottom"/>
            <w:gridSpan w:val="2"/>
          </w:tcPr>
          <w:p>
            <w:pPr>
              <w:spacing w:after="0"/>
              <w:rPr>
                <w:sz w:val="20"/>
                <w:szCs w:val="20"/>
                <w:color w:val="auto"/>
              </w:rPr>
            </w:pPr>
            <w:r>
              <w:rPr>
                <w:rFonts w:ascii="Arial" w:cs="Arial" w:eastAsia="Arial" w:hAnsi="Arial"/>
                <w:sz w:val="20"/>
                <w:szCs w:val="20"/>
                <w:color w:val="auto"/>
              </w:rPr>
              <w:t>ELDORADO RESORTS, INC.</w:t>
            </w:r>
          </w:p>
        </w:tc>
      </w:tr>
      <w:tr>
        <w:trPr>
          <w:trHeight w:val="442"/>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Edmund L. Quatmann, Jr.</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Edmund L. Quatmann, Jr.</w:t>
            </w:r>
          </w:p>
        </w:tc>
      </w:t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Executive Vice President, Chief Legal</w:t>
            </w:r>
          </w:p>
        </w:tc>
      </w:tr>
      <w:tr>
        <w:trPr>
          <w:trHeight w:val="250"/>
        </w:trPr>
        <w:tc>
          <w:tcPr>
            <w:tcW w:w="9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20"/>
                <w:szCs w:val="20"/>
                <w:color w:val="auto"/>
              </w:rPr>
              <w:t>Officer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4" w:name="page75"/>
    <w:bookmarkEnd w:id="74"/>
    <w:p>
      <w:pPr>
        <w:ind w:left="452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tbl>
      <w:tblPr>
        <w:tblLayout w:type="fixed"/>
        <w:tblInd w:w="4520" w:type="dxa"/>
        <w:tblCellMar>
          <w:top w:w="0" w:type="dxa"/>
          <w:left w:w="0" w:type="dxa"/>
          <w:bottom w:w="0" w:type="dxa"/>
          <w:right w:w="0" w:type="dxa"/>
        </w:tblCellMar>
      </w:tblPr>
      <w:tr>
        <w:trPr>
          <w:trHeight w:val="24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M. Hopkins</w:t>
            </w:r>
          </w:p>
        </w:tc>
      </w:tr>
      <w:tr>
        <w:trPr>
          <w:trHeight w:val="206"/>
        </w:trPr>
        <w:tc>
          <w:tcPr>
            <w:tcW w:w="9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Michael M. Hopkins</w:t>
            </w:r>
          </w:p>
        </w:tc>
      </w:tr>
      <w:tr>
        <w:trPr>
          <w:trHeight w:val="25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Third Supplemental Indenture]</w:t>
      </w:r>
    </w:p>
    <w:p>
      <w:pPr>
        <w:sectPr>
          <w:pgSz w:w="11900" w:h="16838" w:orient="portrait"/>
          <w:cols w:equalWidth="0" w:num="1">
            <w:col w:w="10220"/>
          </w:cols>
          <w:pgMar w:left="1440" w:top="339" w:right="239" w:bottom="1440" w:gutter="0" w:footer="0" w:header="0"/>
        </w:sectPr>
      </w:pPr>
    </w:p>
    <w:bookmarkStart w:id="75" w:name="page76"/>
    <w:bookmarkEnd w:id="75"/>
    <w:p>
      <w:pPr>
        <w:ind w:left="1030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AGREEMENT NO. 2</w:t>
      </w:r>
      <w:r>
        <w:rPr>
          <w:rFonts w:ascii="Arial" w:cs="Arial" w:eastAsia="Arial" w:hAnsi="Arial"/>
          <w:sz w:val="19"/>
          <w:szCs w:val="19"/>
          <w:color w:val="auto"/>
        </w:rPr>
        <w:t>, dated as of June 6, 2018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by and among ELDORADO RESORTS, INC., a Nevada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each of the Lenders (each, a “</w:t>
      </w:r>
      <w:r>
        <w:rPr>
          <w:rFonts w:ascii="Arial" w:cs="Arial" w:eastAsia="Arial" w:hAnsi="Arial"/>
          <w:sz w:val="19"/>
          <w:szCs w:val="19"/>
          <w:u w:val="single" w:color="auto"/>
          <w:color w:val="auto"/>
        </w:rPr>
        <w:t>Consenting Lender</w:t>
      </w:r>
      <w:r>
        <w:rPr>
          <w:rFonts w:ascii="Arial" w:cs="Arial" w:eastAsia="Arial" w:hAnsi="Arial"/>
          <w:sz w:val="19"/>
          <w:szCs w:val="19"/>
          <w:color w:val="auto"/>
        </w:rPr>
        <w:t>”, and together, the “</w:t>
      </w:r>
      <w:r>
        <w:rPr>
          <w:rFonts w:ascii="Arial" w:cs="Arial" w:eastAsia="Arial" w:hAnsi="Arial"/>
          <w:sz w:val="19"/>
          <w:szCs w:val="19"/>
          <w:u w:val="single" w:color="auto"/>
          <w:color w:val="auto"/>
        </w:rPr>
        <w:t>Consenting Lenders</w:t>
      </w:r>
      <w:r>
        <w:rPr>
          <w:rFonts w:ascii="Arial" w:cs="Arial" w:eastAsia="Arial" w:hAnsi="Arial"/>
          <w:sz w:val="19"/>
          <w:szCs w:val="19"/>
          <w:color w:val="auto"/>
        </w:rPr>
        <w:t>”) that execute and deliver a Consent (as defined below) to this Amendment, in connection with the Credit Agreement, dated as of April 17, 2017, by and among EAGLE II ACQUISITION COMPANY LLC, a Delaware limited liability company (which on the Closing Date (as defined below) was succeeded by the Borrower, to continue as the Borrower on and after the Closing Date), each lender from time to time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Administrative Agent (as supplemented by the Borrower Joinder Agreement dated as of May 1, 2017 (the “</w:t>
      </w:r>
      <w:r>
        <w:rPr>
          <w:rFonts w:ascii="Arial" w:cs="Arial" w:eastAsia="Arial" w:hAnsi="Arial"/>
          <w:sz w:val="19"/>
          <w:szCs w:val="19"/>
          <w:u w:val="single" w:color="auto"/>
          <w:color w:val="auto"/>
        </w:rPr>
        <w:t>Closing Date</w:t>
      </w:r>
      <w:r>
        <w:rPr>
          <w:rFonts w:ascii="Arial" w:cs="Arial" w:eastAsia="Arial" w:hAnsi="Arial"/>
          <w:sz w:val="19"/>
          <w:szCs w:val="19"/>
          <w:color w:val="auto"/>
        </w:rPr>
        <w:t>”), entered into by and among the Borrower and the Administrative Agent, as amended by the Amendment Agreement dated as of August 15, 2017, between the Borrower and the Administrative Agent, and as further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used herein and not otherwise defined herein shall have the meanings ascribed to them in the Credit Agreement.</w:t>
      </w:r>
    </w:p>
    <w:p>
      <w:pPr>
        <w:spacing w:after="0" w:line="157"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WHEREAS, the Borrower and GLP Capital, L.P., a Pennsylvania limited partnership (“</w:t>
      </w:r>
      <w:r>
        <w:rPr>
          <w:rFonts w:ascii="Arial" w:cs="Arial" w:eastAsia="Arial" w:hAnsi="Arial"/>
          <w:sz w:val="21"/>
          <w:szCs w:val="21"/>
          <w:u w:val="single" w:color="auto"/>
          <w:color w:val="auto"/>
        </w:rPr>
        <w:t>GLP Capita</w:t>
      </w:r>
      <w:r>
        <w:rPr>
          <w:rFonts w:ascii="Arial" w:cs="Arial" w:eastAsia="Arial" w:hAnsi="Arial"/>
          <w:sz w:val="21"/>
          <w:szCs w:val="21"/>
          <w:color w:val="auto"/>
        </w:rPr>
        <w:t>l”) and a subsidiary of Gaming and Leisure Properties, Inc. (“</w:t>
      </w:r>
      <w:r>
        <w:rPr>
          <w:rFonts w:ascii="Arial" w:cs="Arial" w:eastAsia="Arial" w:hAnsi="Arial"/>
          <w:sz w:val="21"/>
          <w:szCs w:val="21"/>
          <w:u w:val="single" w:color="auto"/>
          <w:color w:val="auto"/>
        </w:rPr>
        <w:t>GLPI</w:t>
      </w:r>
      <w:r>
        <w:rPr>
          <w:rFonts w:ascii="Arial" w:cs="Arial" w:eastAsia="Arial" w:hAnsi="Arial"/>
          <w:sz w:val="21"/>
          <w:szCs w:val="21"/>
          <w:color w:val="auto"/>
        </w:rPr>
        <w:t>”) have entered into that certain Agreement and Plan of Merger, dated as of April 15, 2018 (the “</w:t>
      </w:r>
      <w:r>
        <w:rPr>
          <w:rFonts w:ascii="Arial" w:cs="Arial" w:eastAsia="Arial" w:hAnsi="Arial"/>
          <w:sz w:val="21"/>
          <w:szCs w:val="21"/>
          <w:u w:val="single" w:color="auto"/>
          <w:color w:val="auto"/>
        </w:rPr>
        <w:t>Merger Agreement</w:t>
      </w:r>
      <w:r>
        <w:rPr>
          <w:rFonts w:ascii="Arial" w:cs="Arial" w:eastAsia="Arial" w:hAnsi="Arial"/>
          <w:sz w:val="21"/>
          <w:szCs w:val="21"/>
          <w:color w:val="auto"/>
        </w:rPr>
        <w:t>”) with Tropicana Entertainment Inc., a Delaware corporation (the “</w:t>
      </w:r>
      <w:r>
        <w:rPr>
          <w:rFonts w:ascii="Arial" w:cs="Arial" w:eastAsia="Arial" w:hAnsi="Arial"/>
          <w:sz w:val="21"/>
          <w:szCs w:val="21"/>
          <w:u w:val="single" w:color="auto"/>
          <w:color w:val="auto"/>
        </w:rPr>
        <w:t>Target</w:t>
      </w:r>
      <w:r>
        <w:rPr>
          <w:rFonts w:ascii="Arial" w:cs="Arial" w:eastAsia="Arial" w:hAnsi="Arial"/>
          <w:sz w:val="21"/>
          <w:szCs w:val="21"/>
          <w:color w:val="auto"/>
        </w:rPr>
        <w:t>”) and Delta Merger Sub, Inc., a Delaware corporation and a wholly-owned subsidiary of the Borrower (“</w:t>
      </w:r>
      <w:r>
        <w:rPr>
          <w:rFonts w:ascii="Arial" w:cs="Arial" w:eastAsia="Arial" w:hAnsi="Arial"/>
          <w:sz w:val="21"/>
          <w:szCs w:val="21"/>
          <w:u w:val="single" w:color="auto"/>
          <w:color w:val="auto"/>
        </w:rPr>
        <w:t>Merger Sub</w:t>
      </w:r>
      <w:r>
        <w:rPr>
          <w:rFonts w:ascii="Arial" w:cs="Arial" w:eastAsia="Arial" w:hAnsi="Arial"/>
          <w:sz w:val="21"/>
          <w:szCs w:val="21"/>
          <w:color w:val="auto"/>
        </w:rPr>
        <w:t>”), pursuant to which (i) the Borrower intends to acquire, directly or indirectly, the Target through the merger of Merger Sub with and into the Target (the “</w:t>
      </w:r>
      <w:r>
        <w:rPr>
          <w:rFonts w:ascii="Arial" w:cs="Arial" w:eastAsia="Arial" w:hAnsi="Arial"/>
          <w:sz w:val="21"/>
          <w:szCs w:val="21"/>
          <w:u w:val="single" w:color="auto"/>
          <w:color w:val="auto"/>
        </w:rPr>
        <w:t>Merger</w:t>
      </w:r>
      <w:r>
        <w:rPr>
          <w:rFonts w:ascii="Arial" w:cs="Arial" w:eastAsia="Arial" w:hAnsi="Arial"/>
          <w:sz w:val="21"/>
          <w:szCs w:val="21"/>
          <w:color w:val="auto"/>
        </w:rPr>
        <w:t>”), with the Target continuing as the surviving corporation (the “</w:t>
      </w:r>
      <w:r>
        <w:rPr>
          <w:rFonts w:ascii="Arial" w:cs="Arial" w:eastAsia="Arial" w:hAnsi="Arial"/>
          <w:sz w:val="21"/>
          <w:szCs w:val="21"/>
          <w:u w:val="single" w:color="auto"/>
          <w:color w:val="auto"/>
        </w:rPr>
        <w:t>Surviving Corporation</w:t>
      </w:r>
      <w:r>
        <w:rPr>
          <w:rFonts w:ascii="Arial" w:cs="Arial" w:eastAsia="Arial" w:hAnsi="Arial"/>
          <w:sz w:val="21"/>
          <w:szCs w:val="21"/>
          <w:color w:val="auto"/>
        </w:rPr>
        <w:t>”), and (ii) GLPI intends to purchase certain real property assets from the Target and immediately following the Merger, GLP Capital will lease such real property assets to the Surviving Corporation pursuant to a master lease agreement, to be entered into concurrently with the consummation of the Merger, by and among, GLP Capital, as the landlord, and the Surviving Corporation, a wholly owned subsidiary of the Borrower, as tenant (the “</w:t>
      </w:r>
      <w:r>
        <w:rPr>
          <w:rFonts w:ascii="Arial" w:cs="Arial" w:eastAsia="Arial" w:hAnsi="Arial"/>
          <w:sz w:val="21"/>
          <w:szCs w:val="21"/>
          <w:u w:val="single" w:color="auto"/>
          <w:color w:val="auto"/>
        </w:rPr>
        <w:t>Master Lease</w:t>
      </w:r>
      <w:r>
        <w:rPr>
          <w:rFonts w:ascii="Arial" w:cs="Arial" w:eastAsia="Arial" w:hAnsi="Arial"/>
          <w:sz w:val="21"/>
          <w:szCs w:val="21"/>
          <w:color w:val="auto"/>
        </w:rPr>
        <w:t>”);</w:t>
      </w:r>
    </w:p>
    <w:p>
      <w:pPr>
        <w:spacing w:after="0" w:line="182"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WHEREAS, the Borrower desires to make certain amendments to the Credit Agreement as set forth in Section 1 of this Amendment to, among other things, permit the Master Lease or any Additional Lease (as defined below) to be treated as an Operating Lease (and not as a Capital Lease or otherwise as Indebtedness) for all purposes under the Credit Agreement and the other Loan Documents;</w:t>
      </w:r>
    </w:p>
    <w:p>
      <w:pPr>
        <w:spacing w:after="0" w:line="185"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WHEREAS, (x) Section 12.2 of the Credit Agreement provides, subject to certain enumerated exceptions, that any term, covenant, agreement or condition of the Credit Agreement or any of the other Loan Documents may be amended by the Lenders if such amendment is in writing and signed by the Required Lenders (or by the Administrative Agent with the consent of the Required Lenders) and delivered to the Administrative Agent and signed by the Borrower, and (y) Section 12.2(j) of the Credit Agreement provides that the Credit Agreement may be amended, waived or otherwise modified to effect amendments to certain definitions related to the financial covenants set forth in Section 9.14 of the Credit Agreement if such amendment is in writing and signed by the Required Revolving Credit Lenders and delivered to the Administrative Agent and signed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jc w:val="both"/>
        <w:ind w:firstLine="1755"/>
        <w:spacing w:after="0" w:line="251" w:lineRule="auto"/>
        <w:rPr>
          <w:sz w:val="20"/>
          <w:szCs w:val="20"/>
          <w:color w:val="auto"/>
        </w:rPr>
      </w:pPr>
      <w:r>
        <w:rPr>
          <w:rFonts w:ascii="Arial" w:cs="Arial" w:eastAsia="Arial" w:hAnsi="Arial"/>
          <w:sz w:val="22"/>
          <w:szCs w:val="22"/>
          <w:color w:val="auto"/>
        </w:rPr>
        <w:t>WHEREAS, JPMorgan Chase Bank, N.A. will act as sole lead arranger and bookrunner (the “</w:t>
      </w:r>
      <w:r>
        <w:rPr>
          <w:rFonts w:ascii="Arial" w:cs="Arial" w:eastAsia="Arial" w:hAnsi="Arial"/>
          <w:sz w:val="22"/>
          <w:szCs w:val="22"/>
          <w:u w:val="single" w:color="auto"/>
          <w:color w:val="auto"/>
        </w:rPr>
        <w:t>Amendment No.</w:t>
      </w:r>
      <w:r>
        <w:rPr>
          <w:rFonts w:ascii="Arial" w:cs="Arial" w:eastAsia="Arial" w:hAnsi="Arial"/>
          <w:sz w:val="22"/>
          <w:szCs w:val="22"/>
          <w:color w:val="auto"/>
        </w:rPr>
        <w:t xml:space="preserve"> </w:t>
      </w:r>
      <w:r>
        <w:rPr>
          <w:rFonts w:ascii="Arial" w:cs="Arial" w:eastAsia="Arial" w:hAnsi="Arial"/>
          <w:sz w:val="22"/>
          <w:szCs w:val="22"/>
          <w:u w:val="single" w:color="auto"/>
          <w:color w:val="auto"/>
        </w:rPr>
        <w:t>2 Lead Arranger</w:t>
      </w:r>
      <w:r>
        <w:rPr>
          <w:rFonts w:ascii="Arial" w:cs="Arial" w:eastAsia="Arial" w:hAnsi="Arial"/>
          <w:sz w:val="22"/>
          <w:szCs w:val="22"/>
          <w:color w:val="auto"/>
        </w:rPr>
        <w:t>”) in connection with this Amendment; and</w:t>
      </w:r>
    </w:p>
    <w:p>
      <w:pPr>
        <w:spacing w:after="0" w:line="17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WHEREAS, the Borrower, the Guarantors, the Consenting Lenders constituting at least the Required Lenders and the Required Revolving Credit Lenders, and the Administrative Agent agree to the amendments of the Credit Agreement as set forth herein;</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80"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w:t>
      </w:r>
    </w:p>
    <w:p>
      <w:pPr>
        <w:spacing w:after="0" w:line="212" w:lineRule="exact"/>
        <w:rPr>
          <w:sz w:val="20"/>
          <w:szCs w:val="20"/>
          <w:color w:val="auto"/>
        </w:rPr>
      </w:pPr>
    </w:p>
    <w:p>
      <w:pPr>
        <w:ind w:firstLine="1763"/>
        <w:spacing w:after="0" w:line="251" w:lineRule="auto"/>
        <w:tabs>
          <w:tab w:leader="none" w:pos="2643" w:val="left"/>
        </w:tabs>
        <w:numPr>
          <w:ilvl w:val="0"/>
          <w:numId w:val="34"/>
        </w:numPr>
        <w:rPr>
          <w:rFonts w:ascii="Arial" w:cs="Arial" w:eastAsia="Arial" w:hAnsi="Arial"/>
          <w:sz w:val="22"/>
          <w:szCs w:val="22"/>
          <w:color w:val="auto"/>
        </w:rPr>
      </w:pPr>
      <w:r>
        <w:rPr>
          <w:rFonts w:ascii="Arial" w:cs="Arial" w:eastAsia="Arial" w:hAnsi="Arial"/>
          <w:sz w:val="22"/>
          <w:szCs w:val="22"/>
          <w:color w:val="auto"/>
        </w:rPr>
        <w:t>Section 1.1 of the Credit Agreement is hereby amended by adding the following definitions in the appropriate alphabetical order:</w:t>
      </w:r>
    </w:p>
    <w:p>
      <w:pPr>
        <w:spacing w:after="0" w:line="173"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Lease</w:t>
      </w:r>
      <w:r>
        <w:rPr>
          <w:rFonts w:ascii="Arial" w:cs="Arial" w:eastAsia="Arial" w:hAnsi="Arial"/>
          <w:sz w:val="21"/>
          <w:szCs w:val="21"/>
          <w:color w:val="auto"/>
        </w:rPr>
        <w:t>” means any lease agreement entered into by the Borrower or any of its Subsidiaries solely in connection with an acquisition that is consummated on or after Amendment No. 2 Effective Date, pursuant to which, the Borrower or any such Subsidiary will be provided the right under such lease agreement to occupy and use real property, vessels or similar assets for, or in connection with, the construction, development or operation of Gaming Facilities or Related Businesses, that is approved by the Administrative Agent to be designated as an “Additional Lease” under this Agreement and the other Loan Documents (the date of such designation, the “Designation Date”).</w:t>
      </w:r>
    </w:p>
    <w:p>
      <w:pPr>
        <w:spacing w:after="0" w:line="177"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2</w:t>
      </w:r>
      <w:r>
        <w:rPr>
          <w:rFonts w:ascii="Arial" w:cs="Arial" w:eastAsia="Arial" w:hAnsi="Arial"/>
          <w:sz w:val="22"/>
          <w:szCs w:val="22"/>
          <w:color w:val="auto"/>
        </w:rPr>
        <w:t>” means Amendment No. 2 to this Agreement, dated as of the Amendment No. 2 Effective Date, among the Borrower, the Guarantors, the Administrative Agent and the Lenders party thereto.</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2 Effective Date</w:t>
      </w:r>
      <w:r>
        <w:rPr>
          <w:rFonts w:ascii="Arial" w:cs="Arial" w:eastAsia="Arial" w:hAnsi="Arial"/>
          <w:sz w:val="22"/>
          <w:szCs w:val="22"/>
          <w:color w:val="auto"/>
        </w:rPr>
        <w:t>” means June 6, 2018.</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2 Lead Arranger</w:t>
      </w:r>
      <w:r>
        <w:rPr>
          <w:rFonts w:ascii="Arial" w:cs="Arial" w:eastAsia="Arial" w:hAnsi="Arial"/>
          <w:sz w:val="22"/>
          <w:szCs w:val="22"/>
          <w:color w:val="auto"/>
        </w:rPr>
        <w:t>” means JPMorgan Chase Bank, N.A.</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GLP Capital</w:t>
      </w:r>
      <w:r>
        <w:rPr>
          <w:rFonts w:ascii="Arial" w:cs="Arial" w:eastAsia="Arial" w:hAnsi="Arial"/>
          <w:sz w:val="22"/>
          <w:szCs w:val="22"/>
          <w:color w:val="auto"/>
        </w:rPr>
        <w:t>” means, for so long as it is the landlord under the Master Lease, GLP Capital, L.P., a Pennsylvania limited partnership, in its capacity as landlord under the Master Lease, and, thereafter any successor landlord under the Master Lease in such capacity.</w:t>
      </w:r>
    </w:p>
    <w:p>
      <w:pPr>
        <w:spacing w:after="0" w:line="186"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Authorization Trust Arrangement</w:t>
      </w:r>
      <w:r>
        <w:rPr>
          <w:rFonts w:ascii="Arial" w:cs="Arial" w:eastAsia="Arial" w:hAnsi="Arial"/>
          <w:sz w:val="19"/>
          <w:szCs w:val="19"/>
          <w:color w:val="auto"/>
        </w:rPr>
        <w:t>” means any trust arrangement, which is created pursuant to a certain trust agreement (that is in a form reasonably satisfactory to the Administrative Agent) as permitted under applicable Gaming Laws and approved by the applicable Gaming Authority, which permits the Borrower or any Guarantor, as the purchaser (in such capacity, the “</w:t>
      </w:r>
      <w:r>
        <w:rPr>
          <w:rFonts w:ascii="Arial" w:cs="Arial" w:eastAsia="Arial" w:hAnsi="Arial"/>
          <w:sz w:val="19"/>
          <w:szCs w:val="19"/>
          <w:u w:val="single" w:color="auto"/>
          <w:color w:val="auto"/>
        </w:rPr>
        <w:t>Interim Purchaser</w:t>
      </w:r>
      <w:r>
        <w:rPr>
          <w:rFonts w:ascii="Arial" w:cs="Arial" w:eastAsia="Arial" w:hAnsi="Arial"/>
          <w:sz w:val="19"/>
          <w:szCs w:val="19"/>
          <w:color w:val="auto"/>
        </w:rPr>
        <w:t>”), to acquire an ownership interest in an existing casino hotel operation without first being licensed or found qualified by such applicable Gaming Authorities having jurisdiction over such Interim Purchaser, so long as (x) upon the closing of the contemplated acquisition, (i) all Equity Interests and other Property acquired pursuant to such an acquisition, and required by the applicable Gaming Authority, is placed in trust (such trust, an “</w:t>
      </w:r>
      <w:r>
        <w:rPr>
          <w:rFonts w:ascii="Arial" w:cs="Arial" w:eastAsia="Arial" w:hAnsi="Arial"/>
          <w:sz w:val="19"/>
          <w:szCs w:val="19"/>
          <w:u w:val="single" w:color="auto"/>
          <w:color w:val="auto"/>
        </w:rPr>
        <w:t>Interim Trust</w:t>
      </w:r>
      <w:r>
        <w:rPr>
          <w:rFonts w:ascii="Arial" w:cs="Arial" w:eastAsia="Arial" w:hAnsi="Arial"/>
          <w:sz w:val="19"/>
          <w:szCs w:val="19"/>
          <w:color w:val="auto"/>
        </w:rPr>
        <w:t>”) to be held until the required Gaming Licenses are issued or denied by the applicable Gaming Authorities (as further described in clause (y) below), and (ii) such Interim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7" w:name="page78"/>
    <w:bookmarkEnd w:id="77"/>
    <w:p>
      <w:pPr>
        <w:jc w:val="both"/>
        <w:spacing w:after="0" w:line="272" w:lineRule="auto"/>
        <w:rPr>
          <w:sz w:val="20"/>
          <w:szCs w:val="20"/>
          <w:color w:val="auto"/>
        </w:rPr>
      </w:pPr>
      <w:r>
        <w:rPr>
          <w:rFonts w:ascii="Arial" w:cs="Arial" w:eastAsia="Arial" w:hAnsi="Arial"/>
          <w:sz w:val="19"/>
          <w:szCs w:val="19"/>
          <w:color w:val="auto"/>
        </w:rPr>
        <w:t xml:space="preserve">Purchaser complies with the requirements set forth in </w:t>
      </w:r>
      <w:r>
        <w:rPr>
          <w:rFonts w:ascii="Arial" w:cs="Arial" w:eastAsia="Arial" w:hAnsi="Arial"/>
          <w:sz w:val="19"/>
          <w:szCs w:val="19"/>
          <w:u w:val="single" w:color="auto"/>
          <w:color w:val="auto"/>
        </w:rPr>
        <w:t>Section 8.14(a)</w:t>
      </w:r>
      <w:r>
        <w:rPr>
          <w:rFonts w:ascii="Arial" w:cs="Arial" w:eastAsia="Arial" w:hAnsi="Arial"/>
          <w:sz w:val="19"/>
          <w:szCs w:val="19"/>
          <w:color w:val="auto"/>
        </w:rPr>
        <w:t xml:space="preserve">, and (y) promptly following (and in no event later than the applicable time periods set forth in the applicable sections referenced below) (i) the issuance of such Gaming Licenses by the applicable Gaming Authorities having jurisdiction over such Interim Purchaser, (1) such Interim Trust will, in accordance with the applicable Gaming Laws and the terms of the Interim Trust, distribute or otherwise transfer such Equity Interests and all other Property held by such Interim Trust to the Interim Purchaser, and (2) the Interim Purchaser shall take all steps necessary to comply with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with respect to all Equity Interests and other Property acquired pursuant to such an acquisition, or (ii) the decision by the applicable Gaming Authority relating to any pending Gaming License which would cause the Interim Trust to become operative under the applicable Gaming Laws (and as a result, such Interim Trust shall be required under the applicable Gaming Laws to exercise all rights incident to ownership of the property subject to the Interim Trust), (1) such Interim Trust shall take all steps necessary to sell the Equity Interests and the other Property held by such Interim Trust in accordance with this Agreement, the underlying trust agreement and the applicable Gaming Laws, and (2) following such sale (any such sale, an “</w:t>
      </w:r>
      <w:r>
        <w:rPr>
          <w:rFonts w:ascii="Arial" w:cs="Arial" w:eastAsia="Arial" w:hAnsi="Arial"/>
          <w:sz w:val="19"/>
          <w:szCs w:val="19"/>
          <w:u w:val="single" w:color="auto"/>
          <w:color w:val="auto"/>
        </w:rPr>
        <w:t>Interim Trust Asset Disposition</w:t>
      </w:r>
      <w:r>
        <w:rPr>
          <w:rFonts w:ascii="Arial" w:cs="Arial" w:eastAsia="Arial" w:hAnsi="Arial"/>
          <w:sz w:val="19"/>
          <w:szCs w:val="19"/>
          <w:color w:val="auto"/>
        </w:rPr>
        <w:t xml:space="preserve">”), the Borrower and any Interim Purchaser shall use any Net Cash Proceeds received for such Interim Trust Asset Disposition in accordance with the mandatory prepayment requirements set forth in </w:t>
      </w:r>
      <w:r>
        <w:rPr>
          <w:rFonts w:ascii="Arial" w:cs="Arial" w:eastAsia="Arial" w:hAnsi="Arial"/>
          <w:sz w:val="19"/>
          <w:szCs w:val="19"/>
          <w:u w:val="single" w:color="auto"/>
          <w:color w:val="auto"/>
        </w:rPr>
        <w:t>Section 4.4(b)(ix)</w:t>
      </w:r>
      <w:r>
        <w:rPr>
          <w:rFonts w:ascii="Arial" w:cs="Arial" w:eastAsia="Arial" w:hAnsi="Arial"/>
          <w:sz w:val="19"/>
          <w:szCs w:val="19"/>
          <w:color w:val="auto"/>
        </w:rPr>
        <w: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Purchaser</w:t>
      </w:r>
      <w:r>
        <w:rPr>
          <w:rFonts w:ascii="Arial" w:cs="Arial" w:eastAsia="Arial" w:hAnsi="Arial"/>
          <w:sz w:val="19"/>
          <w:szCs w:val="19"/>
          <w:color w:val="auto"/>
        </w:rPr>
        <w:t>” has the meaning set forth in the definition of “Interim Authorization Trust Arrangement”.</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Interim Trust</w:t>
      </w:r>
      <w:r>
        <w:rPr>
          <w:rFonts w:ascii="Arial" w:cs="Arial" w:eastAsia="Arial" w:hAnsi="Arial"/>
          <w:sz w:val="21"/>
          <w:szCs w:val="21"/>
          <w:color w:val="auto"/>
        </w:rPr>
        <w:t>” has the meaning set forth in the definition of “Interim Authorization Trust Arrangement”.</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Trust Asset Disposition</w:t>
      </w:r>
      <w:r>
        <w:rPr>
          <w:rFonts w:ascii="Arial" w:cs="Arial" w:eastAsia="Arial" w:hAnsi="Arial"/>
          <w:sz w:val="19"/>
          <w:szCs w:val="19"/>
          <w:color w:val="auto"/>
        </w:rPr>
        <w:t>” has the meaning set forth in the definition of “Interim Authorization Trust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Arrangement”.</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means each of GLP Capital and any other landlord under an Additional Lease.</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Property</w:t>
      </w:r>
      <w:r>
        <w:rPr>
          <w:rFonts w:ascii="Arial" w:cs="Arial" w:eastAsia="Arial" w:hAnsi="Arial"/>
          <w:sz w:val="22"/>
          <w:szCs w:val="22"/>
          <w:color w:val="auto"/>
        </w:rPr>
        <w:t>” means all “Leased Property” (as defined in the Master Lease from time to time).</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Lease</w:t>
      </w:r>
      <w:r>
        <w:rPr>
          <w:rFonts w:ascii="Arial" w:cs="Arial" w:eastAsia="Arial" w:hAnsi="Arial"/>
          <w:sz w:val="22"/>
          <w:szCs w:val="22"/>
          <w:color w:val="auto"/>
        </w:rPr>
        <w:t>” means the Master Lease, by and among GLP Capital and Tenant, to be entered into concurrently with the consummation of the merger of Tropicana Entertainment Inc., a Delaware corporation and Delta Merger Sub, Inc., a Delaware corporation and a wholly-owned subsidiary of the Borrower.</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Tenant</w:t>
      </w:r>
      <w:r>
        <w:rPr>
          <w:rFonts w:ascii="Arial" w:cs="Arial" w:eastAsia="Arial" w:hAnsi="Arial"/>
          <w:sz w:val="22"/>
          <w:szCs w:val="22"/>
          <w:color w:val="auto"/>
        </w:rPr>
        <w:t>” means, for so long as it is the tenant under the Master Lease, the Borrower’s wholly owned subsidiary, Tropicana Entertainment, Inc., in its capacity as tenant under the Master Lease, and, thereafter, the successor tenant under the Master Lease in such capacity.</w:t>
      </w:r>
    </w:p>
    <w:p>
      <w:pPr>
        <w:spacing w:after="0" w:line="186" w:lineRule="exact"/>
        <w:rPr>
          <w:sz w:val="20"/>
          <w:szCs w:val="20"/>
          <w:color w:val="auto"/>
        </w:rPr>
      </w:pPr>
    </w:p>
    <w:p>
      <w:pPr>
        <w:jc w:val="both"/>
        <w:ind w:firstLine="1763"/>
        <w:spacing w:after="0" w:line="328" w:lineRule="auto"/>
        <w:tabs>
          <w:tab w:leader="none" w:pos="2655"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definition of “Affiliate”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Credit Agreement is hereby amended by adding the following penultimate sentence immediately after the sentence ending “correlative thereto” at the end of such definition: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8" w:name="page79"/>
    <w:bookmarkEnd w:id="78"/>
    <w:p>
      <w:pPr>
        <w:ind w:left="1760"/>
        <w:spacing w:after="0" w:line="251" w:lineRule="auto"/>
        <w:rPr>
          <w:sz w:val="20"/>
          <w:szCs w:val="20"/>
          <w:color w:val="auto"/>
        </w:rPr>
      </w:pPr>
      <w:r>
        <w:rPr>
          <w:rFonts w:ascii="Arial" w:cs="Arial" w:eastAsia="Arial" w:hAnsi="Arial"/>
          <w:sz w:val="22"/>
          <w:szCs w:val="22"/>
          <w:color w:val="auto"/>
        </w:rPr>
        <w:t>“For the avoidance of doubt, none of Gaming and Leisure Properties, Inc. (“</w:t>
      </w:r>
      <w:r>
        <w:rPr>
          <w:rFonts w:ascii="Arial" w:cs="Arial" w:eastAsia="Arial" w:hAnsi="Arial"/>
          <w:sz w:val="22"/>
          <w:szCs w:val="22"/>
          <w:u w:val="single" w:color="auto"/>
          <w:color w:val="auto"/>
        </w:rPr>
        <w:t>GLPI</w:t>
      </w:r>
      <w:r>
        <w:rPr>
          <w:rFonts w:ascii="Arial" w:cs="Arial" w:eastAsia="Arial" w:hAnsi="Arial"/>
          <w:sz w:val="22"/>
          <w:szCs w:val="22"/>
          <w:color w:val="auto"/>
        </w:rPr>
        <w:t>”) or its subsidiaries shall be deemed to be an Affiliate of the Borrower or any of its Subsidiaries.”</w:t>
      </w:r>
    </w:p>
    <w:p>
      <w:pPr>
        <w:spacing w:after="0" w:line="173" w:lineRule="exact"/>
        <w:rPr>
          <w:sz w:val="20"/>
          <w:szCs w:val="20"/>
          <w:color w:val="auto"/>
        </w:rPr>
      </w:pPr>
    </w:p>
    <w:p>
      <w:pPr>
        <w:ind w:right="20" w:firstLine="1763"/>
        <w:spacing w:after="0" w:line="274" w:lineRule="auto"/>
        <w:tabs>
          <w:tab w:leader="none" w:pos="2643"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The definition of “Attributable Indebtedness”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Credit Agreement is hereby amended by adding the following proviso immediately after “as a Capital Lease” at the end of such definition:</w:t>
      </w:r>
    </w:p>
    <w:p>
      <w:pPr>
        <w:spacing w:after="0" w:line="151"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for the avoidance of doubt, the Master Lease and any Additional Lease will be accounted for as an Operating Lease and not as a Capital Lease or Synthetic Lease for all purposes under this Agreement and the other Loan Documents (regardless of how such Master Lease or any such Additional Lease may be treated under GAAP).”</w:t>
      </w:r>
    </w:p>
    <w:p>
      <w:pPr>
        <w:spacing w:after="0" w:line="185" w:lineRule="exact"/>
        <w:rPr>
          <w:sz w:val="20"/>
          <w:szCs w:val="20"/>
          <w:color w:val="auto"/>
        </w:rPr>
      </w:pPr>
    </w:p>
    <w:p>
      <w:pPr>
        <w:jc w:val="both"/>
        <w:ind w:firstLine="1763"/>
        <w:spacing w:after="0" w:line="328" w:lineRule="auto"/>
        <w:tabs>
          <w:tab w:leader="none" w:pos="2655"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The definition of “Capital Lease”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Credit Agreement is hereby amended by adding the following proviso immediately after “(as the same may be amended from time to time)” at the end of such definition:</w:t>
      </w:r>
    </w:p>
    <w:p>
      <w:pPr>
        <w:spacing w:after="0" w:line="105" w:lineRule="exact"/>
        <w:rPr>
          <w:sz w:val="20"/>
          <w:szCs w:val="20"/>
          <w:color w:val="auto"/>
        </w:rPr>
      </w:pPr>
    </w:p>
    <w:p>
      <w:pPr>
        <w:jc w:val="both"/>
        <w:ind w:left="1760"/>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for the avoidance of doubt, the Master Lease and any Additional Lease will be accounted for as an Operating Lease and not as a Capital Lease for all purposes under this Agreement and the other Loan Documents (regardless of how such Master Lease or any such Additional Lease may be treated under GAAP).”</w:t>
      </w:r>
    </w:p>
    <w:p>
      <w:pPr>
        <w:spacing w:after="0" w:line="134" w:lineRule="exact"/>
        <w:rPr>
          <w:sz w:val="20"/>
          <w:szCs w:val="20"/>
          <w:color w:val="auto"/>
        </w:rPr>
      </w:pPr>
    </w:p>
    <w:p>
      <w:pPr>
        <w:ind w:firstLine="1763"/>
        <w:spacing w:after="0" w:line="274" w:lineRule="auto"/>
        <w:tabs>
          <w:tab w:leader="none" w:pos="2643"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The definition of “Capital Lease Obligations”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Credit Agreement is hereby amended by adding the following proviso immediately after “not as a Capital Lease” at the end of such definition:</w:t>
      </w:r>
    </w:p>
    <w:p>
      <w:pPr>
        <w:spacing w:after="0" w:line="151"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for the avoidance of doubt, the Master Lease and any Additional Lease will be accounted for as an Operating Lease and not as a Capital Lease for all purposes under this Agreement and the other Loan Documents (regardless of how such Master Lease or any such Additional Lease may be treated under GAAP).”</w:t>
      </w:r>
    </w:p>
    <w:p>
      <w:pPr>
        <w:spacing w:after="0" w:line="185" w:lineRule="exact"/>
        <w:rPr>
          <w:sz w:val="20"/>
          <w:szCs w:val="20"/>
          <w:color w:val="auto"/>
        </w:rPr>
      </w:pPr>
    </w:p>
    <w:p>
      <w:pPr>
        <w:ind w:right="20" w:firstLine="1763"/>
        <w:spacing w:after="0" w:line="274" w:lineRule="auto"/>
        <w:tabs>
          <w:tab w:leader="none" w:pos="2619"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definition of “Consolidated Interest Expense” set forth in Section 1.1 of the Credit Agreement is hereby amended by adding the following language at the end of clause (a) in such definition prior to the “,”:</w:t>
      </w:r>
    </w:p>
    <w:p>
      <w:pPr>
        <w:spacing w:after="0" w:line="151"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any interest portion of payments in connection with the Master Lease and any Additional Lease shall not be included in interest expense of the Borrower or its Guarantors for purpose of calculating Consolidated Interest Expense (regardless of how such Master Lease or any such Additional Lease may be treated under GAAP)”.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9" w:name="page80"/>
    <w:bookmarkEnd w:id="79"/>
    <w:p>
      <w:pPr>
        <w:ind w:firstLine="1763"/>
        <w:spacing w:after="0" w:line="251" w:lineRule="auto"/>
        <w:tabs>
          <w:tab w:leader="none" w:pos="2655"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The definition of “Consolidated Net Income”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Credit Agreement is hereby amended by adding the following language as the last paragraph thereof:</w:t>
      </w:r>
    </w:p>
    <w:p>
      <w:pPr>
        <w:spacing w:after="0" w:line="173" w:lineRule="exact"/>
        <w:rPr>
          <w:sz w:val="20"/>
          <w:szCs w:val="20"/>
          <w:color w:val="auto"/>
        </w:rPr>
      </w:pPr>
    </w:p>
    <w:p>
      <w:pPr>
        <w:jc w:val="both"/>
        <w:ind w:left="880"/>
        <w:spacing w:after="0" w:line="275" w:lineRule="auto"/>
        <w:rPr>
          <w:sz w:val="20"/>
          <w:szCs w:val="20"/>
          <w:color w:val="auto"/>
        </w:rPr>
      </w:pPr>
      <w:r>
        <w:rPr>
          <w:rFonts w:ascii="Arial" w:cs="Arial" w:eastAsia="Arial" w:hAnsi="Arial"/>
          <w:sz w:val="19"/>
          <w:szCs w:val="19"/>
          <w:color w:val="auto"/>
        </w:rPr>
        <w:t xml:space="preserve">“Notwithstanding anything contained herein to the contrary, for purposes of this Agreement, Consolidated Net Income shall be calculated by deducting, without duplication of amounts otherwise deducted, rent, insurance, property taxes and other amounts and expenses actually paid in cash under the Master Lease or any Additional Lease in the applicable Test Period and no deductions in calculating Consolidated Net Income shall occur as a result of imputed interest, amounts under the Master Lease or any Additional Lease not paid in cash during the relevant Test Period or other non-cash amounts incurred in respect of the Master Lease or any Additional Lease;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“true-up” of rent paid in cash pursuant to the Master Lease or any Additional Lease shall be accounted for in the Fiscal Quarter to which such payment relates as if such payment were originally made in such Fiscal Quarter.”</w:t>
      </w:r>
    </w:p>
    <w:p>
      <w:pPr>
        <w:spacing w:after="0" w:line="158" w:lineRule="exact"/>
        <w:rPr>
          <w:sz w:val="20"/>
          <w:szCs w:val="20"/>
          <w:color w:val="auto"/>
        </w:rPr>
      </w:pPr>
    </w:p>
    <w:p>
      <w:pPr>
        <w:ind w:firstLine="1763"/>
        <w:spacing w:after="0" w:line="251" w:lineRule="auto"/>
        <w:tabs>
          <w:tab w:leader="none" w:pos="26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The definition of “Indebtedness”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Credit Agreement is hereby amended by adding the following parenthetical immediately after “in accordance with GAAP” in clause (f) thereof:</w:t>
      </w:r>
    </w:p>
    <w:p>
      <w:pPr>
        <w:spacing w:after="0" w:line="173" w:lineRule="exact"/>
        <w:rPr>
          <w:sz w:val="20"/>
          <w:szCs w:val="20"/>
          <w:color w:val="auto"/>
        </w:rPr>
      </w:pPr>
    </w:p>
    <w:p>
      <w:pPr>
        <w:ind w:left="1760"/>
        <w:spacing w:after="0" w:line="251" w:lineRule="auto"/>
        <w:rPr>
          <w:sz w:val="20"/>
          <w:szCs w:val="20"/>
          <w:color w:val="auto"/>
        </w:rPr>
      </w:pPr>
      <w:r>
        <w:rPr>
          <w:rFonts w:ascii="Arial" w:cs="Arial" w:eastAsia="Arial" w:hAnsi="Arial"/>
          <w:sz w:val="22"/>
          <w:szCs w:val="22"/>
          <w:color w:val="auto"/>
        </w:rPr>
        <w:t>“(it being agreed that no obligations of such Person under the Master Lease or any Additional Lease shall constitute Indebtedness)”.</w:t>
      </w:r>
    </w:p>
    <w:p>
      <w:pPr>
        <w:spacing w:after="0" w:line="173" w:lineRule="exact"/>
        <w:rPr>
          <w:sz w:val="20"/>
          <w:szCs w:val="20"/>
          <w:color w:val="auto"/>
        </w:rPr>
      </w:pPr>
    </w:p>
    <w:p>
      <w:pPr>
        <w:ind w:firstLine="1763"/>
        <w:spacing w:after="0" w:line="251" w:lineRule="auto"/>
        <w:tabs>
          <w:tab w:leader="none" w:pos="2607"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definition of “Loan Documents” set forth in Section 1.1 of the Credit Agreement is hereby amended by adding “, Amendment No. 2” following the reference to “Amendment No. 1” in such definition.</w:t>
      </w:r>
    </w:p>
    <w:p>
      <w:pPr>
        <w:spacing w:after="0" w:line="173" w:lineRule="exact"/>
        <w:rPr>
          <w:rFonts w:ascii="Arial" w:cs="Arial" w:eastAsia="Arial" w:hAnsi="Arial"/>
          <w:sz w:val="22"/>
          <w:szCs w:val="22"/>
          <w:color w:val="auto"/>
        </w:rPr>
      </w:pPr>
    </w:p>
    <w:p>
      <w:pPr>
        <w:ind w:left="2620" w:hanging="857"/>
        <w:spacing w:after="0"/>
        <w:tabs>
          <w:tab w:leader="none" w:pos="26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The definition of “Net Cash Proceeds”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Credit Agreement is hereby amended by:</w:t>
      </w:r>
    </w:p>
    <w:p>
      <w:pPr>
        <w:spacing w:after="0" w:line="240" w:lineRule="exact"/>
        <w:rPr>
          <w:rFonts w:ascii="Arial" w:cs="Arial" w:eastAsia="Arial" w:hAnsi="Arial"/>
          <w:sz w:val="19"/>
          <w:szCs w:val="19"/>
          <w:color w:val="auto"/>
        </w:rPr>
      </w:pPr>
    </w:p>
    <w:p>
      <w:pPr>
        <w:ind w:left="3360" w:hanging="854"/>
        <w:spacing w:after="0"/>
        <w:tabs>
          <w:tab w:leader="none" w:pos="3360" w:val="left"/>
        </w:tabs>
        <w:numPr>
          <w:ilvl w:val="2"/>
          <w:numId w:val="42"/>
        </w:numPr>
        <w:rPr>
          <w:rFonts w:ascii="Arial" w:cs="Arial" w:eastAsia="Arial" w:hAnsi="Arial"/>
          <w:sz w:val="19"/>
          <w:szCs w:val="19"/>
          <w:color w:val="auto"/>
        </w:rPr>
      </w:pPr>
      <w:r>
        <w:rPr>
          <w:rFonts w:ascii="Arial" w:cs="Arial" w:eastAsia="Arial" w:hAnsi="Arial"/>
          <w:sz w:val="19"/>
          <w:szCs w:val="19"/>
          <w:color w:val="auto"/>
        </w:rPr>
        <w:t>adding the following language immediately after “the applicable lease” at the end of clause</w:t>
      </w:r>
    </w:p>
    <w:p>
      <w:pPr>
        <w:spacing w:after="0" w:line="42" w:lineRule="exact"/>
        <w:rPr>
          <w:rFonts w:ascii="Arial" w:cs="Arial" w:eastAsia="Arial" w:hAnsi="Arial"/>
          <w:sz w:val="19"/>
          <w:szCs w:val="19"/>
          <w:color w:val="auto"/>
        </w:rPr>
      </w:pPr>
    </w:p>
    <w:p>
      <w:pPr>
        <w:ind w:left="1200" w:hanging="315"/>
        <w:spacing w:after="0"/>
        <w:tabs>
          <w:tab w:leader="none" w:pos="12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such definition:</w:t>
      </w:r>
    </w:p>
    <w:p>
      <w:pPr>
        <w:spacing w:after="0" w:line="188" w:lineRule="exact"/>
        <w:rPr>
          <w:sz w:val="20"/>
          <w:szCs w:val="20"/>
          <w:color w:val="auto"/>
        </w:rPr>
      </w:pPr>
    </w:p>
    <w:p>
      <w:pPr>
        <w:jc w:val="both"/>
        <w:ind w:left="1760"/>
        <w:spacing w:after="0" w:line="2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 Casualty Event with respect to property that is subject to the Master Lease and any Additional Lease such cash proceeds shall not constitute Net Cash Proceeds to the extent, and for so long as, such cash proceeds are required, by the terms of such lease, (x) to be paid to the holder of any mortgage, deed of trust or other security agreement securing indebtedness of the lessor,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or (z) to be applied to rent and other amounts due under such lease or to fund costs and expenses of repair, replacement or restoration of such Property, or the preservation or stabilization of such Property (in accordance with the provisions of the applicable lease)”;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0" w:name="page81"/>
    <w:bookmarkEnd w:id="80"/>
    <w:p>
      <w:pPr>
        <w:ind w:left="3420" w:hanging="914"/>
        <w:spacing w:after="0"/>
        <w:tabs>
          <w:tab w:leader="none" w:pos="34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adding the following language as new clause (iv) in such definition:</w:t>
      </w:r>
    </w:p>
    <w:p>
      <w:pPr>
        <w:spacing w:after="0" w:line="206"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“(iv) in the case of any Interim Trust Asset Disposition of the Equity Interests or other Property held in an Interim Trust pursuant to an Interim Authorization Trust Arrangement, the aggregate amount of proceeds or other compensation (including any payments received by way of deferred payment of principal pursuant to a note or otherwise, but only as and when received) received by the Interim Trust directly or indirectly in connection with such Interim Trust Asset Disposition net of all legal fees and other reasonable fees, regulatory fees and assessments, expenses and transaction costs paid by or on behalf of the Interim Trust or the Interim Purchaser actually incurred in connection therewith.”</w:t>
      </w:r>
    </w:p>
    <w:p>
      <w:pPr>
        <w:spacing w:after="0" w:line="151" w:lineRule="exact"/>
        <w:rPr>
          <w:sz w:val="20"/>
          <w:szCs w:val="20"/>
          <w:color w:val="auto"/>
        </w:rPr>
      </w:pPr>
    </w:p>
    <w:p>
      <w:pPr>
        <w:ind w:firstLine="1763"/>
        <w:spacing w:after="0" w:line="251" w:lineRule="auto"/>
        <w:tabs>
          <w:tab w:leader="none" w:pos="2655"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The definition of “Operating Lease”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Credit Agreement is hereby amended by adding the following parenthetical immediately after “not a Capital Lease” at the end thereof:</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“(for the avoidance of doubt, the Master Lease and any Additional Lease are deemed to be Operating Leases)”.</w:t>
      </w:r>
    </w:p>
    <w:p>
      <w:pPr>
        <w:spacing w:after="0" w:line="241" w:lineRule="exact"/>
        <w:rPr>
          <w:sz w:val="20"/>
          <w:szCs w:val="20"/>
          <w:color w:val="auto"/>
        </w:rPr>
      </w:pPr>
    </w:p>
    <w:p>
      <w:pPr>
        <w:ind w:firstLine="1763"/>
        <w:spacing w:after="0" w:line="274" w:lineRule="auto"/>
        <w:tabs>
          <w:tab w:leader="none" w:pos="2607"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The definition of “Permitted Acquisition”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Credit Agreement is hereby amended by adding the following to the last sentence immediately after Unrestricted Subsidiary” at the end thereof:</w:t>
      </w:r>
    </w:p>
    <w:p>
      <w:pPr>
        <w:spacing w:after="0" w:line="151" w:lineRule="exact"/>
        <w:rPr>
          <w:sz w:val="20"/>
          <w:szCs w:val="20"/>
          <w:color w:val="auto"/>
        </w:rPr>
      </w:pPr>
    </w:p>
    <w:p>
      <w:pPr>
        <w:jc w:val="both"/>
        <w:ind w:left="1760"/>
        <w:spacing w:after="0" w:line="249" w:lineRule="auto"/>
        <w:rPr>
          <w:sz w:val="20"/>
          <w:szCs w:val="20"/>
          <w:color w:val="auto"/>
        </w:rPr>
      </w:pPr>
      <w:r>
        <w:rPr>
          <w:rFonts w:ascii="Arial" w:cs="Arial" w:eastAsia="Arial" w:hAnsi="Arial"/>
          <w:sz w:val="21"/>
          <w:szCs w:val="21"/>
          <w:color w:val="auto"/>
        </w:rPr>
        <w:t xml:space="preserve">“, and Permitted Acquisitions may be closed pursuant to an Interim Authorization Trust Arrangement, it being agreed (x) that concurrently with the execution of the underlying trust agreement, such Interim Purchaser shall be required to comply with the requirements set forth in </w:t>
      </w:r>
      <w:r>
        <w:rPr>
          <w:rFonts w:ascii="Arial" w:cs="Arial" w:eastAsia="Arial" w:hAnsi="Arial"/>
          <w:sz w:val="21"/>
          <w:szCs w:val="21"/>
          <w:u w:val="single" w:color="auto"/>
          <w:color w:val="auto"/>
        </w:rPr>
        <w:t>Section 8.14(a)</w:t>
      </w:r>
      <w:r>
        <w:rPr>
          <w:rFonts w:ascii="Arial" w:cs="Arial" w:eastAsia="Arial" w:hAnsi="Arial"/>
          <w:sz w:val="21"/>
          <w:szCs w:val="21"/>
          <w:color w:val="auto"/>
        </w:rPr>
        <w:t>, and (y) that the cap on the consideration as set forth in clause (c) hereinabove shall not apply to any such Permitted Acquisition utilizing an Interim Authorization Trust Arrangement.”</w:t>
      </w:r>
    </w:p>
    <w:p>
      <w:pPr>
        <w:spacing w:after="0" w:line="179" w:lineRule="exact"/>
        <w:rPr>
          <w:sz w:val="20"/>
          <w:szCs w:val="20"/>
          <w:color w:val="auto"/>
        </w:rPr>
      </w:pPr>
    </w:p>
    <w:p>
      <w:pPr>
        <w:jc w:val="both"/>
        <w:ind w:firstLine="1763"/>
        <w:spacing w:after="0"/>
        <w:tabs>
          <w:tab w:leader="none" w:pos="2715"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The definition of “Specified Transaction”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Credit Agreement shall be modified by (i) replacing “and” with “,” and (ii) adding the following language immediately after “the Transactions” at the end of such definition:</w:t>
      </w:r>
    </w:p>
    <w:p>
      <w:pPr>
        <w:spacing w:after="0" w:line="186" w:lineRule="exact"/>
        <w:rPr>
          <w:sz w:val="20"/>
          <w:szCs w:val="20"/>
          <w:color w:val="auto"/>
        </w:rPr>
      </w:pPr>
    </w:p>
    <w:p>
      <w:pPr>
        <w:ind w:left="1760"/>
        <w:spacing w:after="0" w:line="251" w:lineRule="auto"/>
        <w:rPr>
          <w:sz w:val="20"/>
          <w:szCs w:val="20"/>
          <w:color w:val="auto"/>
        </w:rPr>
      </w:pPr>
      <w:r>
        <w:rPr>
          <w:rFonts w:ascii="Arial" w:cs="Arial" w:eastAsia="Arial" w:hAnsi="Arial"/>
          <w:sz w:val="22"/>
          <w:szCs w:val="22"/>
          <w:color w:val="auto"/>
        </w:rPr>
        <w:t>“and (e) any amendment, modification or waiver to any provision of the Master Lease or any Additional Lease.”</w:t>
      </w:r>
    </w:p>
    <w:p>
      <w:pPr>
        <w:spacing w:after="0" w:line="173" w:lineRule="exact"/>
        <w:rPr>
          <w:sz w:val="20"/>
          <w:szCs w:val="20"/>
          <w:color w:val="auto"/>
        </w:rPr>
      </w:pPr>
    </w:p>
    <w:p>
      <w:pPr>
        <w:ind w:firstLine="1763"/>
        <w:spacing w:after="0" w:line="274" w:lineRule="auto"/>
        <w:tabs>
          <w:tab w:leader="none" w:pos="2655"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The definition of “Synthetic Lease”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Credit Agreement is hereby amended by adding the following proviso immediately after “accordance with GAAP” at the end of such definition:</w:t>
      </w:r>
    </w:p>
    <w:p>
      <w:pPr>
        <w:spacing w:after="0" w:line="151" w:lineRule="exact"/>
        <w:rPr>
          <w:sz w:val="20"/>
          <w:szCs w:val="20"/>
          <w:color w:val="auto"/>
        </w:rPr>
      </w:pPr>
    </w:p>
    <w:p>
      <w:pPr>
        <w:jc w:val="both"/>
        <w:ind w:left="1760"/>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for the avoidance of doubt, the Master Lease and any Additional Lease will be accounted for as an Operating Lease and not as a Synthetic Lease for all purposes under this Agreement and the other Loan Documents (regardless of how such Master Lease or any such Additional Lease may be treated under GAAP).”</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1" w:name="page82"/>
    <w:bookmarkEnd w:id="81"/>
    <w:p>
      <w:pPr>
        <w:ind w:left="2660" w:hanging="897"/>
        <w:spacing w:after="0"/>
        <w:tabs>
          <w:tab w:leader="none" w:pos="266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Credit Agreement is hereby amended by adding the following sentence after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last sentence thereof.</w:t>
      </w:r>
    </w:p>
    <w:p>
      <w:pPr>
        <w:spacing w:after="0" w:line="188" w:lineRule="exact"/>
        <w:rPr>
          <w:sz w:val="20"/>
          <w:szCs w:val="20"/>
          <w:color w:val="auto"/>
        </w:rPr>
      </w:pPr>
    </w:p>
    <w:p>
      <w:pPr>
        <w:jc w:val="both"/>
        <w:ind w:left="1760"/>
        <w:spacing w:after="0" w:line="272" w:lineRule="auto"/>
        <w:rPr>
          <w:sz w:val="20"/>
          <w:szCs w:val="20"/>
          <w:color w:val="auto"/>
        </w:rPr>
      </w:pPr>
      <w:r>
        <w:rPr>
          <w:rFonts w:ascii="Arial" w:cs="Arial" w:eastAsia="Arial" w:hAnsi="Arial"/>
          <w:sz w:val="19"/>
          <w:szCs w:val="19"/>
          <w:color w:val="auto"/>
        </w:rPr>
        <w:t xml:space="preserve">“Notwithstanding the foregoing, for all purposes of this Agreement, (a) the Master Lease and any Additional Lease shall not constitute Indebtedness, a Synthetic Lease, a Capital Lease or a Capital Lease Obligation regardless of how such Master Lease or any such Additional Lease may be treated under GAAP, (b) any interest portion of payments in connection with such Master Lease or Additional Lease shall not constitute Consolidated Interest Expense and (c) Consolidated Net Income shall be calculated by deducting, without duplication of amounts otherwise deducted, rent, insurance, property taxes and other amounts and expenses actually paid in cash under the Master Lease or any Additional Lease in the applicable Test Period and no deductions in calculating Consolidated Net Income shall occur as a result of imputed interest, amounts under the Master Lease or any Additional Lease not paid in cash during the relevant Test Period or other non-cash amounts incurred in respect of the Master Lease or any Additional Lease;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“true-up” of rent paid in cash pursuant to the Master Lease or any Additional Lease shall be accounted for in the Fiscal Quarter to which such payment relates as if such payment were originally made in such Fiscal Quarter.”</w:t>
      </w:r>
    </w:p>
    <w:p>
      <w:pPr>
        <w:spacing w:after="0" w:line="162" w:lineRule="exact"/>
        <w:rPr>
          <w:sz w:val="20"/>
          <w:szCs w:val="20"/>
          <w:color w:val="auto"/>
        </w:rPr>
      </w:pPr>
    </w:p>
    <w:p>
      <w:pPr>
        <w:ind w:left="2660" w:hanging="897"/>
        <w:spacing w:after="0"/>
        <w:tabs>
          <w:tab w:leader="none" w:pos="26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Section 4.4(b)</w:t>
      </w:r>
      <w:r>
        <w:rPr>
          <w:rFonts w:ascii="Arial" w:cs="Arial" w:eastAsia="Arial" w:hAnsi="Arial"/>
          <w:sz w:val="22"/>
          <w:szCs w:val="22"/>
          <w:color w:val="auto"/>
        </w:rPr>
        <w:t xml:space="preserve"> of the Credit Agreement is hereby amended by:</w:t>
      </w:r>
    </w:p>
    <w:p>
      <w:pPr>
        <w:spacing w:after="0" w:line="206" w:lineRule="exact"/>
        <w:rPr>
          <w:rFonts w:ascii="Arial" w:cs="Arial" w:eastAsia="Arial" w:hAnsi="Arial"/>
          <w:sz w:val="22"/>
          <w:szCs w:val="22"/>
          <w:color w:val="auto"/>
        </w:rPr>
      </w:pPr>
    </w:p>
    <w:p>
      <w:pPr>
        <w:ind w:left="3360" w:hanging="854"/>
        <w:spacing w:after="0"/>
        <w:tabs>
          <w:tab w:leader="none" w:pos="33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adding the following sentence after the last sentence of clause (iii) thereof:</w:t>
      </w:r>
    </w:p>
    <w:p>
      <w:pPr>
        <w:spacing w:after="0" w:line="206" w:lineRule="exact"/>
        <w:rPr>
          <w:sz w:val="20"/>
          <w:szCs w:val="20"/>
          <w:color w:val="auto"/>
        </w:rPr>
      </w:pPr>
    </w:p>
    <w:p>
      <w:pPr>
        <w:jc w:val="both"/>
        <w:ind w:left="1760"/>
        <w:spacing w:after="0" w:line="235" w:lineRule="auto"/>
        <w:rPr>
          <w:sz w:val="20"/>
          <w:szCs w:val="20"/>
          <w:color w:val="auto"/>
        </w:rPr>
      </w:pPr>
      <w:r>
        <w:rPr>
          <w:rFonts w:ascii="Arial" w:cs="Arial" w:eastAsia="Arial" w:hAnsi="Arial"/>
          <w:sz w:val="22"/>
          <w:szCs w:val="22"/>
          <w:color w:val="auto"/>
        </w:rPr>
        <w:t>“If the Property that suffers a Casualty Event is subject to the Master Lease or an Additional Lease, such reinvestment may be made in accordance with the Master Lease or such Additional Lease (it being understood that such Property so repaired, replaced, restored or otherwise acquired may be owned by GLPI or a Subsidiary of GLPI and leased to Borrower or a Wholly Owned Subsidiary of Borrower under the Master Lease (or, in the case of any Additional Lease, owned by the Landlord thereunder and leased to Borrower or a Wholly Owned Subsidiary of Borrower.”; and</w:t>
      </w:r>
    </w:p>
    <w:p>
      <w:pPr>
        <w:spacing w:after="0" w:line="188" w:lineRule="exact"/>
        <w:rPr>
          <w:sz w:val="20"/>
          <w:szCs w:val="20"/>
          <w:color w:val="auto"/>
        </w:rPr>
      </w:pPr>
    </w:p>
    <w:p>
      <w:pPr>
        <w:ind w:left="3420" w:hanging="914"/>
        <w:spacing w:after="0"/>
        <w:tabs>
          <w:tab w:leader="none" w:pos="34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adding the following language as a new clause (ix) of such Section:</w:t>
      </w:r>
    </w:p>
    <w:p>
      <w:pPr>
        <w:spacing w:after="0" w:line="206" w:lineRule="exact"/>
        <w:rPr>
          <w:sz w:val="20"/>
          <w:szCs w:val="20"/>
          <w:color w:val="auto"/>
        </w:rPr>
      </w:pPr>
    </w:p>
    <w:p>
      <w:pPr>
        <w:jc w:val="both"/>
        <w:ind w:left="1760"/>
        <w:spacing w:after="0" w:line="276" w:lineRule="auto"/>
        <w:rPr>
          <w:sz w:val="20"/>
          <w:szCs w:val="20"/>
          <w:color w:val="auto"/>
        </w:rPr>
      </w:pPr>
      <w:r>
        <w:rPr>
          <w:rFonts w:ascii="Arial" w:cs="Arial" w:eastAsia="Arial" w:hAnsi="Arial"/>
          <w:sz w:val="19"/>
          <w:szCs w:val="19"/>
          <w:color w:val="auto"/>
        </w:rPr>
        <w:t xml:space="preserve">“(ix) </w:t>
      </w:r>
      <w:r>
        <w:rPr>
          <w:rFonts w:ascii="Arial" w:cs="Arial" w:eastAsia="Arial" w:hAnsi="Arial"/>
          <w:sz w:val="19"/>
          <w:szCs w:val="19"/>
          <w:u w:val="single" w:color="auto"/>
          <w:color w:val="auto"/>
        </w:rPr>
        <w:t>Interim Trust Disposition</w:t>
      </w:r>
      <w:r>
        <w:rPr>
          <w:rFonts w:ascii="Arial" w:cs="Arial" w:eastAsia="Arial" w:hAnsi="Arial"/>
          <w:sz w:val="19"/>
          <w:szCs w:val="19"/>
          <w:color w:val="auto"/>
        </w:rPr>
        <w:t xml:space="preserve">. Subject to the applicable Gaming Laws and Gaming Authorities, the Borrower shall make mandatory principal prepayments of the Loans in the manner set forth in </w:t>
      </w:r>
      <w:r>
        <w:rPr>
          <w:rFonts w:ascii="Arial" w:cs="Arial" w:eastAsia="Arial" w:hAnsi="Arial"/>
          <w:sz w:val="19"/>
          <w:szCs w:val="19"/>
          <w:u w:val="single" w:color="auto"/>
          <w:color w:val="auto"/>
        </w:rPr>
        <w:t>Section 4.4(b)</w:t>
      </w:r>
    </w:p>
    <w:p>
      <w:pPr>
        <w:spacing w:after="0" w:line="2" w:lineRule="exact"/>
        <w:rPr>
          <w:sz w:val="20"/>
          <w:szCs w:val="20"/>
          <w:color w:val="auto"/>
        </w:rPr>
      </w:pPr>
    </w:p>
    <w:p>
      <w:pPr>
        <w:jc w:val="both"/>
        <w:ind w:left="1760" w:firstLine="3"/>
        <w:spacing w:after="0" w:line="287" w:lineRule="auto"/>
        <w:tabs>
          <w:tab w:leader="none" w:pos="2102" w:val="left"/>
        </w:tabs>
        <w:numPr>
          <w:ilvl w:val="0"/>
          <w:numId w:val="52"/>
        </w:numPr>
        <w:rPr>
          <w:rFonts w:ascii="Arial" w:cs="Arial" w:eastAsia="Arial" w:hAnsi="Arial"/>
          <w:sz w:val="19"/>
          <w:szCs w:val="19"/>
          <w:u w:val="single" w:color="auto"/>
          <w:color w:val="auto"/>
        </w:rPr>
      </w:pPr>
      <w:r>
        <w:rPr>
          <w:rFonts w:ascii="Arial" w:cs="Arial" w:eastAsia="Arial" w:hAnsi="Arial"/>
          <w:sz w:val="19"/>
          <w:szCs w:val="19"/>
          <w:color w:val="auto"/>
        </w:rPr>
        <w:t>above in an amount equal to 100% of the aggregate Net Cash Proceeds from any Interim Trust Asset Disposition by such Interim Trust. Such prepayments shall be made within three Business Days after the date of receipt of the Net Cash Proceeds of any such Interim Trust Asset Disposition by such Interim Trust.”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2" w:name="page83"/>
    <w:bookmarkEnd w:id="82"/>
    <w:p>
      <w:pPr>
        <w:ind w:firstLine="1763"/>
        <w:spacing w:after="0" w:line="251" w:lineRule="auto"/>
        <w:tabs>
          <w:tab w:leader="none" w:pos="2655"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Section 4.4(c)</w:t>
      </w:r>
      <w:r>
        <w:rPr>
          <w:rFonts w:ascii="Arial" w:cs="Arial" w:eastAsia="Arial" w:hAnsi="Arial"/>
          <w:sz w:val="22"/>
          <w:szCs w:val="22"/>
          <w:color w:val="auto"/>
        </w:rPr>
        <w:t xml:space="preserve"> of the Credit Agreement is hereby amended by replacing “Closing Date” with “Amendment No. 2 Effective Date”</w:t>
      </w:r>
    </w:p>
    <w:p>
      <w:pPr>
        <w:spacing w:after="0" w:line="173" w:lineRule="exact"/>
        <w:rPr>
          <w:rFonts w:ascii="Arial" w:cs="Arial" w:eastAsia="Arial" w:hAnsi="Arial"/>
          <w:sz w:val="22"/>
          <w:szCs w:val="22"/>
          <w:color w:val="auto"/>
        </w:rPr>
      </w:pPr>
    </w:p>
    <w:p>
      <w:pPr>
        <w:ind w:left="2620" w:hanging="857"/>
        <w:spacing w:after="0"/>
        <w:tabs>
          <w:tab w:leader="none" w:pos="262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of the Credit Agreement is hereby amended by adding the following language as a new</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7.34</w:t>
      </w:r>
      <w:r>
        <w:rPr>
          <w:rFonts w:ascii="Arial" w:cs="Arial" w:eastAsia="Arial" w:hAnsi="Arial"/>
          <w:sz w:val="22"/>
          <w:szCs w:val="22"/>
          <w:color w:val="auto"/>
        </w:rPr>
        <w:t>:</w:t>
      </w:r>
    </w:p>
    <w:p>
      <w:pPr>
        <w:spacing w:after="0" w:line="188"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22"/>
          <w:szCs w:val="22"/>
          <w:color w:val="auto"/>
        </w:rPr>
        <w:t>“SECTION 7.34.</w:t>
      </w:r>
      <w:r>
        <w:rPr>
          <w:sz w:val="20"/>
          <w:szCs w:val="20"/>
          <w:color w:val="auto"/>
        </w:rPr>
        <w:tab/>
      </w:r>
      <w:r>
        <w:rPr>
          <w:rFonts w:ascii="Arial" w:cs="Arial" w:eastAsia="Arial" w:hAnsi="Arial"/>
          <w:sz w:val="19"/>
          <w:szCs w:val="19"/>
          <w:color w:val="auto"/>
        </w:rPr>
        <w:t>Master Lease and Additional Leases.</w:t>
      </w:r>
    </w:p>
    <w:p>
      <w:pPr>
        <w:spacing w:after="0" w:line="206" w:lineRule="exact"/>
        <w:rPr>
          <w:sz w:val="20"/>
          <w:szCs w:val="20"/>
          <w:color w:val="auto"/>
        </w:rPr>
      </w:pPr>
    </w:p>
    <w:p>
      <w:pPr>
        <w:jc w:val="both"/>
        <w:ind w:left="880" w:firstLine="1626"/>
        <w:spacing w:after="0" w:line="238" w:lineRule="auto"/>
        <w:tabs>
          <w:tab w:leader="none" w:pos="338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Borrower has delivered to the Administrative Agent, (x) on the Amendment No. 2 Effective Date, a true, complete and correct copy of the Master Lease, as in effect on the Amendment No. 2 Effective Date, and (y) on or prior to any Designation Date for any Additional Lease, a true, complete and correct copy of such Additional Lease, as in effect on such Designation Date.</w:t>
      </w:r>
    </w:p>
    <w:p>
      <w:pPr>
        <w:spacing w:after="0" w:line="185" w:lineRule="exact"/>
        <w:rPr>
          <w:rFonts w:ascii="Arial" w:cs="Arial" w:eastAsia="Arial" w:hAnsi="Arial"/>
          <w:sz w:val="22"/>
          <w:szCs w:val="22"/>
          <w:color w:val="auto"/>
        </w:rPr>
      </w:pPr>
    </w:p>
    <w:p>
      <w:pPr>
        <w:jc w:val="both"/>
        <w:ind w:left="880" w:firstLine="1626"/>
        <w:spacing w:after="0" w:line="279" w:lineRule="auto"/>
        <w:tabs>
          <w:tab w:leader="none" w:pos="34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So long as the Master Lease or any Additional Lease is then in effect, the Borrower and its Subsidiaries have paid all material payments required to be made by it under the Master Lease or such Additional Lease, as applicable (other than any amount the validity of which is currently being contested in good faith by appropriate proceedings and with respect to which reserves in conformity with GAAP have been provided on the books of the Borrower or such Subsidiary, as the case may be, and any amounts that are due but not yet delinquent), except where failure to make such payments would not reasonably be expected to have a Material Adverse Effect.</w:t>
      </w:r>
    </w:p>
    <w:p>
      <w:pPr>
        <w:spacing w:after="0" w:line="150" w:lineRule="exact"/>
        <w:rPr>
          <w:rFonts w:ascii="Arial" w:cs="Arial" w:eastAsia="Arial" w:hAnsi="Arial"/>
          <w:sz w:val="19"/>
          <w:szCs w:val="19"/>
          <w:color w:val="auto"/>
        </w:rPr>
      </w:pPr>
    </w:p>
    <w:p>
      <w:pPr>
        <w:jc w:val="both"/>
        <w:ind w:left="880" w:firstLine="1626"/>
        <w:spacing w:after="0" w:line="234" w:lineRule="auto"/>
        <w:tabs>
          <w:tab w:leader="none" w:pos="3388" w:val="left"/>
        </w:tabs>
        <w:numPr>
          <w:ilvl w:val="1"/>
          <w:numId w:val="54"/>
        </w:numPr>
        <w:rPr>
          <w:rFonts w:ascii="Arial" w:cs="Arial" w:eastAsia="Arial" w:hAnsi="Arial"/>
          <w:sz w:val="22"/>
          <w:szCs w:val="22"/>
          <w:color w:val="auto"/>
        </w:rPr>
      </w:pPr>
      <w:r>
        <w:rPr>
          <w:rFonts w:ascii="Arial" w:cs="Arial" w:eastAsia="Arial" w:hAnsi="Arial"/>
          <w:sz w:val="22"/>
          <w:szCs w:val="22"/>
          <w:color w:val="auto"/>
        </w:rPr>
        <w:t>(x) the Master Lease is in full force and effect and will be or is, as applicable, legal, valid, binding and enforceable against the Credit Parties party thereto, in accordance with its terms, and (y) any Additional Lease, once so designated on the applicable Designation Date, will be in full force and effect and will be legal, valid, binding and enforceable against the Credit Parties party thereto, in accordance with its terms, in each case,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91" w:lineRule="exact"/>
        <w:rPr>
          <w:rFonts w:ascii="Arial" w:cs="Arial" w:eastAsia="Arial" w:hAnsi="Arial"/>
          <w:sz w:val="22"/>
          <w:szCs w:val="22"/>
          <w:color w:val="auto"/>
        </w:rPr>
      </w:pPr>
    </w:p>
    <w:p>
      <w:pPr>
        <w:jc w:val="both"/>
        <w:ind w:firstLine="1763"/>
        <w:spacing w:after="0"/>
        <w:tabs>
          <w:tab w:leader="none" w:pos="2631"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of the Credit Agreement is hereby amended by (i) deleting “and” in clause (e) of such Section, (ii) replacing “.” with “; and” in clause (f) of such Section, and (iii) adding the following as a new clause (g) in such Section:</w:t>
      </w:r>
    </w:p>
    <w:p>
      <w:pPr>
        <w:spacing w:after="0" w:line="186" w:lineRule="exact"/>
        <w:rPr>
          <w:sz w:val="20"/>
          <w:szCs w:val="20"/>
          <w:color w:val="auto"/>
        </w:rPr>
      </w:pPr>
    </w:p>
    <w:p>
      <w:pPr>
        <w:ind w:left="880" w:right="60" w:firstLine="1620"/>
        <w:spacing w:after="0" w:line="282" w:lineRule="auto"/>
        <w:rPr>
          <w:sz w:val="20"/>
          <w:szCs w:val="20"/>
          <w:color w:val="auto"/>
        </w:rPr>
      </w:pPr>
      <w:r>
        <w:rPr>
          <w:rFonts w:ascii="Arial" w:cs="Arial" w:eastAsia="Arial" w:hAnsi="Arial"/>
          <w:sz w:val="19"/>
          <w:szCs w:val="19"/>
          <w:color w:val="auto"/>
        </w:rPr>
        <w:t>“(g) (x) with respect to the Master Lease, (i) any amendment or modification of the Master Lease and (ii) receipt of a written notice from GLP Capital of an “Event of Default” under and as defined in, the Master Lease or notice of termination of the Master Lease, and (y) with respect to any Additional Lease, (i) any amendment or modification of such Additional Lease and (ii) receipt of a written notice from the Landlord of such Additional Lease of an “Event of Default” under and as defined in, such Additional Lease or notice of termination of such Additional Lease.”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3" w:name="page84"/>
    <w:bookmarkEnd w:id="83"/>
    <w:p>
      <w:pPr>
        <w:ind w:left="1760"/>
        <w:spacing w:after="0"/>
        <w:tabs>
          <w:tab w:leader="none" w:pos="2600" w:val="left"/>
        </w:tabs>
        <w:rPr>
          <w:sz w:val="20"/>
          <w:szCs w:val="20"/>
          <w:color w:val="auto"/>
        </w:rPr>
      </w:pPr>
      <w:r>
        <w:rPr>
          <w:rFonts w:ascii="Arial" w:cs="Arial" w:eastAsia="Arial" w:hAnsi="Arial"/>
          <w:sz w:val="19"/>
          <w:szCs w:val="19"/>
          <w:color w:val="auto"/>
        </w:rPr>
        <w:t>(t)</w:t>
      </w:r>
      <w:r>
        <w:rPr>
          <w:sz w:val="20"/>
          <w:szCs w:val="20"/>
          <w:color w:val="auto"/>
        </w:rPr>
        <w:tab/>
      </w:r>
      <w:r>
        <w:rPr>
          <w:rFonts w:ascii="Arial" w:cs="Arial" w:eastAsia="Arial" w:hAnsi="Arial"/>
          <w:sz w:val="19"/>
          <w:szCs w:val="19"/>
          <w:u w:val="single" w:color="auto"/>
          <w:color w:val="auto"/>
        </w:rPr>
        <w:t>Section 8.14(a)</w:t>
      </w:r>
      <w:r>
        <w:rPr>
          <w:rFonts w:ascii="Arial" w:cs="Arial" w:eastAsia="Arial" w:hAnsi="Arial"/>
          <w:sz w:val="19"/>
          <w:szCs w:val="19"/>
          <w:color w:val="auto"/>
        </w:rPr>
        <w:t xml:space="preserve"> of the Credit Agreement is hereby amended by adding the following sentence at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end thereof:</w:t>
      </w:r>
    </w:p>
    <w:p>
      <w:pPr>
        <w:spacing w:after="0" w:line="188" w:lineRule="exact"/>
        <w:rPr>
          <w:sz w:val="20"/>
          <w:szCs w:val="20"/>
          <w:color w:val="auto"/>
        </w:rPr>
      </w:pPr>
    </w:p>
    <w:p>
      <w:pPr>
        <w:jc w:val="both"/>
        <w:ind w:left="1760"/>
        <w:spacing w:after="0" w:line="270" w:lineRule="auto"/>
        <w:rPr>
          <w:sz w:val="20"/>
          <w:szCs w:val="20"/>
          <w:color w:val="auto"/>
        </w:rPr>
      </w:pPr>
      <w:r>
        <w:rPr>
          <w:rFonts w:ascii="Arial" w:cs="Arial" w:eastAsia="Arial" w:hAnsi="Arial"/>
          <w:sz w:val="19"/>
          <w:szCs w:val="19"/>
          <w:color w:val="auto"/>
        </w:rPr>
        <w:t xml:space="preserve">“Notwithstanding anything to the contrary set forth in this Section 8.14 or elsewhere in this Agreement, the Borrower or any Guarantor, as an Interim Purchaser, may under certain applicable Gaming Laws enter into an Interim Authorization Trust Arrangement for certain acquired Equity Interests and other Property, and (x) such Interim Purchaser shall be required, concurrently the later of (A) the execution of the Interim Trust agreement for such Interim Authorization Trust Arrangement or (B) the closing of the related acquisition, (i) to become (or continue to be) a Guarantor, and shall enter into any guaranty agreement or other documents reasonably requested by the Administrative Agent to guarantee (or continue to guarantee) the Obligations (except to the extent becoming a Guarantor is prohibited by applicable Gaming Laws), (ii) to grant to the Administrative Agent, for the benefit of the Secured Parties, a first-priority valid and perfected security interest on all of the Equity Interests and other Property held by such Interim Trust, and such Interim Purchaser shall enter into any stock pledge agreement or other documents reasonably requested by the Administrative Agent to effect such security interest (except to the extent granting any such security interest is prohibited by applicable Gaming Laws), and (iii) deliver to the Administrative Agent such opinions, documents and certificates referred to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as may be reasonably requested by the Administrative Agent, and (y) promptly following (and in no event later than the applicable time periods set forth in the applicable sections referenced below) the issuance of such required Gaming Licenses by the applicable Gaming Authorities, the Borrower and any Interim Purchaser shall take all steps necessary to comply with this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with respect to all Equity Interests and other Property acquired pursuant to such an acquisition;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the avoidance of doubt, to the extent prohibited by applicable law, any Interim Trust shall not be required to be a Guarantor or grant Liens on such Equity Interests or other Property being held in any such Interim Authorization Trust Arrangement.”</w:t>
      </w:r>
    </w:p>
    <w:p>
      <w:pPr>
        <w:spacing w:after="0" w:line="200" w:lineRule="exact"/>
        <w:rPr>
          <w:sz w:val="20"/>
          <w:szCs w:val="20"/>
          <w:color w:val="auto"/>
        </w:rPr>
      </w:pPr>
    </w:p>
    <w:p>
      <w:pPr>
        <w:spacing w:after="0" w:line="205" w:lineRule="exact"/>
        <w:rPr>
          <w:sz w:val="20"/>
          <w:szCs w:val="20"/>
          <w:color w:val="auto"/>
        </w:rPr>
      </w:pPr>
    </w:p>
    <w:p>
      <w:pPr>
        <w:ind w:left="2660" w:hanging="897"/>
        <w:spacing w:after="0"/>
        <w:tabs>
          <w:tab w:leader="none" w:pos="266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Credit Agreement is hereby amended by adding the following language as a new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8.22</w:t>
      </w:r>
      <w:r>
        <w:rPr>
          <w:rFonts w:ascii="Arial" w:cs="Arial" w:eastAsia="Arial" w:hAnsi="Arial"/>
          <w:sz w:val="22"/>
          <w:szCs w:val="22"/>
          <w:color w:val="auto"/>
        </w:rPr>
        <w:t>:</w:t>
      </w:r>
    </w:p>
    <w:p>
      <w:pPr>
        <w:spacing w:after="0" w:line="188" w:lineRule="exact"/>
        <w:rPr>
          <w:sz w:val="20"/>
          <w:szCs w:val="20"/>
          <w:color w:val="auto"/>
        </w:rPr>
      </w:pPr>
    </w:p>
    <w:p>
      <w:pPr>
        <w:jc w:val="both"/>
        <w:ind w:left="1760"/>
        <w:spacing w:after="0" w:line="274" w:lineRule="auto"/>
        <w:rPr>
          <w:sz w:val="20"/>
          <w:szCs w:val="20"/>
          <w:color w:val="auto"/>
        </w:rPr>
      </w:pPr>
      <w:r>
        <w:rPr>
          <w:rFonts w:ascii="Arial" w:cs="Arial" w:eastAsia="Arial" w:hAnsi="Arial"/>
          <w:sz w:val="19"/>
          <w:szCs w:val="19"/>
          <w:color w:val="auto"/>
        </w:rPr>
        <w:t xml:space="preserve">“SECTION 8.22. </w:t>
      </w:r>
      <w:r>
        <w:rPr>
          <w:rFonts w:ascii="Arial" w:cs="Arial" w:eastAsia="Arial" w:hAnsi="Arial"/>
          <w:sz w:val="19"/>
          <w:szCs w:val="19"/>
          <w:u w:val="single" w:color="auto"/>
          <w:color w:val="auto"/>
        </w:rPr>
        <w:t>Master Lease and Additional Leases</w:t>
      </w:r>
      <w:r>
        <w:rPr>
          <w:rFonts w:ascii="Arial" w:cs="Arial" w:eastAsia="Arial" w:hAnsi="Arial"/>
          <w:sz w:val="19"/>
          <w:szCs w:val="19"/>
          <w:color w:val="auto"/>
        </w:rPr>
        <w:t>. The Borrower will cause (x) with respect to the Master Lease, each sublease and each use agreement entered into between Tenant and any other Credit Party with respect to Mortgaged Property that is leased from GLP Capital pursuant to the Master Lease to at all times during the term of the Master Lease be subject and subordinate to the Master Lease (and to all matters to which the Master Lease is subject and subordinate), and (y) with respect to any Additional Lease, each sublease and each use agreement entered into between the tenant under such Additional Lease and any other Credit Party with respect to Mortgaged Property that is leased from the Landlord under such Additional Lease pursuant to such Additional Lease to at all times during the term of such Additional Lease be subject and subordinate to the applicable Additional Lease (and to all matters to which such Additional Lease is subject and subordinate).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4" w:name="page85"/>
    <w:bookmarkEnd w:id="84"/>
    <w:p>
      <w:pPr>
        <w:jc w:val="both"/>
        <w:ind w:firstLine="1763"/>
        <w:spacing w:after="0"/>
        <w:tabs>
          <w:tab w:leader="none" w:pos="265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of the Credit Agreement is hereby amended by (i) deleting “and” in clause (ff) of such Section, (ii) replacing “.” with “;” in clause (gg) of such Section, and (iii) adding the following language as a new clauses (hh) and (ii):</w:t>
      </w:r>
    </w:p>
    <w:p>
      <w:pPr>
        <w:spacing w:after="0" w:line="186" w:lineRule="exact"/>
        <w:rPr>
          <w:sz w:val="20"/>
          <w:szCs w:val="20"/>
          <w:color w:val="auto"/>
        </w:rPr>
      </w:pPr>
    </w:p>
    <w:p>
      <w:pPr>
        <w:jc w:val="both"/>
        <w:ind w:left="880" w:firstLine="1620"/>
        <w:spacing w:after="0" w:line="238" w:lineRule="auto"/>
        <w:rPr>
          <w:sz w:val="20"/>
          <w:szCs w:val="20"/>
          <w:color w:val="auto"/>
        </w:rPr>
      </w:pPr>
      <w:r>
        <w:rPr>
          <w:rFonts w:ascii="Arial" w:cs="Arial" w:eastAsia="Arial" w:hAnsi="Arial"/>
          <w:sz w:val="22"/>
          <w:szCs w:val="22"/>
          <w:color w:val="auto"/>
        </w:rPr>
        <w:t>“(hh) Liens pursuant to the Master Lease and any Additional Lease, which Liens are limited to the Leased Property under the Master Lease and the leased property under the applicable Additional Lease, as applicable, and granted to the Landlord under such lease for the purpose of securing the obligations of the tenant under such lease to the applicable Landlord; and</w:t>
      </w:r>
    </w:p>
    <w:p>
      <w:pPr>
        <w:spacing w:after="0" w:line="185" w:lineRule="exact"/>
        <w:rPr>
          <w:sz w:val="20"/>
          <w:szCs w:val="20"/>
          <w:color w:val="auto"/>
        </w:rPr>
      </w:pPr>
    </w:p>
    <w:p>
      <w:pPr>
        <w:jc w:val="both"/>
        <w:ind w:left="880" w:firstLine="1626"/>
        <w:spacing w:after="0" w:line="236" w:lineRule="auto"/>
        <w:tabs>
          <w:tab w:leader="none" w:pos="3413" w:val="left"/>
        </w:tabs>
        <w:numPr>
          <w:ilvl w:val="1"/>
          <w:numId w:val="58"/>
        </w:numPr>
        <w:rPr>
          <w:rFonts w:ascii="Arial" w:cs="Arial" w:eastAsia="Arial" w:hAnsi="Arial"/>
          <w:sz w:val="22"/>
          <w:szCs w:val="22"/>
          <w:color w:val="auto"/>
        </w:rPr>
      </w:pPr>
      <w:r>
        <w:rPr>
          <w:rFonts w:ascii="Arial" w:cs="Arial" w:eastAsia="Arial" w:hAnsi="Arial"/>
          <w:sz w:val="22"/>
          <w:szCs w:val="22"/>
          <w:color w:val="auto"/>
        </w:rPr>
        <w:t>Liens arising pursuant to definitive documentation and applicable Gaming Laws in respect of any Interim Trust pursuant to an Interim Authorization Arrangement, in each case, prior to the earlier of (x) the issuance of the Gaming Licenses by the applicable Gaming Authority, or (y) any Interim Trust Asset Disposition by the Interim Trust, in each case, as required by the applicable Gaming Authorities having jurisdiction over such Interim Purchaser.”</w:t>
      </w:r>
    </w:p>
    <w:p>
      <w:pPr>
        <w:spacing w:after="0" w:line="187" w:lineRule="exact"/>
        <w:rPr>
          <w:rFonts w:ascii="Arial" w:cs="Arial" w:eastAsia="Arial" w:hAnsi="Arial"/>
          <w:sz w:val="22"/>
          <w:szCs w:val="22"/>
          <w:color w:val="auto"/>
        </w:rPr>
      </w:pPr>
    </w:p>
    <w:p>
      <w:pPr>
        <w:ind w:firstLine="1763"/>
        <w:spacing w:after="0" w:line="328" w:lineRule="auto"/>
        <w:tabs>
          <w:tab w:leader="none" w:pos="270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of the Credit Agreement is hereby amended by (i) deleting “and” in clause (g) of such Section, (ii) replacing “.” with “; and” in clause (h) of such Section, and (iii) adding the following language as a new clause (i):</w:t>
      </w:r>
    </w:p>
    <w:p>
      <w:pPr>
        <w:spacing w:after="0" w:line="105" w:lineRule="exact"/>
        <w:rPr>
          <w:sz w:val="20"/>
          <w:szCs w:val="20"/>
          <w:color w:val="auto"/>
        </w:rPr>
      </w:pPr>
    </w:p>
    <w:p>
      <w:pPr>
        <w:ind w:left="880" w:right="20" w:firstLine="1620"/>
        <w:spacing w:after="0" w:line="251" w:lineRule="auto"/>
        <w:rPr>
          <w:sz w:val="20"/>
          <w:szCs w:val="20"/>
          <w:color w:val="auto"/>
        </w:rPr>
      </w:pPr>
      <w:r>
        <w:rPr>
          <w:rFonts w:ascii="Arial" w:cs="Arial" w:eastAsia="Arial" w:hAnsi="Arial"/>
          <w:sz w:val="22"/>
          <w:szCs w:val="22"/>
          <w:color w:val="auto"/>
        </w:rPr>
        <w:t xml:space="preserve">“(i) any Interim Trust Asset Disposition;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requirements of Section 4.4(b) are complied with in connection therewith;</w:t>
      </w:r>
    </w:p>
    <w:p>
      <w:pPr>
        <w:spacing w:after="0" w:line="173" w:lineRule="exact"/>
        <w:rPr>
          <w:sz w:val="20"/>
          <w:szCs w:val="20"/>
          <w:color w:val="auto"/>
        </w:rPr>
      </w:pPr>
    </w:p>
    <w:p>
      <w:pPr>
        <w:ind w:firstLine="1763"/>
        <w:spacing w:after="0" w:line="251" w:lineRule="auto"/>
        <w:tabs>
          <w:tab w:leader="none" w:pos="265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Section 9.16</w:t>
      </w:r>
      <w:r>
        <w:rPr>
          <w:rFonts w:ascii="Arial" w:cs="Arial" w:eastAsia="Arial" w:hAnsi="Arial"/>
          <w:sz w:val="22"/>
          <w:szCs w:val="22"/>
          <w:color w:val="auto"/>
        </w:rPr>
        <w:t xml:space="preserve"> of the Credit Agreement is hereby amended by (i) deleting “or” after clause (a) of such Section and (ii) inserting the following after the words “be a Guarantor” in clause (b) of such Section:</w:t>
      </w:r>
    </w:p>
    <w:p>
      <w:pPr>
        <w:spacing w:after="0" w:line="173" w:lineRule="exact"/>
        <w:rPr>
          <w:sz w:val="20"/>
          <w:szCs w:val="20"/>
          <w:color w:val="auto"/>
        </w:rPr>
      </w:pPr>
    </w:p>
    <w:p>
      <w:pPr>
        <w:jc w:val="both"/>
        <w:ind w:left="1760"/>
        <w:spacing w:after="0" w:line="258" w:lineRule="auto"/>
        <w:rPr>
          <w:sz w:val="20"/>
          <w:szCs w:val="20"/>
          <w:color w:val="auto"/>
        </w:rPr>
      </w:pPr>
      <w:r>
        <w:rPr>
          <w:rFonts w:ascii="Arial" w:cs="Arial" w:eastAsia="Arial" w:hAnsi="Arial"/>
          <w:sz w:val="21"/>
          <w:szCs w:val="21"/>
          <w:color w:val="auto"/>
        </w:rPr>
        <w:t xml:space="preserve">“or (c) any Interim Trust until the earlier of (x) the issuance of the Gaming Licenses as required by the applicable Gaming Authority, or (y) any Interim Trust Asset Disposition by the Interim Trust, so long as such Interim Purchaser continues to comply with the requirements set forth in </w:t>
      </w:r>
      <w:r>
        <w:rPr>
          <w:rFonts w:ascii="Arial" w:cs="Arial" w:eastAsia="Arial" w:hAnsi="Arial"/>
          <w:sz w:val="21"/>
          <w:szCs w:val="21"/>
          <w:u w:val="single" w:color="auto"/>
          <w:color w:val="auto"/>
        </w:rPr>
        <w:t>Section 8.14(a)</w:t>
      </w:r>
      <w:r>
        <w:rPr>
          <w:rFonts w:ascii="Arial" w:cs="Arial" w:eastAsia="Arial" w:hAnsi="Arial"/>
          <w:sz w:val="21"/>
          <w:szCs w:val="21"/>
          <w:color w:val="auto"/>
        </w:rPr>
        <w:t>”.</w:t>
      </w:r>
    </w:p>
    <w:p>
      <w:pPr>
        <w:spacing w:after="0" w:line="167" w:lineRule="exact"/>
        <w:rPr>
          <w:sz w:val="20"/>
          <w:szCs w:val="20"/>
          <w:color w:val="auto"/>
        </w:rPr>
      </w:pPr>
    </w:p>
    <w:p>
      <w:pPr>
        <w:ind w:left="2660" w:hanging="897"/>
        <w:spacing w:after="0"/>
        <w:tabs>
          <w:tab w:leader="none" w:pos="266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of the Credit Agreement is hereby amended by adding the following language as a new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188" w:lineRule="exact"/>
        <w:rPr>
          <w:sz w:val="20"/>
          <w:szCs w:val="20"/>
          <w:color w:val="auto"/>
        </w:rPr>
      </w:pPr>
    </w:p>
    <w:p>
      <w:pPr>
        <w:jc w:val="both"/>
        <w:ind w:left="1760"/>
        <w:spacing w:after="0" w:line="274"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Master Lease and Additional Leases</w:t>
      </w:r>
      <w:r>
        <w:rPr>
          <w:rFonts w:ascii="Arial" w:cs="Arial" w:eastAsia="Arial" w:hAnsi="Arial"/>
          <w:sz w:val="19"/>
          <w:szCs w:val="19"/>
          <w:color w:val="auto"/>
        </w:rPr>
        <w:t xml:space="preserve">. (x) with respect to the Master Lease, neither the Borrower nor Tenant, or (y) with respect to any Additional Lease, neither the Borrower nor any tenant under such Additional Lease, will terminate or allow or consent to the termination of the Master Lease or such Additional Lease, as applicable, or will enter into any amendment, waiver or modification to the Master Lease or such Additional Lease, as applicable if (i) such amendment, waiver or modification could reasonably be expected to have a Material Adverse Effect or (ii) after giving pro forma effect to such amendment, waiver or modification, the Borrower will not be in compliance with the provisions of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Borrower nor the applicable tenant will allow any amendment, waiver or modification of the Master Lease or such Additional Lease that (i) shortens the term of such lease to less than twenty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5" w:name="page86"/>
    <w:bookmarkEnd w:id="85"/>
    <w:p>
      <w:pPr>
        <w:jc w:val="both"/>
        <w:ind w:left="1760" w:firstLine="3"/>
        <w:spacing w:after="0" w:line="271" w:lineRule="auto"/>
        <w:tabs>
          <w:tab w:leader="none" w:pos="218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years (including extension or renewal options) from the date of such amendment, waiver or modification, (ii) tightens the financial covenants applicable to such tenant (other than technical amendments to the definitions of such financial terms so long as such amendments do not materially affect such tenant’s ability to comply with such financial covenants), (iii) amends, waives or modifies </w:t>
      </w:r>
      <w:r>
        <w:rPr>
          <w:rFonts w:ascii="Arial" w:cs="Arial" w:eastAsia="Arial" w:hAnsi="Arial"/>
          <w:sz w:val="19"/>
          <w:szCs w:val="19"/>
          <w:u w:val="single" w:color="auto"/>
          <w:color w:val="auto"/>
        </w:rPr>
        <w:t>Articles XIV</w:t>
      </w:r>
      <w:r>
        <w:rPr>
          <w:rFonts w:ascii="Arial" w:cs="Arial" w:eastAsia="Arial" w:hAnsi="Arial"/>
          <w:sz w:val="19"/>
          <w:szCs w:val="19"/>
          <w:color w:val="auto"/>
        </w:rPr>
        <w:t xml:space="preserve">, </w:t>
      </w:r>
      <w:r>
        <w:rPr>
          <w:rFonts w:ascii="Arial" w:cs="Arial" w:eastAsia="Arial" w:hAnsi="Arial"/>
          <w:sz w:val="19"/>
          <w:szCs w:val="19"/>
          <w:u w:val="single" w:color="auto"/>
          <w:color w:val="auto"/>
        </w:rPr>
        <w:t>XV</w:t>
      </w:r>
      <w:r>
        <w:rPr>
          <w:rFonts w:ascii="Arial" w:cs="Arial" w:eastAsia="Arial" w:hAnsi="Arial"/>
          <w:sz w:val="19"/>
          <w:szCs w:val="19"/>
          <w:color w:val="auto"/>
        </w:rPr>
        <w:t xml:space="preserve">, </w:t>
      </w:r>
      <w:r>
        <w:rPr>
          <w:rFonts w:ascii="Arial" w:cs="Arial" w:eastAsia="Arial" w:hAnsi="Arial"/>
          <w:sz w:val="19"/>
          <w:szCs w:val="19"/>
          <w:u w:val="single" w:color="auto"/>
          <w:color w:val="auto"/>
        </w:rPr>
        <w:t>XVII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XXII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XXXVI</w:t>
      </w:r>
      <w:r>
        <w:rPr>
          <w:rFonts w:ascii="Arial" w:cs="Arial" w:eastAsia="Arial" w:hAnsi="Arial"/>
          <w:sz w:val="19"/>
          <w:szCs w:val="19"/>
          <w:color w:val="auto"/>
        </w:rPr>
        <w:t xml:space="preserve"> of the Master Lease (including by amendment of the defined terms used therein) or any such corresponding provisions in any such Additional Lease, in each case, in a manner materially adverse to the interests of the Secured Parties or (iv) amends, waives or modifies Article XI of the Master Lease or any such corresponding provisions in any such Additional Lease, in each case, to the extent adversely impacting the ability of the Secured Parties to obtain or maintain a Lien on the Property of the Borrower or its Subsidiaries, in each case, without the consent of the Required Revolving Lenders. Any tenant shall not transfer its rights or obligations under the Master Lease or any Additional Lease, as applicable, to any Person other than to the Borrower or a Guarantor (or a Person that becomes a Guarantor in connection with such transaction pursuant to the terms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transfer shall be permitted hereunder unless expressly permitted under the Master Lease or such Additional Lease or consented to in writing by the applicable Landlord.”</w:t>
      </w:r>
    </w:p>
    <w:p>
      <w:pPr>
        <w:spacing w:after="0" w:line="200" w:lineRule="exact"/>
        <w:rPr>
          <w:sz w:val="20"/>
          <w:szCs w:val="20"/>
          <w:color w:val="auto"/>
        </w:rPr>
      </w:pPr>
    </w:p>
    <w:p>
      <w:pPr>
        <w:spacing w:after="0" w:line="209" w:lineRule="exact"/>
        <w:rPr>
          <w:sz w:val="20"/>
          <w:szCs w:val="20"/>
          <w:color w:val="auto"/>
        </w:rPr>
      </w:pPr>
    </w:p>
    <w:p>
      <w:pPr>
        <w:ind w:left="2660" w:hanging="897"/>
        <w:spacing w:after="0"/>
        <w:tabs>
          <w:tab w:leader="none" w:pos="26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is hereby amended by adding the following language as new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clause (p):</w:t>
      </w:r>
    </w:p>
    <w:p>
      <w:pPr>
        <w:spacing w:after="0" w:line="188" w:lineRule="exact"/>
        <w:rPr>
          <w:sz w:val="20"/>
          <w:szCs w:val="20"/>
          <w:color w:val="auto"/>
        </w:rPr>
      </w:pPr>
    </w:p>
    <w:p>
      <w:pPr>
        <w:jc w:val="both"/>
        <w:ind w:left="1760"/>
        <w:spacing w:after="0" w:line="244" w:lineRule="auto"/>
        <w:rPr>
          <w:sz w:val="20"/>
          <w:szCs w:val="20"/>
          <w:color w:val="auto"/>
        </w:rPr>
      </w:pPr>
      <w:r>
        <w:rPr>
          <w:rFonts w:ascii="Arial" w:cs="Arial" w:eastAsia="Arial" w:hAnsi="Arial"/>
          <w:sz w:val="21"/>
          <w:szCs w:val="21"/>
          <w:color w:val="auto"/>
        </w:rPr>
        <w:t xml:space="preserve">“(p) (i) the Master Lease or any Additional Lease shall terminate or otherwise cease to be effective, other than upon the expiration or termination thereof with respect to any particular property or properties pursuant to, (x) (A) with respect to the Master Lease,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 </w:t>
      </w:r>
      <w:r>
        <w:rPr>
          <w:rFonts w:ascii="Arial" w:cs="Arial" w:eastAsia="Arial" w:hAnsi="Arial"/>
          <w:sz w:val="21"/>
          <w:szCs w:val="21"/>
          <w:u w:val="single" w:color="auto"/>
          <w:color w:val="auto"/>
        </w:rPr>
        <w:t>14.6</w:t>
      </w:r>
      <w:r>
        <w:rPr>
          <w:rFonts w:ascii="Arial" w:cs="Arial" w:eastAsia="Arial" w:hAnsi="Arial"/>
          <w:sz w:val="21"/>
          <w:szCs w:val="21"/>
          <w:color w:val="auto"/>
        </w:rPr>
        <w:t xml:space="preserve">, </w:t>
      </w:r>
      <w:r>
        <w:rPr>
          <w:rFonts w:ascii="Arial" w:cs="Arial" w:eastAsia="Arial" w:hAnsi="Arial"/>
          <w:sz w:val="21"/>
          <w:szCs w:val="21"/>
          <w:u w:val="single" w:color="auto"/>
          <w:color w:val="auto"/>
        </w:rPr>
        <w:t>15.5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41.16</w:t>
      </w:r>
      <w:r>
        <w:rPr>
          <w:rFonts w:ascii="Arial" w:cs="Arial" w:eastAsia="Arial" w:hAnsi="Arial"/>
          <w:sz w:val="21"/>
          <w:szCs w:val="21"/>
          <w:color w:val="auto"/>
        </w:rPr>
        <w:t xml:space="preserve"> of the Master Lease, (B) with respect to any Additional Lease, any such corresponding provisions in such Additional Lease or (C) an amendment, waiver or modification of the Master Lease or any Additional Lease not prohibited by Section 9.17 of this Agreement; (ii) an “Event of Default” (as defined in the Master Lease or any Additional Lease, as applicable) shall have occurred and be continuing under </w:t>
      </w:r>
      <w:r>
        <w:rPr>
          <w:rFonts w:ascii="Arial" w:cs="Arial" w:eastAsia="Arial" w:hAnsi="Arial"/>
          <w:sz w:val="21"/>
          <w:szCs w:val="21"/>
          <w:u w:val="single" w:color="auto"/>
          <w:color w:val="auto"/>
        </w:rPr>
        <w:t>Section 16.1(a)</w:t>
      </w:r>
      <w:r>
        <w:rPr>
          <w:rFonts w:ascii="Arial" w:cs="Arial" w:eastAsia="Arial" w:hAnsi="Arial"/>
          <w:sz w:val="21"/>
          <w:szCs w:val="21"/>
          <w:color w:val="auto"/>
        </w:rPr>
        <w:t xml:space="preserve">, </w:t>
      </w:r>
      <w:r>
        <w:rPr>
          <w:rFonts w:ascii="Arial" w:cs="Arial" w:eastAsia="Arial" w:hAnsi="Arial"/>
          <w:sz w:val="21"/>
          <w:szCs w:val="21"/>
          <w:u w:val="single" w:color="auto"/>
          <w:color w:val="auto"/>
        </w:rPr>
        <w:t>16.1(g)</w:t>
      </w:r>
      <w:r>
        <w:rPr>
          <w:rFonts w:ascii="Arial" w:cs="Arial" w:eastAsia="Arial" w:hAnsi="Arial"/>
          <w:sz w:val="21"/>
          <w:szCs w:val="21"/>
          <w:color w:val="auto"/>
        </w:rPr>
        <w:t xml:space="preserve">, </w:t>
      </w:r>
      <w:r>
        <w:rPr>
          <w:rFonts w:ascii="Arial" w:cs="Arial" w:eastAsia="Arial" w:hAnsi="Arial"/>
          <w:sz w:val="21"/>
          <w:szCs w:val="21"/>
          <w:u w:val="single" w:color="auto"/>
          <w:color w:val="auto"/>
        </w:rPr>
        <w:t>16.1(i)</w:t>
      </w:r>
      <w:r>
        <w:rPr>
          <w:rFonts w:ascii="Arial" w:cs="Arial" w:eastAsia="Arial" w:hAnsi="Arial"/>
          <w:sz w:val="21"/>
          <w:szCs w:val="21"/>
          <w:color w:val="auto"/>
        </w:rPr>
        <w:t xml:space="preserve">, </w:t>
      </w:r>
      <w:r>
        <w:rPr>
          <w:rFonts w:ascii="Arial" w:cs="Arial" w:eastAsia="Arial" w:hAnsi="Arial"/>
          <w:sz w:val="21"/>
          <w:szCs w:val="21"/>
          <w:u w:val="single" w:color="auto"/>
          <w:color w:val="auto"/>
        </w:rPr>
        <w:t>16.1(j)</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16.1(p)</w:t>
      </w:r>
      <w:r>
        <w:rPr>
          <w:rFonts w:ascii="Arial" w:cs="Arial" w:eastAsia="Arial" w:hAnsi="Arial"/>
          <w:sz w:val="21"/>
          <w:szCs w:val="21"/>
          <w:color w:val="auto"/>
        </w:rPr>
        <w:t xml:space="preserve"> of the Master Lease, or such corresponding provisions in any such Additional Lease; (iii) the applicable Landlord shall have given the tenant notice of termination of the Master Lease or any Additional Lease following an “Event of Default” (as defined in the Master Lease or any Additional Lease, as applicable); or (iv) GLP Capital has issued a “Termination Notice” pursuant to Section 17.1(d) of the Master Lease, or the Landlord under any Additional Lease has issued a “Termination Notice” pursuant to the applicable section of such Additional 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6" w:name="page87"/>
    <w:bookmarkEnd w:id="86"/>
    <w:p>
      <w:pPr>
        <w:ind w:left="2740" w:hanging="977"/>
        <w:spacing w:after="0"/>
        <w:tabs>
          <w:tab w:leader="none" w:pos="274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is hereby amended by adding the following new unnumbered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paragraph at the end thereof:</w:t>
      </w:r>
    </w:p>
    <w:p>
      <w:pPr>
        <w:spacing w:after="0" w:line="188" w:lineRule="exact"/>
        <w:rPr>
          <w:sz w:val="20"/>
          <w:szCs w:val="20"/>
          <w:color w:val="auto"/>
        </w:rPr>
      </w:pPr>
    </w:p>
    <w:p>
      <w:pPr>
        <w:jc w:val="both"/>
        <w:ind w:left="1760"/>
        <w:spacing w:after="0" w:line="272" w:lineRule="auto"/>
        <w:rPr>
          <w:sz w:val="20"/>
          <w:szCs w:val="20"/>
          <w:color w:val="auto"/>
        </w:rPr>
      </w:pPr>
      <w:r>
        <w:rPr>
          <w:rFonts w:ascii="Arial" w:cs="Arial" w:eastAsia="Arial" w:hAnsi="Arial"/>
          <w:sz w:val="19"/>
          <w:szCs w:val="19"/>
          <w:color w:val="auto"/>
        </w:rPr>
        <w:t>“Notwithstanding the foregoing, (i) Administrative Agent shall use commercially reasonable efforts to provide GLP Capital with copies of notices issued by Administrative Agent or the Lenders of any event or occurrence under the Loan Documents that enables or permits the Lenders (or Administrative Agent) to accelerate the maturity of the Indebtedness outstanding under the Loan Documents and (ii) in the event of a default by Borrower or any of its Restricted Subsidiaries in the performance of any of their respective obligations under any of the Loan Documents, including, without limitation, any default in the payment of any sums payable under any such agreement, then, in each and every such case, subject to applicable Gaming Regulations (as defined in the Master Lease) and the terms of the Master Lease, GLP Capital shall have the right, but not the obligation, to cure or remedy the default or defaults or cause the default or defaults to be cured or remedied (to the extent susceptible to cure or remedy) prior to the end of any applicable notice and cure periods set forth in such Loan Documents, and any such tender of payment or performance by GLP Capital shall be accepted by Administrative Agent and Lenders and shall constitute payment and/or performance by the applicable Company for purposes of the Loan Documents.</w:t>
      </w:r>
    </w:p>
    <w:p>
      <w:pPr>
        <w:spacing w:after="0" w:line="200" w:lineRule="exact"/>
        <w:rPr>
          <w:sz w:val="20"/>
          <w:szCs w:val="20"/>
          <w:color w:val="auto"/>
        </w:rPr>
      </w:pPr>
    </w:p>
    <w:p>
      <w:pPr>
        <w:spacing w:after="0" w:line="232" w:lineRule="exact"/>
        <w:rPr>
          <w:sz w:val="20"/>
          <w:szCs w:val="20"/>
          <w:color w:val="auto"/>
        </w:rPr>
      </w:pPr>
    </w:p>
    <w:p>
      <w:pPr>
        <w:ind w:left="2780" w:hanging="1017"/>
        <w:spacing w:after="0"/>
        <w:tabs>
          <w:tab w:leader="none" w:pos="278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of the Credit Agreement is hereby amended by adding the following language as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last paragraph thereof:</w:t>
      </w:r>
    </w:p>
    <w:p>
      <w:pPr>
        <w:spacing w:after="0" w:line="188" w:lineRule="exact"/>
        <w:rPr>
          <w:sz w:val="20"/>
          <w:szCs w:val="20"/>
          <w:color w:val="auto"/>
        </w:rPr>
      </w:pPr>
    </w:p>
    <w:p>
      <w:pPr>
        <w:jc w:val="both"/>
        <w:ind w:left="1760"/>
        <w:spacing w:after="0" w:line="234" w:lineRule="auto"/>
        <w:rPr>
          <w:sz w:val="20"/>
          <w:szCs w:val="20"/>
          <w:color w:val="auto"/>
        </w:rPr>
      </w:pPr>
      <w:r>
        <w:rPr>
          <w:rFonts w:ascii="Arial" w:cs="Arial" w:eastAsia="Arial" w:hAnsi="Arial"/>
          <w:sz w:val="22"/>
          <w:szCs w:val="22"/>
          <w:color w:val="auto"/>
        </w:rPr>
        <w:t>“The Administrative Agent and the Collateral Agent shall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the Borrower and not adverse to the interests of the Lenders (as determined by the Administrative Agent) and, with respect to the Master Lease or any Additional Lease, to the extent requested by GLP Capital under the Master Lease or to the extent reasonably requested by the Landlord under any Additional Lease.”</w:t>
      </w:r>
    </w:p>
    <w:p>
      <w:pPr>
        <w:spacing w:after="0" w:line="188" w:lineRule="exact"/>
        <w:rPr>
          <w:sz w:val="20"/>
          <w:szCs w:val="20"/>
          <w:color w:val="auto"/>
        </w:rPr>
      </w:pPr>
    </w:p>
    <w:p>
      <w:pPr>
        <w:ind w:left="2740" w:hanging="977"/>
        <w:spacing w:after="0"/>
        <w:tabs>
          <w:tab w:leader="none" w:pos="274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Section 12.3(a)</w:t>
      </w:r>
      <w:r>
        <w:rPr>
          <w:rFonts w:ascii="Arial" w:cs="Arial" w:eastAsia="Arial" w:hAnsi="Arial"/>
          <w:sz w:val="19"/>
          <w:szCs w:val="19"/>
          <w:color w:val="auto"/>
        </w:rPr>
        <w:t xml:space="preserve"> of the Credit Agreement is hereby amended by replacing clause (i) thereof with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following language:</w:t>
      </w:r>
    </w:p>
    <w:p>
      <w:pPr>
        <w:spacing w:after="0" w:line="188" w:lineRule="exact"/>
        <w:rPr>
          <w:sz w:val="20"/>
          <w:szCs w:val="20"/>
          <w:color w:val="auto"/>
        </w:rPr>
      </w:pPr>
    </w:p>
    <w:p>
      <w:pPr>
        <w:jc w:val="both"/>
        <w:ind w:left="880" w:firstLine="1620"/>
        <w:spacing w:after="0" w:line="245" w:lineRule="auto"/>
        <w:rPr>
          <w:sz w:val="20"/>
          <w:szCs w:val="20"/>
          <w:color w:val="auto"/>
        </w:rPr>
      </w:pPr>
      <w:r>
        <w:rPr>
          <w:rFonts w:ascii="Arial" w:cs="Arial" w:eastAsia="Arial" w:hAnsi="Arial"/>
          <w:sz w:val="21"/>
          <w:szCs w:val="21"/>
          <w:color w:val="auto"/>
        </w:rPr>
        <w:t>“(i) all reasonable and documented out-of-pocket expenses incurred by the Lead Arrangers, the Amendment No. 2 Lead Arranger, the Administrative Agent and their respective Affiliates (including the reasonable fees, charges and disbursements of counsel for the Administrative Agent, the Lead Arrangers and the Amendment No. 2 Lead Arranger, and, if necessary, the reasonable fees, charges and disbursements of one local counsel per jurisdiction and, in the event of any conflict of interest, such additional counsel for each of the Lenders retained with the consent of the Borrower to the extent of such conflict of interests)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7" w:name="page88"/>
    <w:bookmarkEnd w:id="87"/>
    <w:p>
      <w:pPr>
        <w:ind w:left="880"/>
        <w:spacing w:after="0"/>
        <w:tabs>
          <w:tab w:leader="none" w:pos="23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b w:val="1"/>
          <w:bCs w:val="1"/>
          <w:u w:val="single" w:color="auto"/>
          <w:color w:val="auto"/>
        </w:rPr>
        <w:t>Effectiveness</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Section 1</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of this Amendment shall become effective on the date (the “</w:t>
      </w:r>
      <w:r>
        <w:rPr>
          <w:rFonts w:ascii="Arial" w:cs="Arial" w:eastAsia="Arial" w:hAnsi="Arial"/>
          <w:sz w:val="19"/>
          <w:szCs w:val="19"/>
          <w:u w:val="single" w:color="auto"/>
          <w:color w:val="auto"/>
        </w:rPr>
        <w:t>Amendment No.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 Effective Date</w:t>
      </w:r>
      <w:r>
        <w:rPr>
          <w:rFonts w:ascii="Arial" w:cs="Arial" w:eastAsia="Arial" w:hAnsi="Arial"/>
          <w:sz w:val="22"/>
          <w:szCs w:val="22"/>
          <w:color w:val="auto"/>
        </w:rPr>
        <w:t>”) on which the following conditions have been satisfied:</w:t>
      </w:r>
    </w:p>
    <w:p>
      <w:pPr>
        <w:spacing w:after="0" w:line="188" w:lineRule="exact"/>
        <w:rPr>
          <w:sz w:val="20"/>
          <w:szCs w:val="20"/>
          <w:color w:val="auto"/>
        </w:rPr>
      </w:pPr>
    </w:p>
    <w:p>
      <w:pPr>
        <w:jc w:val="both"/>
        <w:ind w:left="880" w:firstLine="1626"/>
        <w:spacing w:after="0" w:line="238" w:lineRule="auto"/>
        <w:tabs>
          <w:tab w:leader="none" w:pos="338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to this Amendment, duly executed by the Borrower, the Guarantors, and the Administrative Agent, and consents substantially in the form of Exhibit A hereto (each such consent, a “</w:t>
      </w:r>
      <w:r>
        <w:rPr>
          <w:rFonts w:ascii="Arial" w:cs="Arial" w:eastAsia="Arial" w:hAnsi="Arial"/>
          <w:sz w:val="22"/>
          <w:szCs w:val="22"/>
          <w:u w:val="single" w:color="auto"/>
          <w:color w:val="auto"/>
        </w:rPr>
        <w:t>Consent</w:t>
      </w:r>
      <w:r>
        <w:rPr>
          <w:rFonts w:ascii="Arial" w:cs="Arial" w:eastAsia="Arial" w:hAnsi="Arial"/>
          <w:sz w:val="22"/>
          <w:szCs w:val="22"/>
          <w:color w:val="auto"/>
        </w:rPr>
        <w:t>”) from Consenting Lenders constituting at least the Required Lenders and the Required Revolving Credit Lenders.</w:t>
      </w:r>
    </w:p>
    <w:p>
      <w:pPr>
        <w:spacing w:after="0" w:line="185" w:lineRule="exact"/>
        <w:rPr>
          <w:rFonts w:ascii="Arial" w:cs="Arial" w:eastAsia="Arial" w:hAnsi="Arial"/>
          <w:sz w:val="22"/>
          <w:szCs w:val="22"/>
          <w:color w:val="auto"/>
        </w:rPr>
      </w:pPr>
    </w:p>
    <w:p>
      <w:pPr>
        <w:jc w:val="both"/>
        <w:ind w:left="880" w:firstLine="1626"/>
        <w:spacing w:after="0" w:line="252" w:lineRule="auto"/>
        <w:tabs>
          <w:tab w:leader="none" w:pos="34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signed by a Responsible Officer of the Borrower stating that: (i) the representations and warranties of the Borrower and each Credit Party contained in Section 3 hereof are true and correct and (ii) no Default or Event of Default shall have occurred and be continuing on the Amendment No. 2 Effective Date or after giving effect to this Amendment.</w:t>
      </w:r>
    </w:p>
    <w:p>
      <w:pPr>
        <w:spacing w:after="0" w:line="174" w:lineRule="exact"/>
        <w:rPr>
          <w:rFonts w:ascii="Arial" w:cs="Arial" w:eastAsia="Arial" w:hAnsi="Arial"/>
          <w:sz w:val="21"/>
          <w:szCs w:val="21"/>
          <w:color w:val="auto"/>
        </w:rPr>
      </w:pPr>
    </w:p>
    <w:p>
      <w:pPr>
        <w:jc w:val="both"/>
        <w:ind w:left="880" w:firstLine="1626"/>
        <w:spacing w:after="0" w:line="238" w:lineRule="auto"/>
        <w:tabs>
          <w:tab w:leader="none" w:pos="3388"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The Administrative Agent and the Amendment No. 2 Lead Arranger shall have received reimbursement of expenses required to be reimbursed or paid hereunder or under any other Loan Document or otherwise agreed to in writing to be paid (including, without limitation, the reasonable fees and expenses of Cahill Gordon &amp; Reindel </w:t>
      </w:r>
      <w:r>
        <w:rPr>
          <w:rFonts w:ascii="Arial" w:cs="Arial" w:eastAsia="Arial" w:hAnsi="Arial"/>
          <w:sz w:val="18"/>
          <w:szCs w:val="18"/>
          <w:color w:val="auto"/>
        </w:rPr>
        <w:t>LLP</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880" w:firstLine="1626"/>
        <w:spacing w:after="0" w:line="245" w:lineRule="auto"/>
        <w:tabs>
          <w:tab w:leader="none" w:pos="34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a Responsible Officer of each Credit Party certifying as to the incumbency and genuineness of the signature of each officer of the Credit Parties executing this Amendment and certifying that attached thereto is a true, correct and complete copy of (A) the articles or certificate of incorporation or formation (or equivalent), as applicable, of each Credit Party and all amendments thereto, certified as of a recent date by the appropriate Governmental Authority in its jurisdiction of incorporation, organization or formation, as applicable, (B) the bylaws or other governing documents of each Credit Party as in effect on the Closing Date and (C) resolutions duly adopted by the board of directors (or other governing body) of each Credit Party authorizing and approving the transactions contemplated hereunder and the execution, delivery and performance of this Amendment and the other Loan Documents to which it is a party; and</w:t>
      </w:r>
    </w:p>
    <w:p>
      <w:pPr>
        <w:spacing w:after="0" w:line="185" w:lineRule="exact"/>
        <w:rPr>
          <w:rFonts w:ascii="Arial" w:cs="Arial" w:eastAsia="Arial" w:hAnsi="Arial"/>
          <w:sz w:val="21"/>
          <w:szCs w:val="21"/>
          <w:color w:val="auto"/>
        </w:rPr>
      </w:pPr>
    </w:p>
    <w:p>
      <w:pPr>
        <w:jc w:val="both"/>
        <w:ind w:left="880" w:right="20" w:firstLine="1626"/>
        <w:spacing w:after="0"/>
        <w:tabs>
          <w:tab w:leader="none" w:pos="338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Administrative Agent shall have received certificates, dated as of a recent date prior to the Amendment No. 2 Effective Date, of the good standing of the Credit Parties under the laws of their respective jurisdictions of incorporation, organization or formation, as applicable.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8" w:name="page89"/>
    <w:bookmarkEnd w:id="88"/>
    <w:p>
      <w:pPr>
        <w:ind w:right="20" w:firstLine="877"/>
        <w:spacing w:after="0" w:line="25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The Borrower and each Credit party hereby represents and warrants to the Administrative Agent and the Lenders that:</w:t>
      </w:r>
    </w:p>
    <w:p>
      <w:pPr>
        <w:spacing w:after="0" w:line="169" w:lineRule="exact"/>
        <w:rPr>
          <w:sz w:val="20"/>
          <w:szCs w:val="20"/>
          <w:color w:val="auto"/>
        </w:rPr>
      </w:pPr>
    </w:p>
    <w:p>
      <w:pPr>
        <w:jc w:val="both"/>
        <w:ind w:left="880" w:firstLine="1626"/>
        <w:spacing w:after="0" w:line="277" w:lineRule="auto"/>
        <w:tabs>
          <w:tab w:leader="none" w:pos="34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Credit Party has the right, power and authority and has taken all necessary corporate and other action to authorize the execution, delivery and performance of this Amendment in accordance with its terms. The Amendment has been duly authorized by the duly authorized officers of each Credit Party that is a party hereto, and each such document constitutes the legal, valid and binding obligation of each Credit Party that is a party hereto,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52" w:lineRule="exact"/>
        <w:rPr>
          <w:rFonts w:ascii="Arial" w:cs="Arial" w:eastAsia="Arial" w:hAnsi="Arial"/>
          <w:sz w:val="19"/>
          <w:szCs w:val="19"/>
          <w:color w:val="auto"/>
        </w:rPr>
      </w:pPr>
    </w:p>
    <w:p>
      <w:pPr>
        <w:jc w:val="both"/>
        <w:ind w:left="880" w:firstLine="1626"/>
        <w:spacing w:after="0" w:line="275" w:lineRule="auto"/>
        <w:tabs>
          <w:tab w:leader="none" w:pos="34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any Credit Party in or pursuant to the Credit Agreement and the other Loan Documents are true and correct in all material respects, except to the extent any such representation and warranty is qualified by materiality or reference to Material Adverse Effect, in which case, such representation and warranty shall be true, correct and complete in all respects,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references Material Adverse Effect, which such representation and warranty shall be true and correct in all respects as of such earlier date).</w:t>
      </w:r>
    </w:p>
    <w:p>
      <w:pPr>
        <w:spacing w:after="0" w:line="158" w:lineRule="exact"/>
        <w:rPr>
          <w:rFonts w:ascii="Arial" w:cs="Arial" w:eastAsia="Arial" w:hAnsi="Arial"/>
          <w:sz w:val="19"/>
          <w:szCs w:val="19"/>
          <w:color w:val="auto"/>
        </w:rPr>
      </w:pPr>
    </w:p>
    <w:p>
      <w:pPr>
        <w:ind w:left="880" w:firstLine="1626"/>
        <w:spacing w:after="0" w:line="251" w:lineRule="auto"/>
        <w:tabs>
          <w:tab w:leader="none" w:pos="34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Amendment No. 2 Effective Date or after giving effect to this Amendment.</w:t>
      </w:r>
    </w:p>
    <w:p>
      <w:pPr>
        <w:spacing w:after="0" w:line="167"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This Amendment shall become effective when it shall have been executed by the Borrower and the Administrative Agent and when each party hereto shall have received counterparts hereof that, when taken together, bear the signatures of each of the other parties hereto. Delivery of an executed counterpart of a signature page of this Amendment by facsimile or in electronic (</w:t>
      </w:r>
      <w:r>
        <w:rPr>
          <w:rFonts w:ascii="Arial" w:cs="Arial" w:eastAsia="Arial" w:hAnsi="Arial"/>
          <w:sz w:val="19"/>
          <w:szCs w:val="19"/>
          <w:u w:val="single" w:color="auto"/>
          <w:color w:val="auto"/>
        </w:rPr>
        <w:t>i.e</w:t>
      </w:r>
      <w:r>
        <w:rPr>
          <w:rFonts w:ascii="Arial" w:cs="Arial" w:eastAsia="Arial" w:hAnsi="Arial"/>
          <w:sz w:val="19"/>
          <w:szCs w:val="19"/>
          <w:color w:val="auto"/>
        </w:rPr>
        <w:t>., “pdf” or “tif”) format shall be effective as delivery of a manually executed counterpart of this Amendment.</w:t>
      </w:r>
    </w:p>
    <w:p>
      <w:pPr>
        <w:spacing w:after="0" w:line="14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b w:val="1"/>
          <w:bCs w:val="1"/>
          <w:color w:val="auto"/>
        </w:rPr>
        <w:t>THIS AMENDMENT SHALL BE GOVERNED BY, AND CONSTRUED IN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ACCORDANCE WITH, THE LAWS OF THE STATE OF NEW YORK.</w:t>
      </w:r>
    </w:p>
    <w:p>
      <w:pPr>
        <w:spacing w:after="0" w:line="18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The provisions of Sections 12.5 and 12.6 of the Credit Agreement shall apply to this Amendment to the same extent as if fully set forth herein.</w:t>
      </w:r>
    </w:p>
    <w:p>
      <w:pPr>
        <w:spacing w:after="0" w:line="16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of this Amendment are for purposes of reference only and shall not limit or otherwise affect the meaning 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9" w:name="page90"/>
    <w:bookmarkEnd w:id="89"/>
    <w:p>
      <w:pPr>
        <w:jc w:val="both"/>
        <w:ind w:firstLine="877"/>
        <w:spacing w:after="0" w:line="234"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b w:val="1"/>
          <w:bCs w:val="1"/>
          <w:u w:val="single" w:color="auto"/>
          <w:color w:val="auto"/>
        </w:rPr>
        <w:t>Effect of Amendment</w:t>
      </w:r>
      <w:r>
        <w:rPr>
          <w:rFonts w:ascii="Arial" w:cs="Arial" w:eastAsia="Arial" w:hAnsi="Arial"/>
          <w:sz w:val="22"/>
          <w:szCs w:val="22"/>
          <w:color w:val="auto"/>
        </w:rPr>
        <w:t>. This Amendment shall not constitute a novation of the Credit Agreement or any of the Loan Documents. Except as expressly set forth herein, (i) this Amendment shall not by implication or otherwise limit, impair, constitute a waiver of or otherwise affect the rights and remedies of the Lenders, the Administrative Agent or the Issuing Lenders,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Each and every term, condition, obligation, covenant and agreement contained in the Credit Agreement or any other Loan Document (for avoidance of doubt, in each case, as altered, modified or amended as expressly set forth herein) is hereby ratified and re-affirmed in all respects and shall continue in full force and effect.</w:t>
      </w:r>
    </w:p>
    <w:p>
      <w:pPr>
        <w:spacing w:after="0" w:line="184"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b w:val="1"/>
          <w:bCs w:val="1"/>
          <w:u w:val="single" w:color="auto"/>
          <w:color w:val="auto"/>
        </w:rPr>
        <w:t>Reaffirmation</w:t>
      </w:r>
      <w:r>
        <w:rPr>
          <w:rFonts w:ascii="Arial" w:cs="Arial" w:eastAsia="Arial" w:hAnsi="Arial"/>
          <w:sz w:val="19"/>
          <w:szCs w:val="19"/>
          <w:color w:val="auto"/>
        </w:rPr>
        <w:t>. Each Credit Party hereby acknowledges its receipt of a copy of this Amendment and its review of the terms and conditions hereof and thereof and consents to the terms and conditions of this Amendment and the transactions contemplated hereby. Each Guarantor hereby (a) affirms and confirms its guarantees and other commitments under the Guaranty Agreement, and (b) agrees that the Guaranty Agreement is in full force and effect and shall accrue to the benefit of the Secured Parties to secure the Obligations. Each Credit Party hereby (a) affirms and confirms its pledges, grants and other commitments and the validity of the Liens under the Security Documents to which it is a party, with all such Liens continuing in full force and effect after giving effect to this Amendment and (b) agrees that each Security Document to which it is a party is in full force and effect and shall accrue to the benefit of the Secured Parties to secure the Obligations.</w:t>
      </w:r>
    </w:p>
    <w:p>
      <w:pPr>
        <w:spacing w:after="0" w:line="151"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b w:val="1"/>
          <w:bCs w:val="1"/>
          <w:u w:val="single" w:color="auto"/>
          <w:color w:val="auto"/>
        </w:rPr>
        <w:t>Reference to and Effect on the Credit Agreement</w:t>
      </w:r>
      <w:r>
        <w:rPr>
          <w:rFonts w:ascii="Arial" w:cs="Arial" w:eastAsia="Arial" w:hAnsi="Arial"/>
          <w:sz w:val="19"/>
          <w:szCs w:val="19"/>
          <w:color w:val="auto"/>
        </w:rPr>
        <w:t>. On and after the Amendment No. 2 Effective Date, each reference in the Credit Agreement to “this Agreement”, “hereunder”, “hereof” or words of like import referring to the Credit Agreement, and each reference in each of the other Loan Documents to “the Credit Agreement”, “thereunder”, “thereof” or words of like import referring to the Credit Agreement, shall mean and be a reference to the Credit Agreement, as amended by this Amendment. The Credit Agreement and each of the other Loan Documents, as specifically amended by this Amendment, are and shall continue to be in full force and effect and are hereby in all respects ratified and confirmed. Without limiting the generality of the foregoing, the Security Documents and all of the Collateral described therein do and shall continue to secure the payment of all Secured Obligations of the Credit Parties under the Loan Documents. The execution, delivery and effectiveness of this Amendment shall not, except as expressly provided herein, operate as an amendment of any right, power or remedy of any Lender or any Agent under any of the Loan Documents, nor constitute an amendment of any provision of any of the Loan Documents.</w:t>
      </w:r>
    </w:p>
    <w:p>
      <w:pPr>
        <w:spacing w:after="0" w:line="153"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b w:val="1"/>
          <w:bCs w:val="1"/>
          <w:u w:val="single" w:color="auto"/>
          <w:color w:val="auto"/>
        </w:rPr>
        <w:t>Costs and Expenses</w:t>
      </w:r>
      <w:r>
        <w:rPr>
          <w:rFonts w:ascii="Arial" w:cs="Arial" w:eastAsia="Arial" w:hAnsi="Arial"/>
          <w:sz w:val="22"/>
          <w:szCs w:val="22"/>
          <w:color w:val="auto"/>
        </w:rPr>
        <w:t>. The Borrower agrees to pay all reasonable costs and expenses of the Administrative Agent in connection with the preparation, execution and delivery of this Amendment and the other instruments and documents to be delivered hereunder, if any (including, without limitation, the reasonable fees and expenses of Cahill Gordon &amp; Reindel LLP) in accordance with the terms of Section 12.3 of the Credit Agreement.</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b w:val="1"/>
          <w:bCs w:val="1"/>
          <w:u w:val="single" w:color="auto"/>
          <w:color w:val="auto"/>
        </w:rPr>
        <w:t>Severability of Provisions</w:t>
      </w:r>
      <w:r>
        <w:rPr>
          <w:rFonts w:ascii="Arial" w:cs="Arial" w:eastAsia="Arial" w:hAnsi="Arial"/>
          <w:sz w:val="22"/>
          <w:szCs w:val="22"/>
          <w:color w:val="auto"/>
        </w:rPr>
        <w:t>. Any provision of this Amendment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0" w:name="page91"/>
    <w:bookmarkEnd w:id="90"/>
    <w:p>
      <w:pPr>
        <w:ind w:firstLine="1755"/>
        <w:spacing w:after="0" w:line="251"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ELDORADO RESORTS, INC., as the Borrower</w:t>
      </w:r>
    </w:p>
    <w:p>
      <w:pPr>
        <w:spacing w:after="0" w:line="200" w:lineRule="exact"/>
        <w:rPr>
          <w:sz w:val="20"/>
          <w:szCs w:val="20"/>
          <w:color w:val="auto"/>
        </w:rPr>
      </w:pPr>
    </w:p>
    <w:p>
      <w:pPr>
        <w:spacing w:after="0" w:line="222"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Thomas R. Reeg</w:t>
            </w:r>
          </w:p>
        </w:tc>
      </w:tr>
      <w:tr>
        <w:trPr>
          <w:trHeight w:val="215"/>
        </w:trPr>
        <w:tc>
          <w:tcPr>
            <w:tcW w:w="9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40" w:type="dxa"/>
            <w:vAlign w:val="bottom"/>
          </w:tcPr>
          <w:p>
            <w:pPr>
              <w:spacing w:after="0" w:line="216" w:lineRule="exact"/>
              <w:rPr>
                <w:sz w:val="20"/>
                <w:szCs w:val="20"/>
                <w:color w:val="auto"/>
              </w:rPr>
            </w:pPr>
            <w:r>
              <w:rPr>
                <w:rFonts w:ascii="Arial" w:cs="Arial" w:eastAsia="Arial" w:hAnsi="Arial"/>
                <w:sz w:val="22"/>
                <w:szCs w:val="22"/>
                <w:color w:val="auto"/>
              </w:rPr>
              <w:t>Thomas R. Reeg</w:t>
            </w:r>
          </w:p>
        </w:tc>
      </w:tr>
      <w:tr>
        <w:trPr>
          <w:trHeight w:val="275"/>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4740" w:type="dxa"/>
            <w:vAlign w:val="bottom"/>
          </w:tcPr>
          <w:p>
            <w:pPr>
              <w:spacing w:after="0"/>
              <w:rPr>
                <w:sz w:val="20"/>
                <w:szCs w:val="20"/>
                <w:color w:val="auto"/>
              </w:rPr>
            </w:pPr>
            <w:r>
              <w:rPr>
                <w:rFonts w:ascii="Arial" w:cs="Arial" w:eastAsia="Arial" w:hAnsi="Arial"/>
                <w:sz w:val="22"/>
                <w:szCs w:val="2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Eldorado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1" w:name="page92"/>
    <w:bookmarkEnd w:id="91"/>
    <w:p>
      <w:pPr>
        <w:ind w:left="4520"/>
        <w:spacing w:after="0"/>
        <w:rPr>
          <w:sz w:val="20"/>
          <w:szCs w:val="20"/>
          <w:color w:val="auto"/>
        </w:rPr>
      </w:pPr>
      <w:r>
        <w:rPr>
          <w:rFonts w:ascii="Arial" w:cs="Arial" w:eastAsia="Arial" w:hAnsi="Arial"/>
          <w:sz w:val="22"/>
          <w:szCs w:val="22"/>
          <w:color w:val="auto"/>
        </w:rPr>
        <w:t>ISLE OF CAPRI CASINOS LLC</w:t>
      </w:r>
    </w:p>
    <w:p>
      <w:pPr>
        <w:ind w:left="4520"/>
        <w:spacing w:after="0" w:line="238" w:lineRule="auto"/>
        <w:rPr>
          <w:sz w:val="20"/>
          <w:szCs w:val="20"/>
          <w:color w:val="auto"/>
        </w:rPr>
      </w:pPr>
      <w:r>
        <w:rPr>
          <w:rFonts w:ascii="Arial" w:cs="Arial" w:eastAsia="Arial" w:hAnsi="Arial"/>
          <w:sz w:val="22"/>
          <w:szCs w:val="22"/>
          <w:color w:val="auto"/>
        </w:rPr>
        <w:t>ELDORADO HOLDCO LLC</w:t>
      </w:r>
    </w:p>
    <w:p>
      <w:pPr>
        <w:ind w:left="4520"/>
        <w:spacing w:after="0" w:line="230" w:lineRule="auto"/>
        <w:rPr>
          <w:sz w:val="20"/>
          <w:szCs w:val="20"/>
          <w:color w:val="auto"/>
        </w:rPr>
      </w:pPr>
      <w:r>
        <w:rPr>
          <w:rFonts w:ascii="Arial" w:cs="Arial" w:eastAsia="Arial" w:hAnsi="Arial"/>
          <w:sz w:val="22"/>
          <w:szCs w:val="22"/>
          <w:color w:val="auto"/>
        </w:rPr>
        <w:t>ELDORADO RESORTS LLC</w:t>
      </w:r>
    </w:p>
    <w:p>
      <w:pPr>
        <w:ind w:left="4520"/>
        <w:spacing w:after="0" w:line="231" w:lineRule="auto"/>
        <w:rPr>
          <w:sz w:val="20"/>
          <w:szCs w:val="20"/>
          <w:color w:val="auto"/>
        </w:rPr>
      </w:pPr>
      <w:r>
        <w:rPr>
          <w:rFonts w:ascii="Arial" w:cs="Arial" w:eastAsia="Arial" w:hAnsi="Arial"/>
          <w:sz w:val="22"/>
          <w:szCs w:val="22"/>
          <w:color w:val="auto"/>
        </w:rPr>
        <w:t>ELDORADO SHREVEPORT #1, LLC</w:t>
      </w:r>
    </w:p>
    <w:p>
      <w:pPr>
        <w:ind w:left="4520"/>
        <w:spacing w:after="0" w:line="231" w:lineRule="auto"/>
        <w:rPr>
          <w:sz w:val="20"/>
          <w:szCs w:val="20"/>
          <w:color w:val="auto"/>
        </w:rPr>
      </w:pPr>
      <w:r>
        <w:rPr>
          <w:rFonts w:ascii="Arial" w:cs="Arial" w:eastAsia="Arial" w:hAnsi="Arial"/>
          <w:sz w:val="22"/>
          <w:szCs w:val="22"/>
          <w:color w:val="auto"/>
        </w:rPr>
        <w:t>ELDORADO SHREVEPORT #2, LLC</w:t>
      </w:r>
    </w:p>
    <w:p>
      <w:pPr>
        <w:ind w:left="4520"/>
        <w:spacing w:after="0" w:line="230" w:lineRule="auto"/>
        <w:rPr>
          <w:sz w:val="20"/>
          <w:szCs w:val="20"/>
          <w:color w:val="auto"/>
        </w:rPr>
      </w:pPr>
      <w:r>
        <w:rPr>
          <w:rFonts w:ascii="Arial" w:cs="Arial" w:eastAsia="Arial" w:hAnsi="Arial"/>
          <w:sz w:val="22"/>
          <w:szCs w:val="22"/>
          <w:color w:val="auto"/>
        </w:rPr>
        <w:t>ELDORADO CASINO SHREVEPORT JOINT VENTURE</w:t>
      </w:r>
    </w:p>
    <w:p>
      <w:pPr>
        <w:ind w:left="4520"/>
        <w:spacing w:after="0" w:line="231" w:lineRule="auto"/>
        <w:rPr>
          <w:sz w:val="20"/>
          <w:szCs w:val="20"/>
          <w:color w:val="auto"/>
        </w:rPr>
      </w:pPr>
      <w:r>
        <w:rPr>
          <w:rFonts w:ascii="Arial" w:cs="Arial" w:eastAsia="Arial" w:hAnsi="Arial"/>
          <w:sz w:val="22"/>
          <w:szCs w:val="22"/>
          <w:color w:val="auto"/>
        </w:rPr>
        <w:t>MTR GAMING GROUP, INC.</w:t>
      </w:r>
    </w:p>
    <w:p>
      <w:pPr>
        <w:ind w:left="4520"/>
        <w:spacing w:after="0" w:line="231" w:lineRule="auto"/>
        <w:rPr>
          <w:sz w:val="20"/>
          <w:szCs w:val="20"/>
          <w:color w:val="auto"/>
        </w:rPr>
      </w:pPr>
      <w:r>
        <w:rPr>
          <w:rFonts w:ascii="Arial" w:cs="Arial" w:eastAsia="Arial" w:hAnsi="Arial"/>
          <w:sz w:val="22"/>
          <w:szCs w:val="22"/>
          <w:color w:val="auto"/>
        </w:rPr>
        <w:t>MOUNTAINEER PARK, INC.</w:t>
      </w:r>
    </w:p>
    <w:p>
      <w:pPr>
        <w:ind w:left="4520"/>
        <w:spacing w:after="0" w:line="230" w:lineRule="auto"/>
        <w:rPr>
          <w:sz w:val="20"/>
          <w:szCs w:val="20"/>
          <w:color w:val="auto"/>
        </w:rPr>
      </w:pPr>
      <w:r>
        <w:rPr>
          <w:rFonts w:ascii="Arial" w:cs="Arial" w:eastAsia="Arial" w:hAnsi="Arial"/>
          <w:sz w:val="22"/>
          <w:szCs w:val="22"/>
          <w:color w:val="auto"/>
        </w:rPr>
        <w:t>PRESQUE ISLE DOWNS, INC.</w:t>
      </w:r>
    </w:p>
    <w:p>
      <w:pPr>
        <w:ind w:left="4520"/>
        <w:spacing w:after="0" w:line="231" w:lineRule="auto"/>
        <w:rPr>
          <w:sz w:val="20"/>
          <w:szCs w:val="20"/>
          <w:color w:val="auto"/>
        </w:rPr>
      </w:pPr>
      <w:r>
        <w:rPr>
          <w:rFonts w:ascii="Arial" w:cs="Arial" w:eastAsia="Arial" w:hAnsi="Arial"/>
          <w:sz w:val="22"/>
          <w:szCs w:val="22"/>
          <w:color w:val="auto"/>
        </w:rPr>
        <w:t>SCIOTO DOWNS, INC.</w:t>
      </w:r>
    </w:p>
    <w:p>
      <w:pPr>
        <w:ind w:left="4520"/>
        <w:spacing w:after="0" w:line="231" w:lineRule="auto"/>
        <w:rPr>
          <w:sz w:val="20"/>
          <w:szCs w:val="20"/>
          <w:color w:val="auto"/>
        </w:rPr>
      </w:pPr>
      <w:r>
        <w:rPr>
          <w:rFonts w:ascii="Arial" w:cs="Arial" w:eastAsia="Arial" w:hAnsi="Arial"/>
          <w:sz w:val="22"/>
          <w:szCs w:val="22"/>
          <w:color w:val="auto"/>
        </w:rPr>
        <w:t>ELDORADO LIMITED LIABILITY COMPANY</w:t>
      </w:r>
    </w:p>
    <w:p>
      <w:pPr>
        <w:ind w:left="4520"/>
        <w:spacing w:after="0" w:line="230" w:lineRule="auto"/>
        <w:rPr>
          <w:sz w:val="20"/>
          <w:szCs w:val="20"/>
          <w:color w:val="auto"/>
        </w:rPr>
      </w:pPr>
      <w:r>
        <w:rPr>
          <w:rFonts w:ascii="Arial" w:cs="Arial" w:eastAsia="Arial" w:hAnsi="Arial"/>
          <w:sz w:val="22"/>
          <w:szCs w:val="22"/>
          <w:color w:val="auto"/>
        </w:rPr>
        <w:t>CIRCUS AND ELDORADO JOINT VENTURE, LLC</w:t>
      </w:r>
    </w:p>
    <w:p>
      <w:pPr>
        <w:ind w:left="4520"/>
        <w:spacing w:after="0" w:line="231" w:lineRule="auto"/>
        <w:rPr>
          <w:sz w:val="20"/>
          <w:szCs w:val="20"/>
          <w:color w:val="auto"/>
        </w:rPr>
      </w:pPr>
      <w:r>
        <w:rPr>
          <w:rFonts w:ascii="Arial" w:cs="Arial" w:eastAsia="Arial" w:hAnsi="Arial"/>
          <w:sz w:val="22"/>
          <w:szCs w:val="22"/>
          <w:color w:val="auto"/>
        </w:rPr>
        <w:t>CC-RENO LLC</w:t>
      </w:r>
    </w:p>
    <w:p>
      <w:pPr>
        <w:ind w:left="4520"/>
        <w:spacing w:after="0" w:line="230" w:lineRule="auto"/>
        <w:rPr>
          <w:sz w:val="20"/>
          <w:szCs w:val="20"/>
          <w:color w:val="auto"/>
        </w:rPr>
      </w:pPr>
      <w:r>
        <w:rPr>
          <w:rFonts w:ascii="Arial" w:cs="Arial" w:eastAsia="Arial" w:hAnsi="Arial"/>
          <w:sz w:val="22"/>
          <w:szCs w:val="22"/>
          <w:color w:val="auto"/>
        </w:rPr>
        <w:t>CCR NEWCO, LLC</w:t>
      </w:r>
    </w:p>
    <w:p>
      <w:pPr>
        <w:ind w:left="4520"/>
        <w:spacing w:after="0" w:line="231" w:lineRule="auto"/>
        <w:rPr>
          <w:sz w:val="20"/>
          <w:szCs w:val="20"/>
          <w:color w:val="auto"/>
        </w:rPr>
      </w:pPr>
      <w:r>
        <w:rPr>
          <w:rFonts w:ascii="Arial" w:cs="Arial" w:eastAsia="Arial" w:hAnsi="Arial"/>
          <w:sz w:val="22"/>
          <w:szCs w:val="22"/>
          <w:color w:val="auto"/>
        </w:rPr>
        <w:t>BLACK HAWK HOLDINGS, L.L.C.</w:t>
      </w:r>
    </w:p>
    <w:p>
      <w:pPr>
        <w:ind w:left="4520"/>
        <w:spacing w:after="0" w:line="231" w:lineRule="auto"/>
        <w:rPr>
          <w:sz w:val="20"/>
          <w:szCs w:val="20"/>
          <w:color w:val="auto"/>
        </w:rPr>
      </w:pPr>
      <w:r>
        <w:rPr>
          <w:rFonts w:ascii="Arial" w:cs="Arial" w:eastAsia="Arial" w:hAnsi="Arial"/>
          <w:sz w:val="22"/>
          <w:szCs w:val="22"/>
          <w:color w:val="auto"/>
        </w:rPr>
        <w:t>IC HOLDINGS COLORADO, INC.</w:t>
      </w:r>
    </w:p>
    <w:p>
      <w:pPr>
        <w:ind w:left="4520"/>
        <w:spacing w:after="0" w:line="230" w:lineRule="auto"/>
        <w:rPr>
          <w:sz w:val="20"/>
          <w:szCs w:val="20"/>
          <w:color w:val="auto"/>
        </w:rPr>
      </w:pPr>
      <w:r>
        <w:rPr>
          <w:rFonts w:ascii="Arial" w:cs="Arial" w:eastAsia="Arial" w:hAnsi="Arial"/>
          <w:sz w:val="22"/>
          <w:szCs w:val="22"/>
          <w:color w:val="auto"/>
        </w:rPr>
        <w:t>CCSC/BLACKHAWK, INC.</w:t>
      </w:r>
    </w:p>
    <w:p>
      <w:pPr>
        <w:ind w:left="4520"/>
        <w:spacing w:after="0" w:line="231" w:lineRule="auto"/>
        <w:rPr>
          <w:sz w:val="20"/>
          <w:szCs w:val="20"/>
          <w:color w:val="auto"/>
        </w:rPr>
      </w:pPr>
      <w:r>
        <w:rPr>
          <w:rFonts w:ascii="Arial" w:cs="Arial" w:eastAsia="Arial" w:hAnsi="Arial"/>
          <w:sz w:val="22"/>
          <w:szCs w:val="22"/>
          <w:color w:val="auto"/>
        </w:rPr>
        <w:t>ISLE OF CAPRI BLACK HAWK, L.L.C.</w:t>
      </w:r>
    </w:p>
    <w:p>
      <w:pPr>
        <w:ind w:left="4520"/>
        <w:spacing w:after="0" w:line="231" w:lineRule="auto"/>
        <w:rPr>
          <w:sz w:val="20"/>
          <w:szCs w:val="20"/>
          <w:color w:val="auto"/>
        </w:rPr>
      </w:pPr>
      <w:r>
        <w:rPr>
          <w:rFonts w:ascii="Arial" w:cs="Arial" w:eastAsia="Arial" w:hAnsi="Arial"/>
          <w:sz w:val="22"/>
          <w:szCs w:val="22"/>
          <w:color w:val="auto"/>
        </w:rPr>
        <w:t>IOC - BLACK HAWK DISTRIBUTION COMPANY, LLC</w:t>
      </w:r>
    </w:p>
    <w:p>
      <w:pPr>
        <w:ind w:left="4520"/>
        <w:spacing w:after="0" w:line="230" w:lineRule="auto"/>
        <w:rPr>
          <w:sz w:val="20"/>
          <w:szCs w:val="20"/>
          <w:color w:val="auto"/>
        </w:rPr>
      </w:pPr>
      <w:r>
        <w:rPr>
          <w:rFonts w:ascii="Arial" w:cs="Arial" w:eastAsia="Arial" w:hAnsi="Arial"/>
          <w:sz w:val="22"/>
          <w:szCs w:val="22"/>
          <w:color w:val="auto"/>
        </w:rPr>
        <w:t>IOC BLACK HAWK COUNTY, INC.</w:t>
      </w:r>
    </w:p>
    <w:p>
      <w:pPr>
        <w:ind w:left="4520"/>
        <w:spacing w:after="0" w:line="231" w:lineRule="auto"/>
        <w:rPr>
          <w:sz w:val="20"/>
          <w:szCs w:val="20"/>
          <w:color w:val="auto"/>
        </w:rPr>
      </w:pPr>
      <w:r>
        <w:rPr>
          <w:rFonts w:ascii="Arial" w:cs="Arial" w:eastAsia="Arial" w:hAnsi="Arial"/>
          <w:sz w:val="22"/>
          <w:szCs w:val="22"/>
          <w:color w:val="auto"/>
        </w:rPr>
        <w:t>ISLE OF CAPRI BETTENDORF, L.C.</w:t>
      </w:r>
    </w:p>
    <w:p>
      <w:pPr>
        <w:ind w:left="4520"/>
        <w:spacing w:after="0" w:line="231" w:lineRule="auto"/>
        <w:rPr>
          <w:sz w:val="20"/>
          <w:szCs w:val="20"/>
          <w:color w:val="auto"/>
        </w:rPr>
      </w:pPr>
      <w:r>
        <w:rPr>
          <w:rFonts w:ascii="Arial" w:cs="Arial" w:eastAsia="Arial" w:hAnsi="Arial"/>
          <w:sz w:val="22"/>
          <w:szCs w:val="22"/>
          <w:color w:val="auto"/>
        </w:rPr>
        <w:t>PPI, INC.</w:t>
      </w:r>
    </w:p>
    <w:p>
      <w:pPr>
        <w:ind w:left="4520"/>
        <w:spacing w:after="0" w:line="230" w:lineRule="auto"/>
        <w:rPr>
          <w:sz w:val="20"/>
          <w:szCs w:val="20"/>
          <w:color w:val="auto"/>
        </w:rPr>
      </w:pPr>
      <w:r>
        <w:rPr>
          <w:rFonts w:ascii="Arial" w:cs="Arial" w:eastAsia="Arial" w:hAnsi="Arial"/>
          <w:sz w:val="22"/>
          <w:szCs w:val="22"/>
          <w:color w:val="auto"/>
        </w:rPr>
        <w:t>POMPANO PARK HOLDINGS, L.L.C.</w:t>
      </w:r>
    </w:p>
    <w:p>
      <w:pPr>
        <w:ind w:left="4520"/>
        <w:spacing w:after="0" w:line="231" w:lineRule="auto"/>
        <w:rPr>
          <w:sz w:val="20"/>
          <w:szCs w:val="20"/>
          <w:color w:val="auto"/>
        </w:rPr>
      </w:pPr>
      <w:r>
        <w:rPr>
          <w:rFonts w:ascii="Arial" w:cs="Arial" w:eastAsia="Arial" w:hAnsi="Arial"/>
          <w:sz w:val="22"/>
          <w:szCs w:val="22"/>
          <w:color w:val="auto"/>
        </w:rPr>
        <w:t>IOC - LULA, INC.</w:t>
      </w:r>
    </w:p>
    <w:p>
      <w:pPr>
        <w:ind w:left="4520"/>
        <w:spacing w:after="0" w:line="230" w:lineRule="auto"/>
        <w:rPr>
          <w:sz w:val="20"/>
          <w:szCs w:val="20"/>
          <w:color w:val="auto"/>
        </w:rPr>
      </w:pPr>
      <w:r>
        <w:rPr>
          <w:rFonts w:ascii="Arial" w:cs="Arial" w:eastAsia="Arial" w:hAnsi="Arial"/>
          <w:sz w:val="22"/>
          <w:szCs w:val="22"/>
          <w:color w:val="auto"/>
        </w:rPr>
        <w:t>IOC-KANSAS CITY, INC.</w:t>
      </w:r>
    </w:p>
    <w:p>
      <w:pPr>
        <w:ind w:left="4520"/>
        <w:spacing w:after="0" w:line="231" w:lineRule="auto"/>
        <w:rPr>
          <w:sz w:val="20"/>
          <w:szCs w:val="20"/>
          <w:color w:val="auto"/>
        </w:rPr>
      </w:pPr>
      <w:r>
        <w:rPr>
          <w:rFonts w:ascii="Arial" w:cs="Arial" w:eastAsia="Arial" w:hAnsi="Arial"/>
          <w:sz w:val="22"/>
          <w:szCs w:val="22"/>
          <w:color w:val="auto"/>
        </w:rPr>
        <w:t>IOC - BOONVILLE, INC.</w:t>
      </w:r>
    </w:p>
    <w:p>
      <w:pPr>
        <w:ind w:left="4520"/>
        <w:spacing w:after="0" w:line="231" w:lineRule="auto"/>
        <w:rPr>
          <w:sz w:val="20"/>
          <w:szCs w:val="20"/>
          <w:color w:val="auto"/>
        </w:rPr>
      </w:pPr>
      <w:r>
        <w:rPr>
          <w:rFonts w:ascii="Arial" w:cs="Arial" w:eastAsia="Arial" w:hAnsi="Arial"/>
          <w:sz w:val="22"/>
          <w:szCs w:val="22"/>
          <w:color w:val="auto"/>
        </w:rPr>
        <w:t>IOC-CARUTHERSVILLE, LLC</w:t>
      </w:r>
    </w:p>
    <w:p>
      <w:pPr>
        <w:ind w:left="4520"/>
        <w:spacing w:after="0" w:line="230" w:lineRule="auto"/>
        <w:rPr>
          <w:sz w:val="20"/>
          <w:szCs w:val="20"/>
          <w:color w:val="auto"/>
        </w:rPr>
      </w:pPr>
      <w:r>
        <w:rPr>
          <w:rFonts w:ascii="Arial" w:cs="Arial" w:eastAsia="Arial" w:hAnsi="Arial"/>
          <w:sz w:val="22"/>
          <w:szCs w:val="22"/>
          <w:color w:val="auto"/>
        </w:rPr>
        <w:t>IOC-CAPE GIRARDEAU LLC</w:t>
      </w:r>
    </w:p>
    <w:p>
      <w:pPr>
        <w:ind w:left="4520"/>
        <w:spacing w:after="0" w:line="231" w:lineRule="auto"/>
        <w:rPr>
          <w:sz w:val="20"/>
          <w:szCs w:val="20"/>
          <w:color w:val="auto"/>
        </w:rPr>
      </w:pPr>
      <w:r>
        <w:rPr>
          <w:rFonts w:ascii="Arial" w:cs="Arial" w:eastAsia="Arial" w:hAnsi="Arial"/>
          <w:sz w:val="22"/>
          <w:szCs w:val="22"/>
          <w:color w:val="auto"/>
        </w:rPr>
        <w:t>IOC-VICKSBURG, INC.</w:t>
      </w:r>
    </w:p>
    <w:p>
      <w:pPr>
        <w:ind w:left="4520"/>
        <w:spacing w:after="0" w:line="231" w:lineRule="auto"/>
        <w:rPr>
          <w:sz w:val="20"/>
          <w:szCs w:val="20"/>
          <w:color w:val="auto"/>
        </w:rPr>
      </w:pPr>
      <w:r>
        <w:rPr>
          <w:rFonts w:ascii="Arial" w:cs="Arial" w:eastAsia="Arial" w:hAnsi="Arial"/>
          <w:sz w:val="22"/>
          <w:szCs w:val="22"/>
          <w:color w:val="auto"/>
        </w:rPr>
        <w:t>IOC-VICKSBURG, L.L.C.</w:t>
      </w:r>
    </w:p>
    <w:p>
      <w:pPr>
        <w:ind w:left="4520"/>
        <w:spacing w:after="0" w:line="230" w:lineRule="auto"/>
        <w:rPr>
          <w:sz w:val="20"/>
          <w:szCs w:val="20"/>
          <w:color w:val="auto"/>
        </w:rPr>
      </w:pPr>
      <w:r>
        <w:rPr>
          <w:rFonts w:ascii="Arial" w:cs="Arial" w:eastAsia="Arial" w:hAnsi="Arial"/>
          <w:sz w:val="22"/>
          <w:szCs w:val="22"/>
          <w:color w:val="auto"/>
        </w:rPr>
        <w:t>RAINBOW CASINO-VICKSBURG PARTNERSHIP, L.P.</w:t>
      </w:r>
    </w:p>
    <w:p>
      <w:pPr>
        <w:ind w:left="4520"/>
        <w:spacing w:after="0" w:line="231" w:lineRule="auto"/>
        <w:rPr>
          <w:sz w:val="20"/>
          <w:szCs w:val="20"/>
          <w:color w:val="auto"/>
        </w:rPr>
      </w:pPr>
      <w:r>
        <w:rPr>
          <w:rFonts w:ascii="Arial" w:cs="Arial" w:eastAsia="Arial" w:hAnsi="Arial"/>
          <w:sz w:val="22"/>
          <w:szCs w:val="22"/>
          <w:color w:val="auto"/>
        </w:rPr>
        <w:t>IOC HOLDINGS, L.L.C.</w:t>
      </w:r>
    </w:p>
    <w:p>
      <w:pPr>
        <w:ind w:left="4520"/>
        <w:spacing w:after="0"/>
        <w:rPr>
          <w:sz w:val="20"/>
          <w:szCs w:val="20"/>
          <w:color w:val="auto"/>
        </w:rPr>
      </w:pPr>
      <w:r>
        <w:rPr>
          <w:rFonts w:ascii="Arial" w:cs="Arial" w:eastAsia="Arial" w:hAnsi="Arial"/>
          <w:sz w:val="22"/>
          <w:szCs w:val="22"/>
          <w:color w:val="auto"/>
        </w:rPr>
        <w:t>ST. CHARLES GAMING COMPANY, L.L.C.</w:t>
      </w:r>
    </w:p>
    <w:p>
      <w:pPr>
        <w:spacing w:after="0" w:line="200" w:lineRule="exact"/>
        <w:rPr>
          <w:sz w:val="20"/>
          <w:szCs w:val="20"/>
          <w:color w:val="auto"/>
        </w:rPr>
      </w:pPr>
    </w:p>
    <w:p>
      <w:pPr>
        <w:spacing w:after="0" w:line="204"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Edmund L. Quatmann, Jr.</w:t>
            </w:r>
          </w:p>
        </w:tc>
      </w:tr>
      <w:tr>
        <w:trPr>
          <w:trHeight w:val="215"/>
        </w:trPr>
        <w:tc>
          <w:tcPr>
            <w:tcW w:w="9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40" w:type="dxa"/>
            <w:vAlign w:val="bottom"/>
          </w:tcPr>
          <w:p>
            <w:pPr>
              <w:spacing w:after="0" w:line="216" w:lineRule="exact"/>
              <w:rPr>
                <w:sz w:val="20"/>
                <w:szCs w:val="20"/>
                <w:color w:val="auto"/>
              </w:rPr>
            </w:pPr>
            <w:r>
              <w:rPr>
                <w:rFonts w:ascii="Arial" w:cs="Arial" w:eastAsia="Arial" w:hAnsi="Arial"/>
                <w:sz w:val="22"/>
                <w:szCs w:val="22"/>
                <w:color w:val="auto"/>
              </w:rPr>
              <w:t>Edmund L. Quatmann, Jr.</w:t>
            </w: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740" w:type="dxa"/>
            <w:vAlign w:val="bottom"/>
          </w:tcPr>
          <w:p>
            <w:pPr>
              <w:spacing w:after="0" w:line="243" w:lineRule="exact"/>
              <w:rPr>
                <w:sz w:val="20"/>
                <w:szCs w:val="20"/>
                <w:color w:val="auto"/>
              </w:rPr>
            </w:pPr>
            <w:r>
              <w:rPr>
                <w:rFonts w:ascii="Arial" w:cs="Arial" w:eastAsia="Arial" w:hAnsi="Arial"/>
                <w:sz w:val="22"/>
                <w:szCs w:val="22"/>
                <w:color w:val="auto"/>
                <w:w w:val="98"/>
              </w:rPr>
              <w:t>Executive Vice President, Chief Legal Officer and</w:t>
            </w:r>
          </w:p>
        </w:tc>
      </w:tr>
      <w:tr>
        <w:trPr>
          <w:trHeight w:val="275"/>
        </w:trPr>
        <w:tc>
          <w:tcPr>
            <w:tcW w:w="96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Eldorado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0" w:right="239" w:bottom="1440" w:gutter="0" w:footer="0" w:header="0"/>
        </w:sectPr>
      </w:pPr>
    </w:p>
    <w:bookmarkStart w:id="92" w:name="page93"/>
    <w:bookmarkEnd w:id="92"/>
    <w:p>
      <w:pPr>
        <w:ind w:left="4520"/>
        <w:spacing w:after="0"/>
        <w:rPr>
          <w:sz w:val="20"/>
          <w:szCs w:val="20"/>
          <w:color w:val="auto"/>
        </w:rPr>
      </w:pPr>
      <w:r>
        <w:rPr>
          <w:rFonts w:ascii="Arial" w:cs="Arial" w:eastAsia="Arial" w:hAnsi="Arial"/>
          <w:sz w:val="22"/>
          <w:szCs w:val="22"/>
          <w:color w:val="auto"/>
        </w:rPr>
        <w:t>ELGIN HOLDINGS I LLC</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ELGIN HOLDING II LLC</w:t>
      </w:r>
    </w:p>
    <w:p>
      <w:pPr>
        <w:spacing w:after="0" w:line="200" w:lineRule="exact"/>
        <w:rPr>
          <w:sz w:val="20"/>
          <w:szCs w:val="20"/>
          <w:color w:val="auto"/>
        </w:rPr>
      </w:pPr>
    </w:p>
    <w:p>
      <w:pPr>
        <w:spacing w:after="0" w:line="204"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Thomas R. Reeg</w:t>
            </w:r>
          </w:p>
        </w:tc>
      </w:tr>
      <w:tr>
        <w:trPr>
          <w:trHeight w:val="215"/>
        </w:trPr>
        <w:tc>
          <w:tcPr>
            <w:tcW w:w="9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40" w:type="dxa"/>
            <w:vAlign w:val="bottom"/>
          </w:tcPr>
          <w:p>
            <w:pPr>
              <w:spacing w:after="0" w:line="216" w:lineRule="exact"/>
              <w:rPr>
                <w:sz w:val="20"/>
                <w:szCs w:val="20"/>
                <w:color w:val="auto"/>
              </w:rPr>
            </w:pPr>
            <w:r>
              <w:rPr>
                <w:rFonts w:ascii="Arial" w:cs="Arial" w:eastAsia="Arial" w:hAnsi="Arial"/>
                <w:sz w:val="22"/>
                <w:szCs w:val="22"/>
                <w:color w:val="auto"/>
              </w:rPr>
              <w:t>Thomas R. Reeg</w:t>
            </w:r>
          </w:p>
        </w:tc>
      </w:tr>
      <w:tr>
        <w:trPr>
          <w:trHeight w:val="275"/>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4740" w:type="dxa"/>
            <w:vAlign w:val="bottom"/>
          </w:tcPr>
          <w:p>
            <w:pPr>
              <w:spacing w:after="0"/>
              <w:rPr>
                <w:sz w:val="20"/>
                <w:szCs w:val="20"/>
                <w:color w:val="auto"/>
              </w:rPr>
            </w:pPr>
            <w:r>
              <w:rPr>
                <w:rFonts w:ascii="Arial" w:cs="Arial" w:eastAsia="Arial" w:hAnsi="Arial"/>
                <w:sz w:val="22"/>
                <w:szCs w:val="22"/>
                <w:color w:val="auto"/>
              </w:rPr>
              <w:t>President and Chief Financial Officer</w:t>
            </w:r>
          </w:p>
        </w:tc>
      </w:tr>
    </w:tbl>
    <w:p>
      <w:pPr>
        <w:spacing w:after="0" w:line="19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Eldorado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0" w:right="239" w:bottom="1440" w:gutter="0" w:footer="0" w:header="0"/>
        </w:sectPr>
      </w:pPr>
    </w:p>
    <w:bookmarkStart w:id="93" w:name="page94"/>
    <w:bookmarkEnd w:id="93"/>
    <w:p>
      <w:pPr>
        <w:ind w:left="4520"/>
        <w:spacing w:after="0"/>
        <w:rPr>
          <w:sz w:val="20"/>
          <w:szCs w:val="20"/>
          <w:color w:val="auto"/>
        </w:rPr>
      </w:pPr>
      <w:r>
        <w:rPr>
          <w:rFonts w:ascii="Arial" w:cs="Arial" w:eastAsia="Arial" w:hAnsi="Arial"/>
          <w:sz w:val="22"/>
          <w:szCs w:val="22"/>
          <w:color w:val="auto"/>
        </w:rPr>
        <w:t>PPI DEVELOPMENT HOLDINGS LLC</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PPI DEVELOPMENT LLC</w:t>
      </w:r>
    </w:p>
    <w:p>
      <w:pPr>
        <w:spacing w:after="0" w:line="200" w:lineRule="exact"/>
        <w:rPr>
          <w:sz w:val="20"/>
          <w:szCs w:val="20"/>
          <w:color w:val="auto"/>
        </w:rPr>
      </w:pPr>
    </w:p>
    <w:p>
      <w:pPr>
        <w:spacing w:after="0" w:line="204"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Thomas R. Reeg</w:t>
            </w:r>
          </w:p>
        </w:tc>
      </w:tr>
      <w:tr>
        <w:trPr>
          <w:trHeight w:val="215"/>
        </w:trPr>
        <w:tc>
          <w:tcPr>
            <w:tcW w:w="9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40" w:type="dxa"/>
            <w:vAlign w:val="bottom"/>
          </w:tcPr>
          <w:p>
            <w:pPr>
              <w:spacing w:after="0" w:line="216" w:lineRule="exact"/>
              <w:rPr>
                <w:sz w:val="20"/>
                <w:szCs w:val="20"/>
                <w:color w:val="auto"/>
              </w:rPr>
            </w:pPr>
            <w:r>
              <w:rPr>
                <w:rFonts w:ascii="Arial" w:cs="Arial" w:eastAsia="Arial" w:hAnsi="Arial"/>
                <w:sz w:val="22"/>
                <w:szCs w:val="22"/>
                <w:color w:val="auto"/>
              </w:rPr>
              <w:t>Thomas R. Reeg</w:t>
            </w:r>
          </w:p>
        </w:tc>
      </w:tr>
      <w:tr>
        <w:trPr>
          <w:trHeight w:val="275"/>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4740" w:type="dxa"/>
            <w:vAlign w:val="bottom"/>
          </w:tcPr>
          <w:p>
            <w:pPr>
              <w:spacing w:after="0"/>
              <w:rPr>
                <w:sz w:val="20"/>
                <w:szCs w:val="20"/>
                <w:color w:val="auto"/>
              </w:rPr>
            </w:pPr>
            <w:r>
              <w:rPr>
                <w:rFonts w:ascii="Arial" w:cs="Arial" w:eastAsia="Arial" w:hAnsi="Arial"/>
                <w:sz w:val="22"/>
                <w:szCs w:val="22"/>
                <w:color w:val="auto"/>
              </w:rPr>
              <w:t>President and Chief Financial Officer</w:t>
            </w:r>
          </w:p>
        </w:tc>
      </w:tr>
    </w:tbl>
    <w:p>
      <w:pPr>
        <w:spacing w:after="0" w:line="19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Eldorado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766" w:right="239" w:bottom="1440" w:gutter="0" w:footer="0" w:header="0"/>
        </w:sectPr>
      </w:pPr>
    </w:p>
    <w:bookmarkStart w:id="94" w:name="page95"/>
    <w:bookmarkEnd w:id="94"/>
    <w:p>
      <w:pPr>
        <w:ind w:left="4520" w:right="360"/>
        <w:spacing w:after="0" w:line="251" w:lineRule="auto"/>
        <w:rPr>
          <w:sz w:val="20"/>
          <w:szCs w:val="20"/>
          <w:color w:val="auto"/>
        </w:rPr>
      </w:pPr>
      <w:r>
        <w:rPr>
          <w:rFonts w:ascii="Arial" w:cs="Arial" w:eastAsia="Arial" w:hAnsi="Arial"/>
          <w:sz w:val="22"/>
          <w:szCs w:val="22"/>
          <w:color w:val="auto"/>
        </w:rPr>
        <w:t>JPMORGAN CHASE BANK, N.A., as Administrative Agent and Collateral Agent</w:t>
      </w:r>
    </w:p>
    <w:p>
      <w:pPr>
        <w:spacing w:after="0" w:line="389"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Mohammad Hasan</w:t>
            </w:r>
          </w:p>
        </w:tc>
      </w:tr>
      <w:tr>
        <w:trPr>
          <w:trHeight w:val="215"/>
        </w:trPr>
        <w:tc>
          <w:tcPr>
            <w:tcW w:w="9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40" w:type="dxa"/>
            <w:vAlign w:val="bottom"/>
          </w:tcPr>
          <w:p>
            <w:pPr>
              <w:spacing w:after="0" w:line="216" w:lineRule="exact"/>
              <w:rPr>
                <w:sz w:val="20"/>
                <w:szCs w:val="20"/>
                <w:color w:val="auto"/>
              </w:rPr>
            </w:pPr>
            <w:r>
              <w:rPr>
                <w:rFonts w:ascii="Arial" w:cs="Arial" w:eastAsia="Arial" w:hAnsi="Arial"/>
                <w:sz w:val="22"/>
                <w:szCs w:val="22"/>
                <w:color w:val="auto"/>
              </w:rPr>
              <w:t>Mohammad Hasan</w:t>
            </w:r>
          </w:p>
        </w:tc>
      </w:tr>
      <w:tr>
        <w:trPr>
          <w:trHeight w:val="275"/>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4740" w:type="dxa"/>
            <w:vAlign w:val="bottom"/>
          </w:tcPr>
          <w:p>
            <w:pPr>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Eldorado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766"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9"/>
          <w:szCs w:val="19"/>
          <w:color w:val="auto"/>
        </w:rPr>
        <w:t>Executed Lender Signature Pages on File with Administrative Agent</w:t>
      </w:r>
    </w:p>
    <w:p>
      <w:pPr>
        <w:sectPr>
          <w:pgSz w:w="11900" w:h="16838" w:orient="portrait"/>
          <w:cols w:equalWidth="0" w:num="1">
            <w:col w:w="9019"/>
          </w:cols>
          <w:pgMar w:left="1440" w:top="5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Eldorado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type w:val="continuous"/>
        </w:sectPr>
      </w:pPr>
    </w:p>
    <w:bookmarkStart w:id="96" w:name="page97"/>
    <w:bookmarkEnd w:id="96"/>
    <w:p>
      <w:pPr>
        <w:ind w:left="4100"/>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359410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CONSENT TO AMENDMENT NO. 2 TO THE CREDIT AGREEMENT</w:t>
      </w:r>
    </w:p>
    <w:p>
      <w:pPr>
        <w:spacing w:after="0" w:line="212"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CONSENT (this “</w:t>
      </w:r>
      <w:r>
        <w:rPr>
          <w:rFonts w:ascii="Arial" w:cs="Arial" w:eastAsia="Arial" w:hAnsi="Arial"/>
          <w:sz w:val="21"/>
          <w:szCs w:val="21"/>
          <w:u w:val="single" w:color="auto"/>
          <w:color w:val="auto"/>
        </w:rPr>
        <w:t>Consent</w:t>
      </w:r>
      <w:r>
        <w:rPr>
          <w:rFonts w:ascii="Arial" w:cs="Arial" w:eastAsia="Arial" w:hAnsi="Arial"/>
          <w:sz w:val="21"/>
          <w:szCs w:val="21"/>
          <w:color w:val="auto"/>
        </w:rPr>
        <w:t>”) to Amendment No. 2 (the “</w:t>
      </w:r>
      <w:r>
        <w:rPr>
          <w:rFonts w:ascii="Arial" w:cs="Arial" w:eastAsia="Arial" w:hAnsi="Arial"/>
          <w:sz w:val="21"/>
          <w:szCs w:val="21"/>
          <w:u w:val="single" w:color="auto"/>
          <w:color w:val="auto"/>
        </w:rPr>
        <w:t>Amendment</w:t>
      </w:r>
      <w:r>
        <w:rPr>
          <w:rFonts w:ascii="Arial" w:cs="Arial" w:eastAsia="Arial" w:hAnsi="Arial"/>
          <w:sz w:val="21"/>
          <w:szCs w:val="21"/>
          <w:color w:val="auto"/>
        </w:rPr>
        <w:t>”) to that certain Credit Agreement, dated as of May 1, 2017, by and among Eldorado Resorts, Inc., the several banks and other financial institutions or entities from time to time parties to the Credit Agreement, and JPMorgan Chase Bank, N.A.</w:t>
      </w:r>
      <w:r>
        <w:rPr>
          <w:rFonts w:ascii="Arial" w:cs="Arial" w:eastAsia="Arial" w:hAnsi="Arial"/>
          <w:sz w:val="21"/>
          <w:szCs w:val="21"/>
          <w:b w:val="1"/>
          <w:bCs w:val="1"/>
          <w:color w:val="auto"/>
        </w:rPr>
        <w:t>,</w:t>
      </w:r>
      <w:r>
        <w:rPr>
          <w:rFonts w:ascii="Arial" w:cs="Arial" w:eastAsia="Arial" w:hAnsi="Arial"/>
          <w:sz w:val="21"/>
          <w:szCs w:val="21"/>
          <w:color w:val="auto"/>
        </w:rPr>
        <w:t xml:space="preserve"> as Administrative Agent (as amended by the Amendment Agreement dated as of August 15, 2017, and as further amended,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Capitalized terms used and not otherwise defined herein shall have the meanings assigned to such terms in the Credit Agreement or the Amendment, as applicable.</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IN WITNESS WHEREOF, the undersigned has caused this Consent to be executed and delivered by a duly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authorized officer.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Amendment No. 2 Consenting Lenders (check one or both boxes as appropriate)</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left="1760" w:hanging="766"/>
        <w:spacing w:after="0" w:line="258" w:lineRule="auto"/>
        <w:tabs>
          <w:tab w:leader="none" w:pos="1760" w:val="left"/>
        </w:tabs>
        <w:numPr>
          <w:ilvl w:val="0"/>
          <w:numId w:val="69"/>
        </w:numPr>
        <w:rPr>
          <w:rFonts w:ascii="MS PGothic" w:cs="MS PGothic" w:eastAsia="MS PGothic" w:hAnsi="MS PGothic"/>
          <w:sz w:val="21"/>
          <w:szCs w:val="21"/>
          <w:color w:val="auto"/>
          <w:highlight w:val="black"/>
        </w:rPr>
      </w:pPr>
      <w:r>
        <w:rPr>
          <w:rFonts w:ascii="Arial" w:cs="Arial" w:eastAsia="Arial" w:hAnsi="Arial"/>
          <w:sz w:val="21"/>
          <w:szCs w:val="21"/>
          <w:color w:val="auto"/>
        </w:rPr>
        <w:t>The undersigned Revolving Credit Lender (in its capacity as a Revolving Credit Lender, assignor of Revolving Credit Commitments and/or assignee of Revolving Credit Commitments) hereby irrevocably and unconditionally approves and consents to each of the amendments set forth in the Amendment.</w:t>
      </w:r>
    </w:p>
    <w:p>
      <w:pPr>
        <w:spacing w:after="0" w:line="58" w:lineRule="exact"/>
        <w:rPr>
          <w:rFonts w:ascii="MS PGothic" w:cs="MS PGothic" w:eastAsia="MS PGothic" w:hAnsi="MS PGothic"/>
          <w:sz w:val="21"/>
          <w:szCs w:val="21"/>
          <w:color w:val="auto"/>
          <w:highlight w:val="black"/>
        </w:rPr>
      </w:pPr>
    </w:p>
    <w:p>
      <w:pPr>
        <w:ind w:left="1760" w:hanging="766"/>
        <w:spacing w:after="0" w:line="251" w:lineRule="auto"/>
        <w:tabs>
          <w:tab w:leader="none" w:pos="1760" w:val="left"/>
        </w:tabs>
        <w:numPr>
          <w:ilvl w:val="0"/>
          <w:numId w:val="69"/>
        </w:numPr>
        <w:rPr>
          <w:rFonts w:ascii="MS PGothic" w:cs="MS PGothic" w:eastAsia="MS PGothic" w:hAnsi="MS PGothic"/>
          <w:sz w:val="22"/>
          <w:szCs w:val="22"/>
          <w:color w:val="auto"/>
          <w:highlight w:val="black"/>
        </w:rPr>
      </w:pPr>
      <w:r>
        <w:rPr>
          <w:rFonts w:ascii="Arial" w:cs="Arial" w:eastAsia="Arial" w:hAnsi="Arial"/>
          <w:sz w:val="22"/>
          <w:szCs w:val="22"/>
          <w:color w:val="auto"/>
        </w:rPr>
        <w:t>The undersigned Term Loan Lender hereby irrevocably and unconditionally approves and consents to each of the amendments set forth in the Amendment.</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7620</wp:posOffset>
            </wp:positionV>
            <wp:extent cx="30099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2"/>
          <w:szCs w:val="22"/>
          <w:color w:val="auto"/>
        </w:rPr>
        <w:t>Name:</w:t>
      </w:r>
    </w:p>
    <w:p>
      <w:pPr>
        <w:jc w:val="center"/>
        <w:ind w:left="48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[If a second signature is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1912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Eldorado Amendment No. 2]</w:t>
      </w:r>
    </w:p>
    <w:p>
      <w:pPr>
        <w:sectPr>
          <w:pgSz w:w="11900" w:h="16838" w:orient="portrait"/>
          <w:cols w:equalWidth="0" w:num="1">
            <w:col w:w="11420"/>
          </w:cols>
          <w:pgMar w:left="240" w:top="54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1" w:lineRule="exact"/>
        <w:rPr>
          <w:sz w:val="20"/>
          <w:szCs w:val="20"/>
          <w:color w:val="auto"/>
        </w:rPr>
      </w:pPr>
    </w:p>
    <w:p>
      <w:pPr>
        <w:ind w:right="300" w:firstLine="518"/>
        <w:spacing w:after="0" w:line="223"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040" w:right="580" w:hanging="519"/>
        <w:spacing w:after="0" w:line="224" w:lineRule="exact"/>
        <w:tabs>
          <w:tab w:leader="none" w:pos="10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June 30, 2018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Thomas R. Reeg, President and Chief Financial Officer of Eldorado Resorts, Inc. (the “Company”), do hereby certify in accordance with 18 U.S.C.</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03" w:lineRule="exact"/>
        <w:rPr>
          <w:sz w:val="20"/>
          <w:szCs w:val="20"/>
          <w:color w:val="auto"/>
        </w:rPr>
      </w:pPr>
    </w:p>
    <w:p>
      <w:pPr>
        <w:ind w:left="1040" w:right="580" w:hanging="519"/>
        <w:spacing w:after="0" w:line="224" w:lineRule="exact"/>
        <w:tabs>
          <w:tab w:leader="none" w:pos="10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June 30, 2018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lowerRoman"/>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endash "/>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4"/>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2"/>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3"/>
    </w:lvl>
  </w:abstractNum>
  <w:abstractNum w:abstractNumId="27">
    <w:nsid w:val="3DC240FB"/>
    <w:multiLevelType w:val="hybridMultilevel"/>
    <w:lvl w:ilvl="0">
      <w:lvlJc w:val="left"/>
      <w:lvlText w:val="%1."/>
      <w:numFmt w:val="decimal"/>
      <w:start w:val="2"/>
    </w:lvl>
  </w:abstractNum>
  <w:abstractNum w:abstractNumId="28">
    <w:nsid w:val="1BA026FA"/>
    <w:multiLevelType w:val="hybridMultilevel"/>
    <w:lvl w:ilvl="0">
      <w:lvlJc w:val="left"/>
      <w:lvlText w:val="%1."/>
      <w:numFmt w:val="decimal"/>
      <w:start w:val="4"/>
    </w:lvl>
  </w:abstractNum>
  <w:abstractNum w:abstractNumId="29">
    <w:nsid w:val="79A1DEAA"/>
    <w:multiLevelType w:val="hybridMultilevel"/>
    <w:lvl w:ilvl="0">
      <w:lvlJc w:val="left"/>
      <w:lvlText w:val="%1."/>
      <w:numFmt w:val="decimal"/>
      <w:start w:val="6"/>
    </w:lvl>
  </w:abstractNum>
  <w:abstractNum w:abstractNumId="30">
    <w:nsid w:val="75C6C33A"/>
    <w:multiLevelType w:val="hybridMultilevel"/>
    <w:lvl w:ilvl="0">
      <w:lvlJc w:val="left"/>
      <w:lvlText w:val="%1."/>
      <w:numFmt w:val="decimal"/>
      <w:start w:val="2"/>
    </w:lvl>
  </w:abstractNum>
  <w:abstractNum w:abstractNumId="31">
    <w:nsid w:val="12E685FB"/>
    <w:multiLevelType w:val="hybridMultilevel"/>
    <w:lvl w:ilvl="0">
      <w:lvlJc w:val="left"/>
      <w:lvlText w:val="%1."/>
      <w:numFmt w:val="decimal"/>
      <w:start w:val="5"/>
    </w:lvl>
  </w:abstractNum>
  <w:abstractNum w:abstractNumId="32">
    <w:nsid w:val="70C6A529"/>
    <w:multiLevelType w:val="hybridMultilevel"/>
    <w:lvl w:ilvl="0">
      <w:lvlJc w:val="left"/>
      <w:lvlText w:val="%1."/>
      <w:numFmt w:val="decimal"/>
      <w:start w:val="6"/>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1)"/>
      <w:numFmt w:val="lowerLetter"/>
      <w:start w:val="2"/>
    </w:lvl>
  </w:abstractNum>
  <w:abstractNum w:abstractNumId="35">
    <w:nsid w:val="4F4EF005"/>
    <w:multiLevelType w:val="hybridMultilevel"/>
    <w:lvl w:ilvl="0">
      <w:lvlJc w:val="left"/>
      <w:lvlText w:val="(%1)"/>
      <w:numFmt w:val="lowerLetter"/>
      <w:start w:val="3"/>
    </w:lvl>
  </w:abstractNum>
  <w:abstractNum w:abstractNumId="36">
    <w:nsid w:val="23F9C13C"/>
    <w:multiLevelType w:val="hybridMultilevel"/>
    <w:lvl w:ilvl="0">
      <w:lvlJc w:val="left"/>
      <w:lvlText w:val="(%1)"/>
      <w:numFmt w:val="lowerLetter"/>
      <w:start w:val="4"/>
    </w:lvl>
  </w:abstractNum>
  <w:abstractNum w:abstractNumId="37">
    <w:nsid w:val="649BB77C"/>
    <w:multiLevelType w:val="hybridMultilevel"/>
    <w:lvl w:ilvl="0">
      <w:lvlJc w:val="left"/>
      <w:lvlText w:val="(%1)"/>
      <w:numFmt w:val="lowerLetter"/>
      <w:start w:val="5"/>
    </w:lvl>
  </w:abstractNum>
  <w:abstractNum w:abstractNumId="38">
    <w:nsid w:val="275AC794"/>
    <w:multiLevelType w:val="hybridMultilevel"/>
    <w:lvl w:ilvl="0">
      <w:lvlJc w:val="left"/>
      <w:lvlText w:val="(%1)"/>
      <w:numFmt w:val="lowerLetter"/>
      <w:start w:val="6"/>
    </w:lvl>
  </w:abstractNum>
  <w:abstractNum w:abstractNumId="39">
    <w:nsid w:val="39386575"/>
    <w:multiLevelType w:val="hybridMultilevel"/>
    <w:lvl w:ilvl="0">
      <w:lvlJc w:val="left"/>
      <w:lvlText w:val="(%1)"/>
      <w:numFmt w:val="lowerLetter"/>
      <w:start w:val="7"/>
    </w:lvl>
  </w:abstractNum>
  <w:abstractNum w:abstractNumId="40">
    <w:nsid w:val="1CF10FD8"/>
    <w:multiLevelType w:val="hybridMultilevel"/>
    <w:lvl w:ilvl="0">
      <w:lvlJc w:val="left"/>
      <w:lvlText w:val="(%1)"/>
      <w:numFmt w:val="lowerLetter"/>
      <w:start w:val="8"/>
    </w:lvl>
  </w:abstractNum>
  <w:abstractNum w:abstractNumId="41">
    <w:nsid w:val="180115BE"/>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42">
    <w:nsid w:val="235BA86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43">
    <w:nsid w:val="47398C89"/>
    <w:multiLevelType w:val="hybridMultilevel"/>
    <w:lvl w:ilvl="0">
      <w:lvlJc w:val="left"/>
      <w:lvlText w:val="(%1)"/>
      <w:numFmt w:val="lowerRoman"/>
      <w:start w:val="2"/>
    </w:lvl>
  </w:abstractNum>
  <w:abstractNum w:abstractNumId="44">
    <w:nsid w:val="354FE9F9"/>
    <w:multiLevelType w:val="hybridMultilevel"/>
    <w:lvl w:ilvl="0">
      <w:lvlJc w:val="left"/>
      <w:lvlText w:val="(%1)"/>
      <w:numFmt w:val="lowerLetter"/>
      <w:start w:val="11"/>
    </w:lvl>
  </w:abstractNum>
  <w:abstractNum w:abstractNumId="45">
    <w:nsid w:val="15B5AF5C"/>
    <w:multiLevelType w:val="hybridMultilevel"/>
    <w:lvl w:ilvl="0">
      <w:lvlJc w:val="left"/>
      <w:lvlText w:val="(%1)"/>
      <w:numFmt w:val="lowerLetter"/>
      <w:start w:val="12"/>
    </w:lvl>
  </w:abstractNum>
  <w:abstractNum w:abstractNumId="46">
    <w:nsid w:val="741226BB"/>
    <w:multiLevelType w:val="hybridMultilevel"/>
    <w:lvl w:ilvl="0">
      <w:lvlJc w:val="left"/>
      <w:lvlText w:val="(%1)"/>
      <w:numFmt w:val="lowerLetter"/>
      <w:start w:val="13"/>
    </w:lvl>
  </w:abstractNum>
  <w:abstractNum w:abstractNumId="47">
    <w:nsid w:val="D34B6A8"/>
    <w:multiLevelType w:val="hybridMultilevel"/>
    <w:lvl w:ilvl="0">
      <w:lvlJc w:val="left"/>
      <w:lvlText w:val="(%1)"/>
      <w:numFmt w:val="lowerLetter"/>
      <w:start w:val="14"/>
    </w:lvl>
  </w:abstractNum>
  <w:abstractNum w:abstractNumId="48">
    <w:nsid w:val="10233C99"/>
    <w:multiLevelType w:val="hybridMultilevel"/>
    <w:lvl w:ilvl="0">
      <w:lvlJc w:val="left"/>
      <w:lvlText w:val="(%1)"/>
      <w:numFmt w:val="lowerLetter"/>
      <w:start w:val="15"/>
    </w:lvl>
  </w:abstractNum>
  <w:abstractNum w:abstractNumId="49">
    <w:nsid w:val="3F6AB60F"/>
    <w:multiLevelType w:val="hybridMultilevel"/>
    <w:lvl w:ilvl="0">
      <w:lvlJc w:val="left"/>
      <w:lvlText w:val="(%1)"/>
      <w:numFmt w:val="lowerLetter"/>
      <w:start w:val="16"/>
    </w:lvl>
    <w:lvl w:ilvl="1">
      <w:lvlJc w:val="left"/>
      <w:lvlText w:val="(%2)"/>
      <w:numFmt w:val="lowerLetter"/>
      <w:start w:val="9"/>
    </w:lvl>
  </w:abstractNum>
  <w:abstractNum w:abstractNumId="50">
    <w:nsid w:val="61574095"/>
    <w:multiLevelType w:val="hybridMultilevel"/>
    <w:lvl w:ilvl="0">
      <w:lvlJc w:val="left"/>
      <w:lvlText w:val="(%1)"/>
      <w:numFmt w:val="lowerRoman"/>
      <w:start w:val="2"/>
    </w:lvl>
  </w:abstractNum>
  <w:abstractNum w:abstractNumId="51">
    <w:nsid w:val="7E0C57B1"/>
    <w:multiLevelType w:val="hybridMultilevel"/>
    <w:lvl w:ilvl="0">
      <w:lvlJc w:val="left"/>
      <w:lvlText w:val="(%1)"/>
      <w:numFmt w:val="lowerRoman"/>
      <w:start w:val="5"/>
    </w:lvl>
  </w:abstractNum>
  <w:abstractNum w:abstractNumId="52">
    <w:nsid w:val="77AE35EB"/>
    <w:multiLevelType w:val="hybridMultilevel"/>
    <w:lvl w:ilvl="0">
      <w:lvlJc w:val="left"/>
      <w:lvlText w:val="(%1)"/>
      <w:numFmt w:val="lowerLetter"/>
      <w:start w:val="17"/>
    </w:lvl>
  </w:abstractNum>
  <w:abstractNum w:abstractNumId="53">
    <w:nsid w:val="579BE4F1"/>
    <w:multiLevelType w:val="hybridMultilevel"/>
    <w:lvl w:ilvl="0">
      <w:lvlJc w:val="left"/>
      <w:lvlText w:val="%1"/>
      <w:numFmt w:val="lowerLetter"/>
      <w:start w:val="1"/>
    </w:lvl>
    <w:lvl w:ilvl="1">
      <w:lvlJc w:val="left"/>
      <w:lvlText w:val="(%2)"/>
      <w:numFmt w:val="lowerLetter"/>
      <w:start w:val="1"/>
    </w:lvl>
  </w:abstractNum>
  <w:abstractNum w:abstractNumId="54">
    <w:nsid w:val="310C50B3"/>
    <w:multiLevelType w:val="hybridMultilevel"/>
    <w:lvl w:ilvl="0">
      <w:lvlJc w:val="left"/>
      <w:lvlText w:val="(%1)"/>
      <w:numFmt w:val="lowerLetter"/>
      <w:start w:val="19"/>
    </w:lvl>
    <w:lvl w:ilvl="1">
      <w:lvlJc w:val="left"/>
      <w:lvlText w:val="%2"/>
      <w:numFmt w:val="lowerLetter"/>
      <w:start w:val="1"/>
    </w:lvl>
  </w:abstractNum>
  <w:abstractNum w:abstractNumId="55">
    <w:nsid w:val="5FF87E05"/>
    <w:multiLevelType w:val="hybridMultilevel"/>
    <w:lvl w:ilvl="0">
      <w:lvlJc w:val="left"/>
      <w:lvlText w:val="(%1)"/>
      <w:numFmt w:val="lowerLetter"/>
      <w:start w:val="21"/>
    </w:lvl>
  </w:abstractNum>
  <w:abstractNum w:abstractNumId="56">
    <w:nsid w:val="2F305DEF"/>
    <w:multiLevelType w:val="hybridMultilevel"/>
    <w:lvl w:ilvl="0">
      <w:lvlJc w:val="left"/>
      <w:lvlText w:val="(%1)"/>
      <w:numFmt w:val="lowerRoman"/>
      <w:start w:val="5"/>
    </w:lvl>
  </w:abstractNum>
  <w:abstractNum w:abstractNumId="57">
    <w:nsid w:val="25A70BF7"/>
    <w:multiLevelType w:val="hybridMultilevel"/>
    <w:lvl w:ilvl="0">
      <w:lvlJc w:val="left"/>
      <w:lvlText w:val="%1"/>
      <w:numFmt w:val="lowerLetter"/>
      <w:start w:val="1"/>
    </w:lvl>
    <w:lvl w:ilvl="1">
      <w:lvlJc w:val="left"/>
      <w:lvlText w:val="(%2)"/>
      <w:numFmt w:val="lowerLetter"/>
      <w:start w:val="35"/>
    </w:lvl>
  </w:abstractNum>
  <w:abstractNum w:abstractNumId="58">
    <w:nsid w:val="1DBABF00"/>
    <w:multiLevelType w:val="hybridMultilevel"/>
    <w:lvl w:ilvl="0">
      <w:lvlJc w:val="left"/>
      <w:lvlText w:val="(%1)"/>
      <w:numFmt w:val="lowerLetter"/>
      <w:start w:val="23"/>
    </w:lvl>
    <w:lvl w:ilvl="1">
      <w:lvlJc w:val="left"/>
      <w:lvlText w:val="%2"/>
      <w:numFmt w:val="lowerLetter"/>
      <w:start w:val="1"/>
    </w:lvl>
  </w:abstractNum>
  <w:abstractNum w:abstractNumId="59">
    <w:nsid w:val="4AD084E9"/>
    <w:multiLevelType w:val="hybridMultilevel"/>
    <w:lvl w:ilvl="0">
      <w:lvlJc w:val="left"/>
      <w:lvlText w:val="(%1)"/>
      <w:numFmt w:val="lowerRoman"/>
      <w:start w:val="10"/>
    </w:lvl>
  </w:abstractNum>
  <w:abstractNum w:abstractNumId="60">
    <w:nsid w:val="1F48EAA1"/>
    <w:multiLevelType w:val="hybridMultilevel"/>
    <w:lvl w:ilvl="0">
      <w:lvlJc w:val="left"/>
      <w:lvlText w:val="(%1)"/>
      <w:numFmt w:val="lowerLetter"/>
      <w:start w:val="25"/>
    </w:lvl>
  </w:abstractNum>
  <w:abstractNum w:abstractNumId="61">
    <w:nsid w:val="1381823A"/>
    <w:multiLevelType w:val="hybridMultilevel"/>
    <w:lvl w:ilvl="0">
      <w:lvlJc w:val="left"/>
      <w:lvlText w:val="(%1)"/>
      <w:numFmt w:val="decimal"/>
      <w:start w:val="20"/>
    </w:lvl>
  </w:abstractNum>
  <w:abstractNum w:abstractNumId="62">
    <w:nsid w:val="5DB70AE5"/>
    <w:multiLevelType w:val="hybridMultilevel"/>
    <w:lvl w:ilvl="0">
      <w:lvlJc w:val="left"/>
      <w:lvlText w:val="(%1)"/>
      <w:numFmt w:val="lowerLetter"/>
      <w:start w:val="26"/>
    </w:lvl>
  </w:abstractNum>
  <w:abstractNum w:abstractNumId="63">
    <w:nsid w:val="100F8FCA"/>
    <w:multiLevelType w:val="hybridMultilevel"/>
    <w:lvl w:ilvl="0">
      <w:lvlJc w:val="left"/>
      <w:lvlText w:val="(%1)"/>
      <w:numFmt w:val="lowerLetter"/>
      <w:start w:val="27"/>
    </w:lvl>
  </w:abstractNum>
  <w:abstractNum w:abstractNumId="64">
    <w:nsid w:val="6590700B"/>
    <w:multiLevelType w:val="hybridMultilevel"/>
    <w:lvl w:ilvl="0">
      <w:lvlJc w:val="left"/>
      <w:lvlText w:val="(%1)"/>
      <w:numFmt w:val="lowerLetter"/>
      <w:start w:val="28"/>
    </w:lvl>
  </w:abstractNum>
  <w:abstractNum w:abstractNumId="65">
    <w:nsid w:val="15014ACB"/>
    <w:multiLevelType w:val="hybridMultilevel"/>
    <w:lvl w:ilvl="0">
      <w:lvlJc w:val="left"/>
      <w:lvlText w:val="(%1)"/>
      <w:numFmt w:val="lowerLetter"/>
      <w:start w:val="29"/>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jpe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81" Type="http://schemas.openxmlformats.org/officeDocument/2006/relationships/hyperlink" Target="http://www.sec.gov/Archives/edgar/data/1590895/000119312518117700/d565201dex21.htm" TargetMode="External"/><Relationship Id="rId82" Type="http://schemas.openxmlformats.org/officeDocument/2006/relationships/hyperlink" Target="http://www.sec.gov/Archives/edgar/data/1590895/000119312518117704/d56520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2020-01-13T05:51:59Z</dcterms:created>
  <dcterms:modified xsi:type="dcterms:W3CDTF">2020-01-13T05:51:59Z</dcterms:modified>
</cp:coreProperties>
</file>