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67"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April 30, 2021 was 208,698,623.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740" w:type="dxa"/>
            <w:vAlign w:val="bottom"/>
            <w:tcBorders>
              <w:bottom w:val="single" w:sz="8" w:color="CCEEFF"/>
            </w:tcBorders>
            <w:gridSpan w:val="11"/>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8920" w:type="dxa"/>
            <w:vAlign w:val="bottom"/>
            <w:gridSpan w:val="19"/>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Unaudited Financial Statements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8"/>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Balance Sheets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8"/>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Consolidated Condensed Statements of Comprehensive Loss</w:t>
              </w:r>
            </w:hyperlink>
          </w:p>
        </w:tc>
        <w:tc>
          <w:tcPr>
            <w:tcW w:w="43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8"/>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Stockholders’ Equity</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8"/>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Condensed Statements of Cash Flows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Consolidated Condensed Financial Statements</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2"/>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6460" w:type="dxa"/>
            <w:vAlign w:val="bottom"/>
            <w:tcBorders>
              <w:bottom w:val="single" w:sz="8" w:color="0000FF"/>
            </w:tcBorders>
            <w:gridSpan w:val="18"/>
            <w:shd w:val="clear" w:color="auto" w:fill="CCEEFF"/>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Management’s Discussion and Analysis of Financial Condition and Results of Operations</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3.</w:t>
              </w:r>
            </w:hyperlink>
          </w:p>
        </w:tc>
        <w:tc>
          <w:tcPr>
            <w:tcW w:w="8920" w:type="dxa"/>
            <w:vAlign w:val="bottom"/>
            <w:gridSpan w:val="1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1400" w:type="dxa"/>
            <w:vAlign w:val="bottom"/>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4.</w:t>
              </w:r>
            </w:hyperlink>
          </w:p>
        </w:tc>
        <w:tc>
          <w:tcPr>
            <w:tcW w:w="8920" w:type="dxa"/>
            <w:vAlign w:val="bottom"/>
            <w:gridSpan w:val="19"/>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8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PART II. OTHER INFORMATION</w:t>
              </w:r>
            </w:hyperlink>
          </w:p>
        </w:tc>
        <w:tc>
          <w:tcPr>
            <w:tcW w:w="70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Item 1.</w:t>
              </w:r>
            </w:hyperlink>
          </w:p>
        </w:tc>
        <w:tc>
          <w:tcPr>
            <w:tcW w:w="8920" w:type="dxa"/>
            <w:vAlign w:val="bottom"/>
            <w:gridSpan w:val="19"/>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1A.</w:t>
              </w:r>
            </w:hyperlink>
          </w:p>
        </w:tc>
        <w:tc>
          <w:tcPr>
            <w:tcW w:w="8920" w:type="dxa"/>
            <w:vAlign w:val="bottom"/>
            <w:gridSpan w:val="19"/>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8920" w:type="dxa"/>
            <w:vAlign w:val="bottom"/>
            <w:gridSpan w:val="19"/>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8920" w:type="dxa"/>
            <w:vAlign w:val="bottom"/>
            <w:gridSpan w:val="19"/>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4.</w:t>
              </w:r>
            </w:hyperlink>
          </w:p>
        </w:tc>
        <w:tc>
          <w:tcPr>
            <w:tcW w:w="2320" w:type="dxa"/>
            <w:vAlign w:val="bottom"/>
            <w:tcBorders>
              <w:top w:val="single" w:sz="8" w:color="0000FF"/>
            </w:tcBorders>
            <w:gridSpan w:val="10"/>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Mine Safety Disclosures</w:t>
              </w:r>
            </w:hyperlink>
          </w:p>
        </w:tc>
        <w:tc>
          <w:tcPr>
            <w:tcW w:w="6600" w:type="dxa"/>
            <w:vAlign w:val="bottom"/>
            <w:tcBorders>
              <w:top w:val="single" w:sz="8" w:color="CCEEFF"/>
            </w:tcBorders>
            <w:gridSpan w:val="9"/>
          </w:tcPr>
          <w:p>
            <w:pPr>
              <w:spacing w:after="0"/>
              <w:rPr>
                <w:sz w:val="17"/>
                <w:szCs w:val="17"/>
                <w:color w:val="auto"/>
              </w:rPr>
            </w:pPr>
          </w:p>
        </w:tc>
        <w:tc>
          <w:tcPr>
            <w:tcW w:w="1400" w:type="dxa"/>
            <w:vAlign w:val="bottom"/>
            <w:tcBorders>
              <w:top w:val="single" w:sz="8" w:color="CCEEFF"/>
            </w:tcBorders>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5.</w:t>
              </w:r>
            </w:hyperlink>
          </w:p>
        </w:tc>
        <w:tc>
          <w:tcPr>
            <w:tcW w:w="13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55">
              <w:r>
                <w:rPr>
                  <w:rFonts w:ascii="Arial" w:cs="Arial" w:eastAsia="Arial" w:hAnsi="Arial"/>
                  <w:sz w:val="18"/>
                  <w:szCs w:val="18"/>
                  <w:color w:val="0000FF"/>
                  <w:w w:val="92"/>
                </w:rPr>
                <w:t>Other Information</w:t>
              </w:r>
            </w:hyperlink>
          </w:p>
        </w:tc>
        <w:tc>
          <w:tcPr>
            <w:tcW w:w="7600" w:type="dxa"/>
            <w:vAlign w:val="bottom"/>
            <w:tcBorders>
              <w:bottom w:val="single" w:sz="8" w:color="CCEEFF"/>
            </w:tcBorders>
            <w:gridSpan w:val="15"/>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6.</w:t>
              </w:r>
            </w:hyperlink>
          </w:p>
        </w:tc>
        <w:tc>
          <w:tcPr>
            <w:tcW w:w="8920" w:type="dxa"/>
            <w:vAlign w:val="bottom"/>
            <w:gridSpan w:val="19"/>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1400" w:type="dxa"/>
            <w:vAlign w:val="bottom"/>
          </w:tcPr>
          <w:p>
            <w:pPr>
              <w:jc w:val="cente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b w:val="1"/>
                <w:bCs w:val="1"/>
                <w:color w:val="0000FF"/>
                <w:w w:val="94"/>
              </w:rPr>
            </w:pPr>
            <w:hyperlink w:anchor="page56">
              <w:r>
                <w:rPr>
                  <w:rFonts w:ascii="Arial" w:cs="Arial" w:eastAsia="Arial" w:hAnsi="Arial"/>
                  <w:sz w:val="18"/>
                  <w:szCs w:val="18"/>
                  <w:b w:val="1"/>
                  <w:bCs w:val="1"/>
                  <w:color w:val="0000FF"/>
                  <w:w w:val="94"/>
                </w:rPr>
                <w:t>Signatures</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 ($0 and $130 attributable to our VIEs)</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14,083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14,333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rights and other intangibles, net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9,723</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1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36,019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 ($0 and $130 attributable to our VIEs)</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2,585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12,334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14,103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14,073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31,389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r>
      <w:tr>
        <w:trPr>
          <w:trHeight w:val="24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Commitments and contingencies (Note 8)</w:t>
            </w: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5,016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36,019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loss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loss from continuing operations, net of income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loss per share - basic and diluted: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income per share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440"/>
              <w:spacing w:after="0"/>
              <w:rPr>
                <w:sz w:val="20"/>
                <w:szCs w:val="20"/>
                <w:color w:val="auto"/>
              </w:rPr>
            </w:pPr>
            <w:r>
              <w:rPr>
                <w:rFonts w:ascii="Arial" w:cs="Arial" w:eastAsia="Arial" w:hAnsi="Arial"/>
                <w:sz w:val="16"/>
                <w:szCs w:val="16"/>
                <w:color w:val="auto"/>
              </w:rPr>
              <w:t>Basic loss per share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Diluted income per share from discontinued operations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Diluted loss per share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Weighted average basic shares outstanding</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6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diluted shares outstanding</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ind w:left="320"/>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6"/>
              </w:rPr>
              <w:t>(176)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comprehensive income, net of tax</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96"/>
              </w:rPr>
              <w:t>(176)</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Comprehensive loss attributable to noncontrolling interests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Comprehensive loss attributable to Caesars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96"/>
              </w:rPr>
              <w:t>(176)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Deficit)</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Shares withheld related to net share</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ind w:left="8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Shares withheld related to net share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2021</w:t>
            </w: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6,391</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66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Net cash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Increase in cash, cash equivalents and restricted cash</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6"/>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 included in restricted cash and investments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refunded,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Land contributed to joint venture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Form 10-Q should be read in conjunction with our Annual Report on Form 10-K for the year ended December 31, 2020 (“2020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2020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geographically diversified gaming and hospitality company that was founded in 1973 by the Carano family with the opening of the Eldorado Hotel Casino in Reno, Nevada. The Company partnered with MGM Resorts International to build Silver Legacy Resort Casino in Reno, Nevada in 1993 and, beginning in 2005, grew through a series of acquisitions, including the acquisition of Eldorado Resort Casino Shreveport (“Eldorado Shreveport”) in 2005, MTR Gaming Group, Inc. in 2014, Circus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20, 2020, the Company completed the merger with Caesars Entertainment Corporation (“Former Caesars”) pursuant to which Former Caesars became a wholly-owned subsidiary of the Company (the “Merger”).</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or manages an aggregate of 54 domestic properties in 16 states with approximately 54,600 slot machines, video lottery terminals (“VLTs”) and e-tables, approximately 3,200 table games and approximately 47,700 hotel rooms as of March 31, 2021.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or manage 48 properties. See Note 15 for segment information. The Company’s primary source of revenue is generated by gaming operations, and the Company utilizes its hotels, restaurants, bars, entertainment, racing, sportsbook offerings, retail shops and other services to attract customers to its properties.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several agreements to divest of certain properties and initiated plans to divest of other assets, including non-core properties or divestitures required by regulatory agencies. See Note 2 for further discussion of the Merger and other transactions and Note 3 for a discussion of properties recently sold or currently held for sale.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properties, including Harrah’s Louisiana Downs, Caesars Southern Indiana, Horseshoe Hammond, and Caesars UK group, including Emerald Resort &amp; Casino, met held for sale criteria as of the date of the closing of the Merger. The sales of these properties are expected to close within one year and the properties are classified as discontinued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Acquisition of William Hill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of </w:t>
      </w:r>
      <w:r>
        <w:rPr>
          <w:rFonts w:ascii="Arial" w:cs="Arial" w:eastAsia="Arial" w:hAnsi="Arial"/>
          <w:sz w:val="17"/>
          <w:szCs w:val="17"/>
          <w:color w:val="212529"/>
        </w:rPr>
        <w:t>approximately £2.9 billion</w:t>
      </w:r>
      <w:r>
        <w:rPr>
          <w:rFonts w:ascii="Arial" w:cs="Arial" w:eastAsia="Arial" w:hAnsi="Arial"/>
          <w:sz w:val="17"/>
          <w:szCs w:val="17"/>
          <w:color w:val="auto"/>
        </w:rPr>
        <w:t xml:space="preserve">. In order to </w:t>
      </w:r>
      <w:r>
        <w:rPr>
          <w:rFonts w:ascii="Arial" w:cs="Arial" w:eastAsia="Arial" w:hAnsi="Arial"/>
          <w:sz w:val="17"/>
          <w:szCs w:val="17"/>
          <w:color w:val="212529"/>
        </w:rPr>
        <w:t>manage the risk of appreciation of the GBP denominated</w:t>
      </w:r>
      <w:r>
        <w:rPr>
          <w:rFonts w:ascii="Arial" w:cs="Arial" w:eastAsia="Arial" w:hAnsi="Arial"/>
          <w:sz w:val="17"/>
          <w:szCs w:val="17"/>
          <w:color w:val="auto"/>
        </w:rPr>
        <w:t xml:space="preserve"> </w:t>
      </w:r>
      <w:r>
        <w:rPr>
          <w:rFonts w:ascii="Arial" w:cs="Arial" w:eastAsia="Arial" w:hAnsi="Arial"/>
          <w:sz w:val="17"/>
          <w:szCs w:val="17"/>
          <w:color w:val="212529"/>
        </w:rPr>
        <w:t xml:space="preserve">purchase price the Company entered into foreign exchange forward contracts, which were settled as of March 31, 2021. See </w:t>
      </w:r>
      <w:r>
        <w:rPr>
          <w:rFonts w:ascii="Arial" w:cs="Arial" w:eastAsia="Arial" w:hAnsi="Arial"/>
          <w:sz w:val="17"/>
          <w:szCs w:val="17"/>
          <w:color w:val="000000"/>
        </w:rPr>
        <w:t>Note 7</w:t>
      </w:r>
      <w:r>
        <w:rPr>
          <w:rFonts w:ascii="Arial" w:cs="Arial" w:eastAsia="Arial" w:hAnsi="Arial"/>
          <w:sz w:val="17"/>
          <w:szCs w:val="17"/>
          <w:b w:val="1"/>
          <w:bCs w:val="1"/>
          <w:color w:val="000000"/>
        </w:rPr>
        <w: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2020, the Company entered into a debt financing commitment letter pursuant to which the lenders party thereto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which was amended and restated on December 11, 2020 in order to join additional lenders as parties thereto.</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Pending negotiation of the definitive loan agreement for the Debt Financing, on October 6, 2020, a newly formed subsidiary of the Company entered into a £1.5 billion Interim Facilities Agreement (the “Interim Facilities Agreement”) with Deutsche Bank</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 London Branch and JPMorgan Chase Bank, N.A. to provide: (a) a 90-day £1.0 billion interim asset sale bridge facility and (b) a 90-day £503 million interim cash confirmation bridge facility, which Interim Facilities Agreement was amended and restated on December 11, 2020 in order to join additional lenders as parties thereto.</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April 20, 2021, a UK Court sanctioned the proposed acquisition and on April 22, 2021, the Company completed the acquisition of William Hill PLC for </w:t>
      </w:r>
      <w:r>
        <w:rPr>
          <w:rFonts w:ascii="Arial" w:cs="Arial" w:eastAsia="Arial" w:hAnsi="Arial"/>
          <w:sz w:val="18"/>
          <w:szCs w:val="18"/>
          <w:color w:val="212529"/>
        </w:rPr>
        <w:t xml:space="preserve">£2.9 billion, or approximately $4.0 billion (the “William Hill Acquisition”). See </w:t>
      </w:r>
      <w:r>
        <w:rPr>
          <w:rFonts w:ascii="Arial" w:cs="Arial" w:eastAsia="Arial" w:hAnsi="Arial"/>
          <w:sz w:val="18"/>
          <w:szCs w:val="18"/>
          <w:color w:val="000000"/>
        </w:rPr>
        <w:t>Note 2</w:t>
      </w:r>
      <w:r>
        <w:rPr>
          <w:rFonts w:ascii="Arial" w:cs="Arial" w:eastAsia="Arial" w:hAnsi="Arial"/>
          <w:sz w:val="18"/>
          <w:szCs w:val="18"/>
          <w:color w:val="212529"/>
        </w:rPr>
        <w: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financing transactions described above, certain net assets of Caesars and William Hill will be assessed in determining the consideration transferred and the allocation of the purchase price.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The Bridge Credit Agreement provides for (a) a 540-day £1.0 billion asset sale bridge facility, (b) a 60-day £503 million cash confirmation bridge facility and (c) a 540-day £116 million revolving credit facility.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will be used for working capital and general corporate purposes. The Interim Facilities Agreement was terminated upon the execution of the Bridge Credit Agreement for the Debt Financing. The Bridge Credit Agreement is included within William Hill’s non-U.S. operations which is expected to be divested.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three months ended March 31, 2020 has been reclassified to Casino and pari-mutuel commissions expense and General and administrative expense based on the nature of the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condensed financial statements of the Company and its subsidiaries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consolidated condensed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 See Note 15 for a listing of properties included in each segment and the determination of our segments.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presentation of financial information herein for the period after the Company’s acquisition of Former Caesars on July 20, 2020 is not fully comparable to the periods prior to the acquisition. In addition, the presentation of financial information herein for the periods after the Company’s sales of various properties are not fully comparable to the periods prior to their respective sale dates. See Note 2 for further discussion of the Merger and related transactions and Note 3 for properties recently sold or currently held for sale.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Subsidiaries and Variable Interest Entities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condensed financial statements include the accounts of Caesars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our investments for VIE consideration if a reconsideration event occurs to determine if the investment continues to qualify as a VIE. If we determine an investment no longer qualifies as a VIE, there may be a material effect to our financial statements.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Korea Joint Venture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a joint venture to acquire, develop, own, and operate a casino resort project in Incheon, South Korea (the “Korea JV”). We determined that the Korea JV was a VIE and the Company was the primary beneficiary, and therefore, we had consolidated the Korea JV into our financial statements. As of December 31, 2020, the assets and liabilities of the Korea JV were classified as held for sale and consisted of $130 million of Property and equipment and other assets and $130 million of current and other long-term liabilities. We sold our interest in the Korea JV on January 21, 2021 and derecognized its assets and liabilities from our Balance Sheets. There was no gain or loss associated with the sale.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2020, an outbreak of a new strain of coronavirus (“COVID-19”) was identified and has since spread 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The Company has resumed certain operations at substantially all of our properties as of March 31, 2021, with the exception of Lake Charles which was severely damaged by Hurricane Laura (See Note 8), and many of our international properties. During the three months ended March 31, 2021, most of our properties have experienced positive trends as restrictions on maximum capacities and amenities available are eased.</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continued to pay its full-time employees through April 10, 2020, including tips and tokens. Effective April 11, 2020, the Company furloughed approximately 90% of its employees, implemented salary reductions and committed to continue to provide benefits to its employees through their furloughed period. A portion of the Company’s workforce has returned to service as the properties have resumed operations with limited capacities and in compliance with operating restrictions imposed by governmental or tribal orders, directives, and guidelines. Due to a triggering event resulting from the COVID-19 public health emergency, the Company recognized impairment charges of $116 million related to goodwill and trade names during the three months ended March 31, 2020.</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public health emergency has had, and continues to have, a material adverse effect on the Company’s business, financial condition and results of operations for the three months ended March 31, 2021 and 2020. As a result, the terms of our debt arrangements provide that the financial covenant measurement period is not effective through September 30, 2021, so long as we comply with a minimum liquidity requirement. See Note 9. In addition, on March 19, 2021, the Company filed a lawsuit against its insurance carriers for losses attributed to COVID-19 public health emergency. See Note 8.</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the Company is experiencing positive operating trends thus far in 2021, the extent of the ongoing and future effects of the COVID-19 public health emergency on the Company’s business and the casino resort industry generally is uncertain. The extent and duration of the negative impact of COVID-19 public health emergency will ultimately depend on future developments, including but not limited to, the duration and severity of the outbreak, restrictions on operations imposed by governmental authorities, the potential for authorities reimposing stay at home orders or additional restrictions in response to continued developments with the COVID-19 public health emergency, the Company’s ability to adapt to evolving operating procedures, the impact on consumer demand and discretionary spending, the length of time it takes for demand to return, the efficacy and availability of vaccines, and the Company’s ability to adjust its cost structures for the duration of the outbreak’s effect on its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 (“ASC”).</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2021, we adopted the following Accounting Standards Updates (“ASU”) which did not have a material effect on our financial statements:</w:t>
      </w:r>
    </w:p>
    <w:p>
      <w:pPr>
        <w:spacing w:after="0" w:line="116" w:lineRule="exact"/>
        <w:rPr>
          <w:sz w:val="20"/>
          <w:szCs w:val="20"/>
          <w:color w:val="auto"/>
        </w:rPr>
      </w:pPr>
    </w:p>
    <w:p>
      <w:pPr>
        <w:ind w:right="4320" w:firstLine="332"/>
        <w:spacing w:after="0" w:line="438"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2018-14, Compensation – Retirement Benefits – Defined Benefit Plans – General The following ASUs were not implemented as of March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Disclosed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the FASB issued ASU 2020-04,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w:t>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provide optional expedients and exceptions for applying GAAP to contracts, hedging relationships, and other transactions if certain criteria are met. The amendments in this update are effective as of March 12, 2020 and companies may elect to apply the amendments prospectively through December 31, 2022. The Company has not yet adopted this new guidance and is evaluating the qualitative and quantitative effect the new guidance will have on its Financial Statements.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2020, the FASB issued ASU 2020-06, Debt with Conversion and Other Options and Derivatives and Hedging. This update amends guidance on convertible instruments and the guidance on derivative scope exception for contracts in an entity’s own equity. The amendments for convertible instruments reduce the number of accounting models for convertible debt instruments and convertible preferred stock. In addition, the amendments provide guidance on instruments that will continue to be subject to separation models and improves disclosure for convertible instruments and guidance for earnings per share. Furthermore, the update amends guidance for the derivatives scope exception for contracts in an entity’s own equity to reduce form-over-substance-based accounting conclusions. The amendments in this update are effective for fiscal years beginning after December 15, 2021, and interim periods within those fiscal years. These amendments should be applied on either a modified retrospective basis or a fully retrospective basis. The Company is currently assessing the effect the adoption of this standard will have on its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Acquisitions and Purchase Price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the Company. The strategic rationale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consideration paid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Shares issued to Former Caesars shareholders </w:t>
      </w:r>
      <w:r>
        <w:rPr>
          <w:rFonts w:ascii="Arial" w:cs="Arial" w:eastAsia="Arial" w:hAnsi="Arial"/>
          <w:sz w:val="18"/>
          <w:szCs w:val="18"/>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to retire Former Caesars debt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71"/>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11" w:hanging="1311"/>
        <w:spacing w:after="0"/>
        <w:tabs>
          <w:tab w:leader="none" w:pos="1311" w:val="left"/>
        </w:tabs>
        <w:numPr>
          <w:ilvl w:val="0"/>
          <w:numId w:val="5"/>
        </w:numPr>
        <w:rPr>
          <w:rFonts w:ascii="Arial" w:cs="Arial" w:eastAsia="Arial" w:hAnsi="Arial"/>
          <w:sz w:val="15"/>
          <w:szCs w:val="15"/>
          <w:color w:val="auto"/>
        </w:rPr>
      </w:pPr>
      <w:r>
        <w:rPr>
          <w:rFonts w:ascii="Arial" w:cs="Arial" w:eastAsia="Arial" w:hAnsi="Arial"/>
          <w:sz w:val="15"/>
          <w:szCs w:val="15"/>
          <w:color w:val="auto"/>
        </w:rPr>
        <w:t>6,090</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2,381</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2,356</w:t>
      </w:r>
    </w:p>
    <w:p>
      <w:pPr>
        <w:spacing w:after="0" w:line="43" w:lineRule="exact"/>
        <w:rPr>
          <w:rFonts w:ascii="Arial" w:cs="Arial" w:eastAsia="Arial" w:hAnsi="Arial"/>
          <w:sz w:val="15"/>
          <w:szCs w:val="15"/>
          <w:color w:val="auto"/>
        </w:rPr>
      </w:pPr>
    </w:p>
    <w:p>
      <w:pPr>
        <w:ind w:left="1531"/>
        <w:spacing w:after="0"/>
        <w:rPr>
          <w:rFonts w:ascii="Arial" w:cs="Arial" w:eastAsia="Arial" w:hAnsi="Arial"/>
          <w:sz w:val="15"/>
          <w:szCs w:val="15"/>
          <w:color w:val="auto"/>
        </w:rPr>
      </w:pPr>
      <w:r>
        <w:rPr>
          <w:rFonts w:ascii="Arial" w:cs="Arial" w:eastAsia="Arial" w:hAnsi="Arial"/>
          <w:sz w:val="14"/>
          <w:szCs w:val="14"/>
          <w:color w:val="auto"/>
        </w:rPr>
        <w:t>48</w:t>
      </w:r>
    </w:p>
    <w:p>
      <w:pPr>
        <w:spacing w:after="0" w:line="69" w:lineRule="exact"/>
        <w:rPr>
          <w:sz w:val="20"/>
          <w:szCs w:val="20"/>
          <w:color w:val="auto"/>
        </w:rPr>
      </w:pPr>
    </w:p>
    <w:p>
      <w:pPr>
        <w:ind w:left="1231" w:hanging="1231"/>
        <w:spacing w:after="0"/>
        <w:tabs>
          <w:tab w:leader="none" w:pos="1231" w:val="left"/>
        </w:tabs>
        <w:numPr>
          <w:ilvl w:val="0"/>
          <w:numId w:val="6"/>
        </w:numPr>
        <w:rPr>
          <w:rFonts w:ascii="Arial" w:cs="Arial" w:eastAsia="Arial" w:hAnsi="Arial"/>
          <w:sz w:val="15"/>
          <w:szCs w:val="15"/>
          <w:color w:val="auto"/>
        </w:rPr>
      </w:pPr>
      <w:r>
        <w:rPr>
          <w:rFonts w:ascii="Arial" w:cs="Arial" w:eastAsia="Arial" w:hAnsi="Arial"/>
          <w:sz w:val="15"/>
          <w:szCs w:val="15"/>
          <w:color w:val="auto"/>
        </w:rPr>
        <w:t>10,875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8769" w:space="720"/>
            <w:col w:w="1751"/>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Former Caesars common stock was converted into the right to receive approximately 0.3085 shares of Company Common Stock, with a value equal to approximately $12.41 in cash (based on the volume weighted average price per share of Company Common Stock for the ten trading days ending on July 16,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are based on management’s analysis including preliminary work performed by third party valuation specialists, which are subject to finalization over the one-year measurement period. The purchase price accounting for Former Caesars is preliminary as it relates to determining the fair value of certain assets and liabilities, including goodwill, and is subject to change. The following table summarizes the preliminary allocation of the purchase consideration to the identifiable assets acquired and liabilities assumed of Former Caesars, with the excess recorded as goodwill as of March 31, 2021:</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CAESARS ENTERTAINMENT, INC.</w:t>
            </w: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NOTES TO CONSOLIDATED CONDENSED FINANCIAL STATEMENTS (CONTINUED)</w:t>
            </w:r>
          </w:p>
        </w:tc>
        <w:tc>
          <w:tcPr>
            <w:tcW w:w="14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(UNAUDITED)</w:t>
            </w:r>
          </w:p>
        </w:tc>
        <w:tc>
          <w:tcPr>
            <w:tcW w:w="146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Current and other assets</w:t>
            </w:r>
          </w:p>
        </w:tc>
        <w:tc>
          <w:tcPr>
            <w:tcW w:w="7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r>
      <w:tr>
        <w:trPr>
          <w:trHeight w:val="213"/>
        </w:trPr>
        <w:tc>
          <w:tcPr>
            <w:tcW w:w="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Property and equipment</w:t>
            </w:r>
          </w:p>
        </w:tc>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12,691</w:t>
            </w:r>
          </w:p>
        </w:tc>
      </w:tr>
      <w:tr>
        <w:trPr>
          <w:trHeight w:val="219"/>
        </w:trPr>
        <w:tc>
          <w:tcPr>
            <w:tcW w:w="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7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8,928</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3,364</w:t>
            </w: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7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07"/>
        </w:trPr>
        <w:tc>
          <w:tcPr>
            <w:tcW w:w="20" w:type="dxa"/>
            <w:vAlign w:val="bottom"/>
          </w:tcPr>
          <w:p>
            <w:pPr>
              <w:spacing w:after="0"/>
              <w:rPr>
                <w:sz w:val="17"/>
                <w:szCs w:val="17"/>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7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29,808</w:t>
            </w:r>
          </w:p>
        </w:tc>
      </w:tr>
      <w:tr>
        <w:trPr>
          <w:trHeight w:val="239"/>
        </w:trPr>
        <w:tc>
          <w:tcPr>
            <w:tcW w:w="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76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7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1,844</w:t>
            </w:r>
          </w:p>
        </w:tc>
      </w:tr>
      <w:tr>
        <w:trPr>
          <w:trHeight w:val="219"/>
        </w:trPr>
        <w:tc>
          <w:tcPr>
            <w:tcW w:w="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7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r>
      <w:tr>
        <w:trPr>
          <w:trHeight w:val="213"/>
        </w:trPr>
        <w:tc>
          <w:tcPr>
            <w:tcW w:w="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6,591</w:t>
            </w:r>
          </w:p>
        </w:tc>
      </w:tr>
      <w:tr>
        <w:trPr>
          <w:trHeight w:val="219"/>
        </w:trPr>
        <w:tc>
          <w:tcPr>
            <w:tcW w:w="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76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r>
      <w:tr>
        <w:trPr>
          <w:trHeight w:val="207"/>
        </w:trPr>
        <w:tc>
          <w:tcPr>
            <w:tcW w:w="2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liabilities</w:t>
            </w:r>
          </w:p>
        </w:tc>
        <w:tc>
          <w:tcPr>
            <w:tcW w:w="7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18,915</w:t>
            </w:r>
          </w:p>
        </w:tc>
      </w:tr>
      <w:tr>
        <w:trPr>
          <w:trHeight w:val="209"/>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7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Net assets acquired</w:t>
            </w:r>
          </w:p>
        </w:tc>
        <w:tc>
          <w:tcPr>
            <w:tcW w:w="7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Intangible assets consist of gaming rights valued at $388 million, trade names valued at $2.1 billion, Caesars Rewards programs valued at $523 million and customer relationships valued at $403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the preliminary purchase price allocation is subject to a measurement period and our estimates as of December 31, 2020 have been revised as of March 31, 2021. The net impact of these changes in our preliminary valuations was a $6 million increase to goodwill, $8 million increase to current liabilities and $2 million decrease to noncurrent liabilities. The effect of these revisions during the quarter did not have any impact on our Statements of Operations.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price of financial assets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Allowance for credit losses at the acquisition date based on the acquirer’s assessment</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 (premium) attributable to other factors</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Face value of financial assets</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29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Merger date.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 the useful life of the license to be approximately 34 years.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the assembled workforce of Former Caesars. The final assignment of goodwill to our reporting units has not been completed. The goodwill acquired will not generate amortization deductions for income tax purposes.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long-term debt has been calculated based on market quotes. 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acquisition-related transaction costs in connection with the Merger of $12 million and $9 million for the three months ended March 31, 2021 and 2020, respectively. These costs were associated with legal, IT costs, internal labor and professional services and were recorded in Transaction costs and other operating costs in our Statements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2021 through March 31, 2021, the properties of Former Caesars generated net revenues of $1.3 billion, excluding discontinued operations, and net loss of $482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previously announced acquisition of William Hill PLC for cash consideration of approximately </w:t>
      </w:r>
      <w:r>
        <w:rPr>
          <w:rFonts w:ascii="Arial" w:cs="Arial" w:eastAsia="Arial" w:hAnsi="Arial"/>
          <w:sz w:val="18"/>
          <w:szCs w:val="18"/>
          <w:color w:val="212529"/>
        </w:rPr>
        <w:t>£2.9 billion, or</w:t>
      </w:r>
      <w:r>
        <w:rPr>
          <w:rFonts w:ascii="Arial" w:cs="Arial" w:eastAsia="Arial" w:hAnsi="Arial"/>
          <w:sz w:val="18"/>
          <w:szCs w:val="18"/>
          <w:color w:val="auto"/>
        </w:rPr>
        <w:t xml:space="preserve"> </w:t>
      </w:r>
      <w:r>
        <w:rPr>
          <w:rFonts w:ascii="Arial" w:cs="Arial" w:eastAsia="Arial" w:hAnsi="Arial"/>
          <w:sz w:val="18"/>
          <w:szCs w:val="18"/>
          <w:color w:val="212529"/>
        </w:rPr>
        <w:t>approximately $4.0 billion, based on the GBP:USD exchange rate on the closing date</w:t>
      </w:r>
      <w:r>
        <w:rPr>
          <w:rFonts w:ascii="Arial" w:cs="Arial" w:eastAsia="Arial" w:hAnsi="Arial"/>
          <w:sz w:val="18"/>
          <w:szCs w:val="18"/>
          <w:color w:val="000000"/>
        </w:rPr>
        <w:t>.</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William Hill PLC’s U.S. subsidiary, William Hill U.S. Holdco (“William Hill US” and together with William Hill PLC, “William Hill”) operates 37 sportsbooks at our properties in eight states (see Note 4) and, following the William Hill Acquisition, Caesars and William Hill will conduct sports wagering across 17 states across the U.S. plus the District of Columbia. Additionally, we will operate regulated online real money gaming businesses in four states — Nevada, Pennsylvania, New Jersey, and Michigan — and continue to leverage the World Series of Poker (“WSOP”) brand, and license the WSOP trademarks for a variety of products and services. Extensive usage of digital platforms and growing bettor demand are driving the market for online sports betting platforms in the U.S. and the William Hill Acquisition positions us to address this growing market. The Company intends to divest the non-U.S. operations including the UK and international online divisions and the retail betting shops.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previously held an equity interest in William Hill PLC and William Hill US (see Note 4). Accordingly, the acquisition will be accounted for as a business combination achieved in stages, or a “step acquisition.” The major classes of assets acquired include cash and cash equivalents, trade and other accounts receivable, property and equipment, intangible assets, and other assets. The major classes of liabilities assumed include trade and other accounts payable, accrued expenses, long-term debt and other liabilities. Certain of the net assets of William Hill are the result of transactions with Caesars. Such net assets will be assessed and may be eliminated in connection with the William Hill Acquisition.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short period of time from the acquisition completion date and the date of these consolidated condensed financial statements, and the size and complexity of the transaction, the initial accounting for the business combination is incomplete at this time. The Company is not able to provide the valuation of certain components of consideration transferred or provide the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allocation of consideration paid to the assets acquired or liabilities assumed. Supplemental pro forma revenue and earnings of the combined company are predicated on the completion of the business combination accounting and allocation of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acquisition-related transaction costs of $5 million for the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Assets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Continuing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MontBleu, Evansville and Baton Rouge</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6, 2021, the Company consummated the sale of the equity interests of MontBleu Casino Resort &amp; Spa (“MontBleu”) to Bally’s Corporation (formerly Twin River Worldwide Holdings, Inc.) for $15 million, subject to a customary working capital adjustment, resulting in a loss of approximately $2 million. The purchase price for MontBleu is due no later than the first anniversary of the consummation of the transaction. MontBleu’s assets and liabilities were held for sale as of March 31, 2021, and the results of operations are included in income from continuing operations in the periods presented.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execution of the agreement to sell MontBleu, an impairment charge totaling $45 million was recorded during the three months ended March 31, 2020 due to the carrying value exceeding the estimated net sales proceeds. The impairment charges resulted in a reduction to the carrying amounts of the right-of-use assets, property and equipment, and goodwill and other intangibles totaling $18 million, $23 million and $4 million, respectively. MontBleu was within the Regional segment.</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16, 2020, in connection with its review of the Merger, the Indiana Gaming Commission determined as a condition to their approval of the Merger that the Company will be required to divest three properties within the state of Indiana in order to avoid undue economic concentration. On October 27, 2020, the Company entered into an agreement to sell the equity interests of Tropicana Evansville (“Evansville”) to Gaming and Leisure Properties, Inc. (“GLPI”) and Bally’s Corporation for $480 million, subject to a customary working capital adjustment. The sale is subject to satisfaction of customary conditions, including receipt of required regulatory approvals and is expected to close in mid-2021. On December 24, 2020, the Company entered into an agreement to sell the equity interests of Caesars Southern Indiana. In addition, the Company plans to enter into an agreement to sell Horseshoe Hammond prior to December 31, 2021. Evansville met the requirements for presentation as assets held for sale as of March 31, 2021, while Caesars Southern Indiana and Horseshoe Hammond met the requirements for presentation as discontinued operations (see discussion below).</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Belle of Baton Rouge Casino &amp; Hotel (“Baton Rouge”). The definitive agreement provides that the consummation of the sale is subject to satisfaction of customary conditions, including receipt of required regulatory approvals and is expected to close in the third quarter of 2021. Baton Rouge met the requirements for presentation as assets held for sale as of March 31, 2021.</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and liabilities held for sale of continuing operations, accounted for at carrying value unless fair value is lower, were as follows as of March 31,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28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MontBleu</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91"/>
              </w:rPr>
              <w:t>Evansville</w:t>
            </w:r>
          </w:p>
        </w:tc>
        <w:tc>
          <w:tcPr>
            <w:tcW w:w="200" w:type="dxa"/>
            <w:vAlign w:val="bottom"/>
          </w:tcPr>
          <w:p>
            <w:pPr>
              <w:spacing w:after="0"/>
              <w:rPr>
                <w:sz w:val="14"/>
                <w:szCs w:val="14"/>
                <w:color w:val="auto"/>
              </w:rPr>
            </w:pPr>
          </w:p>
        </w:tc>
        <w:tc>
          <w:tcPr>
            <w:tcW w:w="12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6"/>
              </w:rPr>
              <w:t>Baton Rouge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4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674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1"/>
              </w:rPr>
              <w:t>December 31, 2020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28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MontBleu</w:t>
            </w:r>
          </w:p>
        </w:tc>
        <w:tc>
          <w:tcPr>
            <w:tcW w:w="240" w:type="dxa"/>
            <w:vAlign w:val="bottom"/>
          </w:tcPr>
          <w:p>
            <w:pPr>
              <w:spacing w:after="0"/>
              <w:rPr>
                <w:sz w:val="14"/>
                <w:szCs w:val="14"/>
                <w:color w:val="auto"/>
              </w:rPr>
            </w:pPr>
          </w:p>
        </w:tc>
        <w:tc>
          <w:tcPr>
            <w:tcW w:w="128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91"/>
              </w:rPr>
              <w:t>Evansville</w:t>
            </w:r>
          </w:p>
        </w:tc>
        <w:tc>
          <w:tcPr>
            <w:tcW w:w="200" w:type="dxa"/>
            <w:vAlign w:val="bottom"/>
          </w:tcPr>
          <w:p>
            <w:pPr>
              <w:spacing w:after="0"/>
              <w:rPr>
                <w:sz w:val="14"/>
                <w:szCs w:val="14"/>
                <w:color w:val="auto"/>
              </w:rPr>
            </w:pPr>
          </w:p>
        </w:tc>
        <w:tc>
          <w:tcPr>
            <w:tcW w:w="12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6"/>
              </w:rPr>
              <w:t>Baton Rouge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4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674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considered continuing operations, that are held for sale: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6"/>
                <w:szCs w:val="16"/>
                <w:b w:val="1"/>
                <w:bCs w:val="1"/>
                <w:color w:val="auto"/>
                <w:w w:val="94"/>
              </w:rPr>
              <w:t>Three Months Ended March 31, 2021</w:t>
            </w:r>
          </w:p>
        </w:tc>
      </w:tr>
      <w:tr>
        <w:trPr>
          <w:trHeight w:val="172"/>
        </w:trPr>
        <w:tc>
          <w:tcPr>
            <w:tcW w:w="2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28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MontBleu</w:t>
            </w:r>
          </w:p>
        </w:tc>
        <w:tc>
          <w:tcPr>
            <w:tcW w:w="240" w:type="dxa"/>
            <w:vAlign w:val="bottom"/>
          </w:tcPr>
          <w:p>
            <w:pPr>
              <w:spacing w:after="0"/>
              <w:rPr>
                <w:sz w:val="14"/>
                <w:szCs w:val="14"/>
                <w:color w:val="auto"/>
              </w:rPr>
            </w:pPr>
          </w:p>
        </w:tc>
        <w:tc>
          <w:tcPr>
            <w:tcW w:w="128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91"/>
              </w:rPr>
              <w:t>Evansville</w:t>
            </w:r>
          </w:p>
        </w:tc>
        <w:tc>
          <w:tcPr>
            <w:tcW w:w="200" w:type="dxa"/>
            <w:vAlign w:val="bottom"/>
          </w:tcPr>
          <w:p>
            <w:pPr>
              <w:spacing w:after="0"/>
              <w:rPr>
                <w:sz w:val="14"/>
                <w:szCs w:val="14"/>
                <w:color w:val="auto"/>
              </w:rPr>
            </w:pPr>
          </w:p>
        </w:tc>
        <w:tc>
          <w:tcPr>
            <w:tcW w:w="12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6"/>
              </w:rPr>
              <w:t>Baton Rouge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6"/>
                <w:szCs w:val="16"/>
                <w:b w:val="1"/>
                <w:bCs w:val="1"/>
                <w:color w:val="auto"/>
                <w:w w:val="94"/>
              </w:rPr>
              <w:t>Three Months Ended March 31, 2020</w:t>
            </w:r>
          </w:p>
        </w:tc>
      </w:tr>
      <w:tr>
        <w:trPr>
          <w:trHeight w:val="172"/>
        </w:trPr>
        <w:tc>
          <w:tcPr>
            <w:tcW w:w="2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28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MontBleu</w:t>
            </w:r>
          </w:p>
        </w:tc>
        <w:tc>
          <w:tcPr>
            <w:tcW w:w="240" w:type="dxa"/>
            <w:vAlign w:val="bottom"/>
          </w:tcPr>
          <w:p>
            <w:pPr>
              <w:spacing w:after="0"/>
              <w:rPr>
                <w:sz w:val="14"/>
                <w:szCs w:val="14"/>
                <w:color w:val="auto"/>
              </w:rPr>
            </w:pPr>
          </w:p>
        </w:tc>
        <w:tc>
          <w:tcPr>
            <w:tcW w:w="128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91"/>
              </w:rPr>
              <w:t>Evansville</w:t>
            </w:r>
          </w:p>
        </w:tc>
        <w:tc>
          <w:tcPr>
            <w:tcW w:w="200" w:type="dxa"/>
            <w:vAlign w:val="bottom"/>
          </w:tcPr>
          <w:p>
            <w:pPr>
              <w:spacing w:after="0"/>
              <w:rPr>
                <w:sz w:val="14"/>
                <w:szCs w:val="14"/>
                <w:color w:val="auto"/>
              </w:rPr>
            </w:pPr>
          </w:p>
        </w:tc>
        <w:tc>
          <w:tcPr>
            <w:tcW w:w="12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6"/>
              </w:rPr>
              <w:t>Baton Rouge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Sold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Shreveport, Kansas City and Vicksburg Divestitures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their respective closing dates, Eldorado Shreveport, Isle of Capri Casino Kansas City (“Kansas City”), and Lady Luck Casino Vicksburg (“Vicksburg”) met the requirements for presentation as assets held for sale under GAAP. However, they did not meet the requirements for presentation as discontinued operations. All properties were previously reported in the Regional segment.</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presents the net revenues and net income of held for sale properties, which were recently sold,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b w:val="1"/>
                <w:bCs w:val="1"/>
                <w:color w:val="auto"/>
                <w:w w:val="94"/>
              </w:rPr>
              <w:t>Three Months Ended March 31,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Eldorado</w:t>
            </w: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Kansas City</w:t>
            </w:r>
          </w:p>
        </w:tc>
        <w:tc>
          <w:tcPr>
            <w:tcW w:w="200" w:type="dxa"/>
            <w:vAlign w:val="bottom"/>
          </w:tcPr>
          <w:p>
            <w:pPr>
              <w:spacing w:after="0"/>
              <w:rPr>
                <w:sz w:val="13"/>
                <w:szCs w:val="13"/>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Vicksburg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9"/>
              </w:rPr>
              <w:t>Shreveport</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Discontinued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result of the Merger, certain Former Caesars properties, including Harrah’s Louisiana Downs, Caesars Southern Indiana, Horseshoe Hammond, and Caesars UK group, including Emerald Resorts &amp; Casino met held for sale criteria as of the date of the closing of the Merger. The sales of these properties have or are expected to close within one year and the properties are classified as discontinued operations. Caesars UK group, including Emerald Resorts &amp; Casino, is within the Managed, International, CIE segment while all other discontinued operations are in the Regional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which proceeds will be split between the Company and VICI. The sale is subject to satisfaction of customary conditions, including receipt of required regulatory approvals and is expected to close in the third quarter of 2021.</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an agreement to sell the equity interests of Caesars Southern Indiana to the Eastern Band of Cherokee Indians (“EBCI”) for $250 million, subject to customary purchase price adjustments.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three months ended March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b w:val="1"/>
                <w:bCs w:val="1"/>
                <w:color w:val="auto"/>
                <w:w w:val="99"/>
              </w:rPr>
              <w:t>Three Months Ended March 31, 2021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200" w:type="dxa"/>
            <w:vAlign w:val="bottom"/>
          </w:tcPr>
          <w:p>
            <w:pPr>
              <w:spacing w:after="0"/>
              <w:rPr>
                <w:sz w:val="13"/>
                <w:szCs w:val="13"/>
                <w:color w:val="auto"/>
              </w:rPr>
            </w:pPr>
          </w:p>
        </w:tc>
        <w:tc>
          <w:tcPr>
            <w:tcW w:w="122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Horseshoe</w:t>
            </w:r>
          </w:p>
        </w:tc>
        <w:tc>
          <w:tcPr>
            <w:tcW w:w="18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Caesars UK</w:t>
            </w:r>
          </w:p>
        </w:tc>
        <w:tc>
          <w:tcPr>
            <w:tcW w:w="13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200" w:type="dxa"/>
            <w:vAlign w:val="bottom"/>
          </w:tcPr>
          <w:p>
            <w:pPr>
              <w:spacing w:after="0"/>
              <w:rPr>
                <w:sz w:val="15"/>
                <w:szCs w:val="15"/>
                <w:color w:val="auto"/>
              </w:rPr>
            </w:pPr>
          </w:p>
        </w:tc>
        <w:tc>
          <w:tcPr>
            <w:tcW w:w="122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Hammond</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liabilities held for sale as discontinued operations, accounted for at carrying value unless fair value was lower,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200" w:type="dxa"/>
            <w:vAlign w:val="bottom"/>
          </w:tcPr>
          <w:p>
            <w:pPr>
              <w:spacing w:after="0"/>
              <w:rPr>
                <w:sz w:val="13"/>
                <w:szCs w:val="13"/>
                <w:color w:val="auto"/>
              </w:rPr>
            </w:pPr>
          </w:p>
        </w:tc>
        <w:tc>
          <w:tcPr>
            <w:tcW w:w="122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Horseshoe</w:t>
            </w:r>
          </w:p>
        </w:tc>
        <w:tc>
          <w:tcPr>
            <w:tcW w:w="16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Caesars UK</w:t>
            </w:r>
          </w:p>
        </w:tc>
        <w:tc>
          <w:tcPr>
            <w:tcW w:w="13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200" w:type="dxa"/>
            <w:vAlign w:val="bottom"/>
          </w:tcPr>
          <w:p>
            <w:pPr>
              <w:spacing w:after="0"/>
              <w:rPr>
                <w:sz w:val="15"/>
                <w:szCs w:val="15"/>
                <w:color w:val="auto"/>
              </w:rPr>
            </w:pPr>
          </w:p>
        </w:tc>
        <w:tc>
          <w:tcPr>
            <w:tcW w:w="12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Hammond</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12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200" w:type="dxa"/>
            <w:vAlign w:val="bottom"/>
          </w:tcPr>
          <w:p>
            <w:pPr>
              <w:spacing w:after="0"/>
              <w:rPr>
                <w:sz w:val="13"/>
                <w:szCs w:val="13"/>
                <w:color w:val="auto"/>
              </w:rPr>
            </w:pPr>
          </w:p>
        </w:tc>
        <w:tc>
          <w:tcPr>
            <w:tcW w:w="122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Horseshoe</w:t>
            </w:r>
          </w:p>
        </w:tc>
        <w:tc>
          <w:tcPr>
            <w:tcW w:w="16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Caesars UK</w:t>
            </w:r>
          </w:p>
        </w:tc>
        <w:tc>
          <w:tcPr>
            <w:tcW w:w="13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200" w:type="dxa"/>
            <w:vAlign w:val="bottom"/>
          </w:tcPr>
          <w:p>
            <w:pPr>
              <w:spacing w:after="0"/>
              <w:rPr>
                <w:sz w:val="15"/>
                <w:szCs w:val="15"/>
                <w:color w:val="auto"/>
              </w:rPr>
            </w:pPr>
          </w:p>
        </w:tc>
        <w:tc>
          <w:tcPr>
            <w:tcW w:w="12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Hammond</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12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1" w:lineRule="auto"/>
        <w:tabs>
          <w:tab w:leader="none" w:pos="328"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We have included $339 million and $336 million of deferred finance obligation as of March 31, 2021 and December 31, 2020, respectively, as held for sale liabilities for Caesars Southern Indiana and Harrah’s Louisiana Downs, which represent our preliminary purchase price allocation of the liability which will be derecognized upon completion of those divestitures. We have not included any portion of the deferred finance obligation associated with Horseshoe Hammond as held for sale as we do not yet have any sale agreements in place or know the effect of any possible master lease modification on our deferred finance lease liability.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entered into a 25-year agreement, which became effective January 29, 2019, with William Hill which granted to William Hill the right to conduct betting activities, including operating our sportsbooks, in retail channels under certain skins for online channels with respect to the Company’s current and future properties, and conduct certain real money online gaming activities. The Company received a 20% ownership interest in William Hill US as well as 13 million ordinary shares of William Hill PLC, which shares initially received were subject to restrictions on transfer. The time restrictions on approximately 6 million shares expire within the next twelve months and are classified as current. Additionally, the Company receives a profit share from the operations of sports betting and other gaming activities associated with the Company’s properties. “Skin” in the context of this agreement refers to the Company’s ability to grant to William Hill an online channel that allows William Hill to operate online casino and sports gaming activities in reliance on, and utilizing the benefit of, any licenses granted to the Company or its subsidiaries.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 Company’s receivable from William Hill totaled $13 million and $7 million, respectively, and is reflected in Due from affiliates on the Balance Sheets.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accounting for its investment in William Hill US under the equity method. The fair value of the Company’s initial investment in William Hill US of $129 million at January 29, 2019 was determined using Level 3 inputs. As of March 31, 2021 and December 31, 2020, the carrying value of the Company’s interest in William Hill US totaled $126 million and $128 million, respectively, and is recorded in Investment in and advances to unconsolidated affiliates on the Balance Sheets.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accounting for its investment in William Hill PLC as an investment in equity securities. As of March 31, 2021 and December 31, 2020, the fair value of the William Hill PLC shares totaled $45 million and $44 million, respectively, net of cumulative unrealized gains of $18 million and $17 million, respectively, and is included in Other assets, net on the Balance Sheets. The Company recorded an unrealized gain of $1 million and an unrealized loss of $19 million during the three months ended March 31, 2021 and 2020, respectively.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the Company granted William Hill the right to the use of certain skins to operate online sports betting operations through our market access in each state and operate retail sports betting in our current and future properties for an equity method investment. The fair value of the William Hill US and William Hill PLC shares received have been deferred and are recognized as revenue on a straight-line basis over the 25-year agreement term. The Company recognized revenue of $2 million for the three months ended March 31, 2021 and 2020, and is recorded in Other revenue in the Statements of Operations.</w:t>
      </w:r>
    </w:p>
    <w:p>
      <w:pPr>
        <w:spacing w:after="0" w:line="200" w:lineRule="exact"/>
        <w:rPr>
          <w:sz w:val="20"/>
          <w:szCs w:val="20"/>
          <w:color w:val="auto"/>
        </w:rPr>
      </w:pPr>
    </w:p>
    <w:p>
      <w:pPr>
        <w:spacing w:after="0" w:line="316"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 balance of the William Hill deferred revenue totaled $132 million and $134 million, respectively, and is recorded in other long-term liabilities on the Balance Sheets.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Company consummated its previously announced acquisition of William Hill PLC in an all-cash transaction. See Note 1. The investments and transactions among Caesars and William Hill described above will be assessed as part of the consideration transferred and the allocation of the purchase price. See Note 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has made cash contributions totaling $1 million and has contributed land. On February 12, 2021, the Company contributed an additional 186 acres to the joint venture for a fair value of $61 million. Total contributions of approximately 206 acres of land have been made with a fair value of approximately $69 million, and the Company has no further obligation to contribute additional real estate or cash as of March 31, 2021. We entered into a short-term lease agreement in February 2021, which we can cancel at anytime, to lease back a portion of the land from the joint venture.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costs and other operating costs on the Statements of Operations. As of March 31, 2021 and December 31, 2020,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Property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6"/>
                <w:szCs w:val="16"/>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11,686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15,382</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and equipment is subject to various operating leases for which we are the lessor. We lease our property and equipment related to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5"/>
                <w:szCs w:val="15"/>
                <w:color w:val="auto"/>
              </w:rPr>
            </w:pPr>
          </w:p>
        </w:tc>
        <w:tc>
          <w:tcPr>
            <w:tcW w:w="1340" w:type="dxa"/>
            <w:vAlign w:val="bottom"/>
            <w:gridSpan w:val="2"/>
          </w:tcPr>
          <w:p>
            <w:pPr>
              <w:ind w:left="240"/>
              <w:spacing w:after="0" w:line="175"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2020</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6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 of gaming rights</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March 31, 2021</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3"/>
              </w:rPr>
              <w:t>March 31,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Useful Life</w:t>
            </w:r>
          </w:p>
        </w:tc>
        <w:tc>
          <w:tcPr>
            <w:tcW w:w="132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5"/>
                <w:szCs w:val="15"/>
                <w:color w:val="auto"/>
              </w:rPr>
            </w:pPr>
          </w:p>
        </w:tc>
        <w:tc>
          <w:tcPr>
            <w:tcW w:w="104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Amortizing intangible assets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3 - 7 years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377</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34 years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459</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i w:val="1"/>
                <w:iCs w:val="1"/>
                <w:color w:val="auto"/>
                <w:w w:val="99"/>
              </w:rPr>
              <w:t>Non-amortizing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Trademarks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Gaming rights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Caesars Rewards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with respect to intangible assets for the three months ended March 31, 2021 and 2020 totaled $20 million and $7 million, respectively, which is included in depreciation and amortization in the Statements of Operations.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Remaining 2021</w:t>
            </w: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Fair Value Measurements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and liabilities measured at fair value on a recurring basis, by</w:t>
      </w:r>
      <w:r>
        <w:rPr>
          <w:rFonts w:ascii="Arial" w:cs="Arial" w:eastAsia="Arial" w:hAnsi="Arial"/>
          <w:sz w:val="18"/>
          <w:szCs w:val="18"/>
          <w:i w:val="1"/>
          <w:iCs w:val="1"/>
          <w:color w:val="auto"/>
        </w:rPr>
        <w:t xml:space="preserve"> </w:t>
      </w:r>
      <w:r>
        <w:rPr>
          <w:rFonts w:ascii="Arial" w:cs="Arial" w:eastAsia="Arial" w:hAnsi="Arial"/>
          <w:sz w:val="18"/>
          <w:szCs w:val="18"/>
          <w:color w:val="auto"/>
        </w:rPr>
        <w:t>input level, in the Balance Sheets at March 31,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March 31, 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20" w:type="dxa"/>
            <w:vAlign w:val="bottom"/>
          </w:tcPr>
          <w:p>
            <w:pPr>
              <w:spacing w:after="0"/>
              <w:rPr>
                <w:sz w:val="18"/>
                <w:szCs w:val="18"/>
                <w:color w:val="auto"/>
              </w:rPr>
            </w:pPr>
          </w:p>
        </w:tc>
        <w:tc>
          <w:tcPr>
            <w:tcW w:w="568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- 5% Convertible Notes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20" w:type="dxa"/>
            <w:vAlign w:val="bottom"/>
          </w:tcPr>
          <w:p>
            <w:pPr>
              <w:spacing w:after="0"/>
              <w:rPr>
                <w:sz w:val="18"/>
                <w:szCs w:val="18"/>
                <w:color w:val="auto"/>
              </w:rPr>
            </w:pPr>
          </w:p>
        </w:tc>
        <w:tc>
          <w:tcPr>
            <w:tcW w:w="5680" w:type="dxa"/>
            <w:vAlign w:val="bottom"/>
            <w:gridSpan w:val="2"/>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- 5% Convertible Notes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restricted cash and investments valued using Level 3 inputs for the three months ended March 31, 2021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Level 3 Investments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Borders>
              <w:bottom w:val="single" w:sz="8" w:color="CCEEFF"/>
            </w:tcBorders>
          </w:tcPr>
          <w:p>
            <w:pPr>
              <w:spacing w:after="0"/>
              <w:rPr>
                <w:sz w:val="18"/>
                <w:szCs w:val="18"/>
                <w:color w:val="auto"/>
              </w:rPr>
            </w:pPr>
          </w:p>
        </w:tc>
        <w:tc>
          <w:tcPr>
            <w:tcW w:w="9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Unrealized gain</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Fair value at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investments during the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estimated fair values of the Company’s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 Restricted cash classified as Level 1 includes cash held in short-term certificate of deposit accounts or money market type funds. Restricted investments include shares acquired in conjunction with the Company’s sports betting agreements that contain restrictions related to the ability to liquidate shares within a specified timeframe.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Marketable securities consist primarily of trading securities held by the Company’s captive insurance subsidiary and unrestricted shares acquired in conjunction with the Company’s sports betting agreements.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the Company entered into a 20-year agreement with The Stars Group Inc., which was subsequently acquired by Flutter Entertainment PLC (“Flutter”) to provide options to obtain access to a second skin for online sports wagering and third skin for real money online gaming and poker with respect to the Company’s properties in the U.S. Under the terms of the agreement, the Company received common shares, as a revenue share from certain operations of Flutter under the Company’s licenses. The fair value of the shares received has been deferred and is recognized as revenue on a straight-line basis over the 20-year agreement term. All shares initially received were subject to a one year restriction on transfer from the date they are received. All shares held are unrestricted as of March 31, 2021.</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and December 31, 2020, the fair value of shares held was $10 million, and is included in Prepayments and other current assets on the Balance Sheets. The Company recorded an unrealized gain of less than a million during the three months ended March 31, 2021, and an unrealized loss of $3 million during the three months ended March 31, 2020, which were included in Other income (loss) on the Statements of Operations.</w:t>
      </w:r>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 - Derivative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6, 2017, Former Caesars issued $1.1 billion aggregate principal amount of 5% Convertible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5% Convertible Notes are convertible into approximately 0.014 shares of Company Common Stock and $1.17 of cash per $1.00 principal amount of 5% Convertible Notes. The 5% Convertible Notes are convertible at any time at the option of the holders thereof or the Company. We do not intend to exercise our option to convert these notes prior to maturity.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Conversion of the remaining $325 million in aggregate principal amount of outstanding 5% Convertible Notes, of which $10 million was held in trust as of March 31, 2021, would result in the issuance of an aggregate of 4.5 million shares of Company Common Stock and payment of $379 million. The 5% Convertible Notes mature in October 2024 and have a remaining life of approximately 3.5 years.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Management analyzed the conversion features for derivative accounting consideration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(“ASC 815”) and determined that the 5% Convertible Notes contain bifurcated derivative features and qualify for derivative accounting. In accordance with ASC 815, the Company has bifurcated the conversion features of the 5% Convertible Notes and recorded a derivative liability. The 5% Convertible Notes derivative features are not designated as hedging instruments. The derivative features of the 5% Convertible Notes are carried on the Company’s Balance Sheets at fair value in Other long-term liabilities. The derivative liability is marked-to-market each period and the change in fair value, which is primarily due to fluctuations in the share price of our common stock, is recorded as a component of Other income (loss) in the Statements of Operations. For the three months ended March 31, 2021, the change in fair value resulted in a loss of $151 million. The derivative liability associated with the 5% Convertible Notes will remain in effect until such time as the underlying convertible notes are exercised or terminated and the resulting derivative liability will be reclassified from a liability to equity as of such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5% Convertible Notes had an initial face value of $1.1 billion, an initial term of seven years, and a coupon rate of 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we estimated the fair value of the 5% Convertible Notes using a market-based approach that incorporated the value of both the straight debt and conversion features of the 5% Convertible Notes. The valuation model incorporated actively traded prices of the 5% Convertible Notes as of the reporting date, and assumptions regarding the incremental cost of borrowing for CEI. The key assumption used in the valuation model is the actively traded price of the 5% Convertible Notes and the incremental cost of borrowing is an indirectly observable input. The fair value for the conversion features of the 5% Convertible Notes is classified as Level 2 measurement.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Assumptions as of March 31, 2021:</w:t>
      </w:r>
    </w:p>
    <w:p>
      <w:pPr>
        <w:spacing w:after="0" w:line="6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Actively traded price of 5% Convertible Notes - $254.05</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Incremental cost of borrowing - 4.3%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In relation to the William Hill Acquisition, on September 28, 2020, the Company entered into a foreign exchange forward contract to hedge the risk of appreciation of the GBP denominated purchase price. On October 9, 2020, the Company entered into a foreign exchange forward contract to purchase £536 million at a contracted exchange rate. On March 25, 2021, the forward contract was settled, for which the Company received $41 million in proceeds. The Company recorded a gain of approximately $1 million 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w:t>
      </w:r>
      <w:r>
        <w:rPr>
          <w:rFonts w:ascii="Arial" w:cs="Arial" w:eastAsia="Arial" w:hAnsi="Arial"/>
          <w:sz w:val="18"/>
          <w:szCs w:val="18"/>
          <w:color w:val="000000"/>
        </w:rPr>
        <w:t>March 31, 2021, which was recorded in the Other income (loss)</w:t>
      </w:r>
      <w:r>
        <w:rPr>
          <w:rFonts w:ascii="Arial" w:cs="Arial" w:eastAsia="Arial" w:hAnsi="Arial"/>
          <w:sz w:val="18"/>
          <w:szCs w:val="18"/>
          <w:color w:val="212529"/>
        </w:rPr>
        <w:t xml:space="preserve"> </w:t>
      </w:r>
      <w:r>
        <w:rPr>
          <w:rFonts w:ascii="Arial" w:cs="Arial" w:eastAsia="Arial" w:hAnsi="Arial"/>
          <w:sz w:val="18"/>
          <w:szCs w:val="18"/>
          <w:color w:val="000000"/>
        </w:rPr>
        <w:t>on the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assumed Former Caesars interest rate swaps to manage the mix of assumed debt between fixed and variable rate instruments. As of March 31, 2021, we have seven interest rate swap agreements to fix the interest rate on $2.3 billion of variable rate debt related to the Caesars Resort Collection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w:t>
      </w:r>
    </w:p>
    <w:p>
      <w:pPr>
        <w:spacing w:after="0" w:line="32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March 31, 2021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Effective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 Paid</w:t>
            </w:r>
          </w:p>
        </w:tc>
        <w:tc>
          <w:tcPr>
            <w:tcW w:w="2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Variable Rate Received as of</w:t>
            </w: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30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93"/>
              </w:rPr>
              <w:t>(In millions)</w:t>
            </w:r>
          </w:p>
        </w:tc>
        <w:tc>
          <w:tcPr>
            <w:tcW w:w="2260" w:type="dxa"/>
            <w:vAlign w:val="bottom"/>
            <w:gridSpan w:val="2"/>
            <w:vMerge w:val="continue"/>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2021</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2.196%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2.788%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2.707%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0.1145%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derivative instruments designated as hedging instruments on the Balance Sheets for amounts transferred into Accumulated other comprehensive income (loss) (“AOCI”) before tax was a gain of $15 million during the three months ended March 31, 2021. AOCI reclassified to Interest expense on the Statements of Operations was $14 million for the three months ended March 31, 2021. As of March 31, 2021, the interest rate swaps derivative liability of $75 million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approximately $52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 through March 31, 2021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4"/>
                <w:szCs w:val="14"/>
                <w:color w:val="auto"/>
              </w:rPr>
            </w:pPr>
          </w:p>
        </w:tc>
        <w:tc>
          <w:tcPr>
            <w:tcW w:w="11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5"/>
                <w:szCs w:val="15"/>
                <w:color w:val="auto"/>
              </w:rPr>
            </w:pPr>
          </w:p>
        </w:tc>
        <w:tc>
          <w:tcPr>
            <w:tcW w:w="15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tcPr>
          <w:p>
            <w:pPr>
              <w:spacing w:after="0"/>
              <w:rPr>
                <w:sz w:val="17"/>
                <w:szCs w:val="17"/>
                <w:color w:val="auto"/>
              </w:rPr>
            </w:pPr>
          </w:p>
        </w:tc>
        <w:tc>
          <w:tcPr>
            <w:tcW w:w="1340" w:type="dxa"/>
            <w:vAlign w:val="bottom"/>
          </w:tcPr>
          <w:p>
            <w:pPr>
              <w:ind w:left="110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2021</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legal proceedings. Such proceedings can be costly, time consuming and unpredictable and, therefore, no assurance can be given that the final outcome of such proceedings will not materially impact our consolidated financial condition or results of operations. While we maintain insurance coverage that we believe is adequate to mitigate the risks of such proceedings, no assurance can be given that the amount or scope of existing insurance coverage will be sufficient to cover losses arising from such matters.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14, 2020, the Company filed a lawsuit for damages and declaratory relief in state court in New York relating to a transfer fee of $50 million that was assessed by the Indiana Gaming Commission upon the Company’s purchase of Hoosier Park Racino and Casino in 2017 from Centaur Holdings, LLC. Contemporaneous with the filing of the lawsuit, the Company notified the sellers that it was withholding payment of $50 million from amounts that were otherwise due to the sellers as a portion of a deferred payment for the purchase from the sellers. In the lawsuit, the Company seeks a declaration from the Court that the Sellers are required to indemnify Caesars for its losses arising out of or relating to payment of the transfer fee and that the Company is entitled to offset the $50 million transfer fee against payments otherwise due to the sellers. The Defendants in that suit have filed Motions to Dismiss the Company’s claims. Briefing on the Motion has been concluded and the parties await a decision from the Court.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public health emergency has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There can be no assurance as to the outcome of the litigation.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a party to various legal and administrative proceedings, which have arisen in the normal course of our business. Estimated losses are accrued for these proceedings when the loss is probable and can be estimated. The current liability for the estimated losses associated with these proceedings is not material to our consolidated financial condition and those estimated losses are not expected to have a material impact on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contractual commitments were assumed by the Company associated with Former Caesars as result of the consummation of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April 2020, the Company and the State of Louisiana, by and through the Louisiana Gaming Control Board (the “LGCB”), entered into an Amended and Restated Casino Operating Contract. Additionally, the Company, New Orleans Building Corporation (“NOBC”) and the City (collectively, the “Ground Lease Parties”) entered into a Second Amended and Restated Lease Agreement (the “Ground Lease”). Based on these amendments related to Harrah’s New Orleans, the Company is required to make certain payments and to make a capital investment of $325 million on or around Harrah’s New Orleans by July 15, 2024. In connection with the capital investment in Harrah’s New Orleans, we expect to rebrand the property as Caesars New Orleans.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the New Jersey Gaming Control Board in connection with its approval of the Merger, we have funded $400 million in escrow to provide funds for a three year capital expenditure plan in the state of New Jersey. This amount is currently included in restricted cash. As of March 31, 2021, our restricted cash balance in the escrow account is $376 million for future capital expenditures in New Jersey.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agreements with certain professional sports leagues and teams, sporting event facilities and sports television networks for tickets, suites, and advertising, marketing, promotional and sponsorship opportunities. As of March 31, 2021, obligations related to these agreements were $289 million with contracts extending through 2035, which include leasing of event suites that are generally considered short term leases for which we do not record a right of use asset or lease liability. We recognize expenses in the period services are rendered in accordance with the various agreements. In addition, assets or liabilities may be recorded related to the timing of payments as required by the respective agreement.</w:t>
      </w:r>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was $227 million and $223 million as of March 31, 2021 and December 31, 2020, respectively, recorded in Accrued other liabilities in our Balance Sheets.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Due to the novel nature of the disruption resulting from the COVID-19 public health emergency, actuarial data is limited for determining its effect. </w:t>
      </w:r>
      <w:r>
        <w:rPr>
          <w:rFonts w:ascii="Arial" w:cs="Arial" w:eastAsia="Arial" w:hAnsi="Arial"/>
          <w:sz w:val="18"/>
          <w:szCs w:val="18"/>
          <w:color w:val="222222"/>
        </w:rPr>
        <w:t>The</w:t>
      </w:r>
      <w:r>
        <w:rPr>
          <w:rFonts w:ascii="Arial" w:cs="Arial" w:eastAsia="Arial" w:hAnsi="Arial"/>
          <w:sz w:val="18"/>
          <w:szCs w:val="18"/>
          <w:color w:val="auto"/>
        </w:rPr>
        <w:t xml:space="preserve"> </w:t>
      </w:r>
      <w:r>
        <w:rPr>
          <w:rFonts w:ascii="Arial" w:cs="Arial" w:eastAsia="Arial" w:hAnsi="Arial"/>
          <w:sz w:val="18"/>
          <w:szCs w:val="18"/>
          <w:color w:val="222222"/>
        </w:rPr>
        <w:t>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 Alternatively, as a result of the recent work stoppages and reductions in workforce, a reduction of claims in future periods could be beneficial to our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Uncertainties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2009, Harrah’s New Orleans has undergone audits by state and local departments of revenue related to sales taxes on hotel rooms, parking and entertainment complimentaries. The periods that have been or are currently being audited are 2004 through 2016. In connection with these audits, certain periods have been paid under protest or are currently in various stages of litigation. On July 2, 2019, the judge denied Harrah’s New Orleans’ motion for partial summary judgment and granted the Department of Revenue’s (the “Department”) partial motion for summary judgment, finding that Harrah’s New Orleans owes state sales taxes, as well as district and New Orleans occupancy taxes to the Department on all discounted or complimentary rooms furnished by Harrah’s New Orleans to patrons or guests at Harrah’s New Orleans hotel and certain third party hotels. Caesars appealed the trial Court’s decision to the Louisiana Court of Appeal, which Appeal was rejected. Caesars has since petitioned to the Louisiana Supreme Court for review of the Appeals Court’s decision. On January 9, 2021, the Louisiana Supreme Court issued a ruling granting in part and denying in part the Company’s Petition for Appeal. In its decision, the Supreme Court upheld the lower Courts’ decisions that the Company must pay taxes for complimentaries at Harrah’s New Orleans, but overturned the lower Courts’ rulings that the Company must pay such taxes for third party hotels. This matter will now proceed to trial for a determination of the amount of taxes due pursuant to the Louisiana Supreme Court’s ruling. Former Caesars paid $9 million under protest and is being held in escrow by the Department. Harrah’s New Orleans had accrued contingent liabilities of $44 million as of March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On August 27, 2020, Hurricane Laura made landfall on Lake Charles as a Category 4 storm severely damaging the Isle of Capri Casino Lake Charles. During the </w:t>
      </w:r>
      <w:r>
        <w:rPr>
          <w:rFonts w:ascii="Arial" w:cs="Arial" w:eastAsia="Arial" w:hAnsi="Arial"/>
          <w:sz w:val="18"/>
          <w:szCs w:val="18"/>
          <w:color w:val="000000"/>
        </w:rPr>
        <w:t>three months</w:t>
      </w:r>
      <w:r>
        <w:rPr>
          <w:rFonts w:ascii="Arial" w:cs="Arial" w:eastAsia="Arial" w:hAnsi="Arial"/>
          <w:sz w:val="18"/>
          <w:szCs w:val="18"/>
          <w:color w:val="212529"/>
        </w:rPr>
        <w:t xml:space="preserve"> ended as of </w:t>
      </w:r>
      <w:r>
        <w:rPr>
          <w:rFonts w:ascii="Arial" w:cs="Arial" w:eastAsia="Arial" w:hAnsi="Arial"/>
          <w:sz w:val="18"/>
          <w:szCs w:val="18"/>
          <w:color w:val="000000"/>
        </w:rPr>
        <w:t>March 31, 2021, t</w:t>
      </w:r>
      <w:r>
        <w:rPr>
          <w:rFonts w:ascii="Arial" w:cs="Arial" w:eastAsia="Arial" w:hAnsi="Arial"/>
          <w:sz w:val="18"/>
          <w:szCs w:val="18"/>
          <w:color w:val="212529"/>
        </w:rPr>
        <w:t>he Company received insurance proceeds of approximately $26 million related to damaged fixed assets and remediation costs. The Company also recorded a gain of approximately $8 million as proceeds received were in excess of the losses incurred and the net book value of the damaged property. The property will remain closed until 2022 when construction of a new land-based casino is expected to be complete.</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Rates</w:t>
            </w:r>
          </w:p>
        </w:tc>
        <w:tc>
          <w:tcPr>
            <w:tcW w:w="120" w:type="dxa"/>
            <w:vAlign w:val="bottom"/>
          </w:tcPr>
          <w:p>
            <w:pPr>
              <w:spacing w:after="0"/>
              <w:rPr>
                <w:sz w:val="13"/>
                <w:szCs w:val="13"/>
                <w:color w:val="auto"/>
              </w:rPr>
            </w:pPr>
          </w:p>
        </w:tc>
        <w:tc>
          <w:tcPr>
            <w:tcW w:w="17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260" w:type="dxa"/>
            <w:vAlign w:val="bottom"/>
          </w:tcPr>
          <w:p>
            <w:pPr>
              <w:spacing w:after="0"/>
              <w:rPr>
                <w:sz w:val="13"/>
                <w:szCs w:val="13"/>
                <w:color w:val="auto"/>
              </w:rPr>
            </w:pPr>
          </w:p>
        </w:tc>
        <w:tc>
          <w:tcPr>
            <w:tcW w:w="15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1"/>
              </w:rPr>
              <w:t>Book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Maturity</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7"/>
              </w:rPr>
              <w:t xml:space="preserve">variable </w:t>
            </w:r>
            <w:r>
              <w:rPr>
                <w:rFonts w:ascii="Arial" w:cs="Arial" w:eastAsia="Arial" w:hAnsi="Arial"/>
                <w:sz w:val="21"/>
                <w:szCs w:val="21"/>
                <w:i w:val="1"/>
                <w:iCs w:val="1"/>
                <w:color w:val="auto"/>
                <w:w w:val="87"/>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7"/>
              </w:rPr>
              <w:t xml:space="preserve">variable </w:t>
            </w:r>
            <w:r>
              <w:rPr>
                <w:rFonts w:ascii="Arial" w:cs="Arial" w:eastAsia="Arial" w:hAnsi="Arial"/>
                <w:sz w:val="21"/>
                <w:szCs w:val="21"/>
                <w:i w:val="1"/>
                <w:iCs w:val="1"/>
                <w:color w:val="auto"/>
                <w:w w:val="87"/>
                <w:vertAlign w:val="superscript"/>
              </w:rPr>
              <w:t>(b)</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7"/>
              </w:rPr>
              <w:t xml:space="preserve">variable </w:t>
            </w:r>
            <w:r>
              <w:rPr>
                <w:rFonts w:ascii="Arial" w:cs="Arial" w:eastAsia="Arial" w:hAnsi="Arial"/>
                <w:sz w:val="21"/>
                <w:szCs w:val="21"/>
                <w:i w:val="1"/>
                <w:iCs w:val="1"/>
                <w:color w:val="auto"/>
                <w:w w:val="87"/>
                <w:vertAlign w:val="superscript"/>
              </w:rPr>
              <w:t>(a)</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8"/>
              </w:rPr>
              <w:t xml:space="preserve">variable </w:t>
            </w:r>
            <w:r>
              <w:rPr>
                <w:rFonts w:ascii="Arial" w:cs="Arial" w:eastAsia="Arial" w:hAnsi="Arial"/>
                <w:sz w:val="21"/>
                <w:szCs w:val="21"/>
                <w:i w:val="1"/>
                <w:iCs w:val="1"/>
                <w:color w:val="auto"/>
                <w:w w:val="88"/>
                <w:vertAlign w:val="superscript"/>
              </w:rPr>
              <w:t>(c)</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Convention Center Mortgage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5% Convertible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460"/>
              <w:spacing w:after="0"/>
              <w:rPr>
                <w:sz w:val="20"/>
                <w:szCs w:val="20"/>
                <w:color w:val="auto"/>
              </w:rPr>
            </w:pPr>
            <w:r>
              <w:rPr>
                <w:rFonts w:ascii="Arial" w:cs="Arial" w:eastAsia="Arial" w:hAnsi="Arial"/>
                <w:sz w:val="16"/>
                <w:szCs w:val="16"/>
                <w:color w:val="auto"/>
              </w:rPr>
              <w:t>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14,103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gridSpan w:val="4"/>
          </w:tcPr>
          <w:p>
            <w:pPr>
              <w:ind w:left="240"/>
              <w:spacing w:after="0"/>
              <w:rPr>
                <w:sz w:val="20"/>
                <w:szCs w:val="20"/>
                <w:color w:val="auto"/>
              </w:rPr>
            </w:pPr>
            <w:r>
              <w:rPr>
                <w:rFonts w:ascii="Arial" w:cs="Arial" w:eastAsia="Arial" w:hAnsi="Arial"/>
                <w:sz w:val="16"/>
                <w:szCs w:val="16"/>
                <w:color w:val="auto"/>
                <w:w w:val="96"/>
              </w:rPr>
              <w:t>Unamortized premiums, discounts and deferred finance charges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Fair value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Borrowing rates for our revolving credit facilities vary based on the election made at the time of draw down.</w:t>
      </w:r>
    </w:p>
    <w:p>
      <w:pPr>
        <w:ind w:left="320" w:hanging="312"/>
        <w:spacing w:after="0" w:line="187" w:lineRule="auto"/>
        <w:tabs>
          <w:tab w:leader="none" w:pos="320" w:val="left"/>
        </w:tabs>
        <w:numPr>
          <w:ilvl w:val="0"/>
          <w:numId w:val="1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LIBOR plus 2.75%.</w:t>
      </w:r>
    </w:p>
    <w:p>
      <w:pPr>
        <w:ind w:left="320" w:hanging="312"/>
        <w:spacing w:after="0" w:line="186" w:lineRule="auto"/>
        <w:tabs>
          <w:tab w:leader="none" w:pos="320"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LIBOR plus 4.50%.</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15,006</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57" w:lineRule="auto"/>
        <w:tabs>
          <w:tab w:leader="none" w:pos="327"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Debt principal payments are estimated amounts based on maturity dates and potential borrowings under our revolving credit facilities. Interest payments are estimated based on the forward-looking LIBOR curve and include the estimated impact of the seven interest rate swap agreements related to our CRC Credit Facility (see Note 7). Actual payments may differ from these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portion of long-term debt as of March 31, 2021 includes the principal payments on the term loans, other unsecured borrowings, and special improvement district bonds that are contractually due within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March 31, 2021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Credit Agreement, the CEI Revolving Credit Facility, and the indentures governing the CEI Senior Secured Notes, the CEI Senior Notes, the CRC Senior Secured Notes and the CRC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for the 5% Convertible Notes contains limited covenants as a result of amendments that became effective in connection with the consummation of the Merger. 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results of operations have been materially adversely affected by the impacts of the COVID-19 public health emergency. As a result, the current terms of the CEI Revolving Credit Facility, the CRC Credit Agreement provide that the financial covenant measurement period is not effective through September 30, 2021 so long as the Company and CRC, respectively, comply with a minimum liquidity requirement, which includes any such availability under the applicable revolving credit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are guaranteed on a senior unsecured basis by such subsidiaries.</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CRC Credit Agreement and the CRC Senior Secured Notes are guarantees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Notes are guaranteed on a senior unsecured basis by such subsidiaries.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Revenue Recognition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Statements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following the Merger. Refer to Note 15 for additional information on the Company’s reportable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6"/>
                <w:szCs w:val="16"/>
                <w:b w:val="1"/>
                <w:bCs w:val="1"/>
                <w:color w:val="auto"/>
                <w:w w:val="93"/>
              </w:rPr>
              <w:t>Three Months Ended March 31,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Managed,</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6"/>
              </w:rPr>
              <w:t>International &amp;</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rPr>
              <w:t>CIE</w:t>
            </w:r>
          </w:p>
        </w:tc>
        <w:tc>
          <w:tcPr>
            <w:tcW w:w="200" w:type="dxa"/>
            <w:vAlign w:val="bottom"/>
          </w:tcPr>
          <w:p>
            <w:pPr>
              <w:spacing w:after="0"/>
              <w:rPr>
                <w:sz w:val="15"/>
                <w:szCs w:val="15"/>
                <w:color w:val="auto"/>
              </w:rPr>
            </w:pPr>
          </w:p>
        </w:tc>
        <w:tc>
          <w:tcPr>
            <w:tcW w:w="122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6"/>
                <w:szCs w:val="16"/>
                <w:b w:val="1"/>
                <w:bCs w:val="1"/>
                <w:color w:val="auto"/>
                <w:w w:val="93"/>
              </w:rPr>
              <w:t>Three Months Ended March 31,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Managed,</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6"/>
              </w:rPr>
              <w:t>International &amp;</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rPr>
              <w:t>CIE</w:t>
            </w:r>
          </w:p>
        </w:tc>
        <w:tc>
          <w:tcPr>
            <w:tcW w:w="200" w:type="dxa"/>
            <w:vAlign w:val="bottom"/>
          </w:tcPr>
          <w:p>
            <w:pPr>
              <w:spacing w:after="0"/>
              <w:rPr>
                <w:sz w:val="15"/>
                <w:szCs w:val="15"/>
                <w:color w:val="auto"/>
              </w:rPr>
            </w:pPr>
          </w:p>
        </w:tc>
        <w:tc>
          <w:tcPr>
            <w:tcW w:w="122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include the following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6"/>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7"/>
        </w:trPr>
        <w:tc>
          <w:tcPr>
            <w:tcW w:w="20" w:type="dxa"/>
            <w:vAlign w:val="bottom"/>
          </w:tcPr>
          <w:p>
            <w:pPr>
              <w:spacing w:after="0"/>
              <w:rPr>
                <w:sz w:val="17"/>
                <w:szCs w:val="17"/>
                <w:color w:val="auto"/>
              </w:rPr>
            </w:pPr>
          </w:p>
        </w:tc>
        <w:tc>
          <w:tcPr>
            <w:tcW w:w="770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subsequently combined as Caesars Rewards, which represents the deferred allocation of revenue relating to reward credits granted to Caesars Rewards members based on on-property spending, including gaming, hotel, dining, retail shopping, and player loyalty program incentives earned, and (3) customer deposits and other deferred revenue, which is primarily funds deposited by customers related to gaming play, advance payments received for goods and services yet to be provided (such as advance ticket sales, deposits on rooms and convention space or for unpaid wagers), and deferred revenues associated with the Company’s existing interests in William Hill (see Note 4). Except for deferred revenues related to William Hill, these liabilities are generally expected to be recognized as revenue within one year of being purchased, earned, or deposited and are recorded within accrued other liabilities on the Company’s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60" w:type="dxa"/>
            <w:vAlign w:val="bottom"/>
            <w:gridSpan w:val="4"/>
            <w:vMerge w:val="restart"/>
          </w:tcPr>
          <w:p>
            <w:pPr>
              <w:jc w:val="right"/>
              <w:ind w:right="80"/>
              <w:spacing w:after="0"/>
              <w:rPr>
                <w:sz w:val="20"/>
                <w:szCs w:val="20"/>
                <w:color w:val="auto"/>
              </w:rPr>
            </w:pPr>
            <w:r>
              <w:rPr>
                <w:rFonts w:ascii="Arial" w:cs="Arial" w:eastAsia="Arial" w:hAnsi="Arial"/>
                <w:sz w:val="16"/>
                <w:szCs w:val="16"/>
                <w:b w:val="1"/>
                <w:bCs w:val="1"/>
                <w:color w:val="auto"/>
              </w:rPr>
              <w:t>Outstanding Chip Liability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4"/>
                <w:szCs w:val="14"/>
                <w:color w:val="auto"/>
              </w:rPr>
            </w:pPr>
          </w:p>
        </w:tc>
        <w:tc>
          <w:tcPr>
            <w:tcW w:w="1080" w:type="dxa"/>
            <w:vAlign w:val="bottom"/>
            <w:gridSpan w:val="2"/>
          </w:tcPr>
          <w:p>
            <w:pPr>
              <w:jc w:val="right"/>
              <w:ind w:right="160"/>
              <w:spacing w:after="0" w:line="172" w:lineRule="exact"/>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4"/>
                <w:szCs w:val="14"/>
                <w:color w:val="auto"/>
              </w:rPr>
            </w:pPr>
          </w:p>
        </w:tc>
        <w:tc>
          <w:tcPr>
            <w:tcW w:w="1080" w:type="dxa"/>
            <w:vAlign w:val="bottom"/>
            <w:gridSpan w:val="2"/>
          </w:tcPr>
          <w:p>
            <w:pPr>
              <w:jc w:val="right"/>
              <w:ind w:right="180"/>
              <w:spacing w:after="0" w:line="172" w:lineRule="exact"/>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21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32</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08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March 31</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172</w:t>
            </w:r>
          </w:p>
        </w:tc>
        <w:tc>
          <w:tcPr>
            <w:tcW w:w="0" w:type="dxa"/>
            <w:vAlign w:val="bottom"/>
          </w:tcPr>
          <w:p>
            <w:pPr>
              <w:spacing w:after="0"/>
              <w:rPr>
                <w:sz w:val="1"/>
                <w:szCs w:val="1"/>
                <w:color w:val="auto"/>
              </w:rPr>
            </w:pPr>
          </w:p>
        </w:tc>
      </w:tr>
      <w:tr>
        <w:trPr>
          <w:trHeight w:val="233"/>
        </w:trPr>
        <w:tc>
          <w:tcPr>
            <w:tcW w:w="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1"/>
              </w:rPr>
              <w:t>(4)</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8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March 31, 2021 balances exclude liabilities related to assets held for sale recorded in 2021 and 2020 (see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March 31, 2021 and 2020, we recognized approximately $215 million and $48 million, respectively, in lease revenue related to lodging arrangements, which is included in Hotel revenues in the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nonlease components primarily consist of food and beverage and audio/visual services. Revenue from conventions is included in Other revenue in the Statements of Operations, and during the three months ended March 31, 2021, lease revenue related to conventions was not material. During the three months ended March 31, 2020, lease revenue related to conventions was $1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March 31, 2021 and 2020, we recognized approximately $21 million and $2 million, respectively, of real estate lease revenue, which is included in Other revenue in the Statements of Operations. Real estate lease revenue includes $7 million of variable rental income for the three months ended March 31, 2021, and less than a million for the three months ended March 31, 2020.</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Earnings per Share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loss per share computations for the three months ended March 31, 2021 and 2020:</w:t>
      </w:r>
    </w:p>
    <w:p>
      <w:pPr>
        <w:spacing w:after="0" w:line="1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continuing operations attributable to Caesars, net of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Caesars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2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shares outstanding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diluted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60"/>
        </w:trPr>
        <w:tc>
          <w:tcPr>
            <w:tcW w:w="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6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income per share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Net loss per common share attributable to common stockholders – 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income per share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Net loss per common share attributable to common stockholders – 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Number of Anti-Dilutive Shares Excluded from Calculation of EPS</w:t>
      </w:r>
    </w:p>
    <w:p>
      <w:pPr>
        <w:spacing w:after="0" w:line="212"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Borders>
              <w:bottom w:val="single" w:sz="8" w:color="CCEEFF"/>
            </w:tcBorders>
          </w:tcPr>
          <w:p>
            <w:pPr>
              <w:spacing w:after="0"/>
              <w:rPr>
                <w:sz w:val="18"/>
                <w:szCs w:val="18"/>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5% Convertible Notes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anti-dilutive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totaled $23 million and $6 million during the three months ended March 31, 2021 and 2020, respectively. These amounts are included in corporate expenses and, in the case of certain property positions, general and administrative expenses in the Company’s Statements of Operations.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as part of the annual incentive program, the Company granted 568 thousand RSUs to employees of the Company with an aggregate fair value of $39 million and a ratable vesting period of three years. Each RSU represents the right to receive payment in respect of one share of the Company’s Common Stock.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March 31, 2021, the Company also granted 79 thousand PSUs that are scheduled to vest in three years. On the vesting date, recipients will receive between 0% and 200% of the target number of PSUs granted, in the form of CEI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three months ended March 31, 2021 was $7 million.</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during the three months ended March 31, 2021, the Company granted 146 thousand MSUs that are scheduled to cliff vest in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three months ended March 31, 2021 was $15 million.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there were no grants of stock options and 13 thousand stock options were exercised. In addition, 407 thousand, 143 thousand and 100 thousand of RSUs, PSUs and MSUs, respectively, vested under the 2015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1020"/>
              <w:spacing w:after="0"/>
              <w:rPr>
                <w:sz w:val="20"/>
                <w:szCs w:val="20"/>
                <w:color w:val="auto"/>
              </w:rPr>
            </w:pPr>
            <w:r>
              <w:rPr>
                <w:rFonts w:ascii="Arial" w:cs="Arial" w:eastAsia="Arial" w:hAnsi="Arial"/>
                <w:sz w:val="16"/>
                <w:szCs w:val="16"/>
                <w:b w:val="1"/>
                <w:bCs w:val="1"/>
                <w:color w:val="auto"/>
              </w:rPr>
              <w:t>March 31, 2021</w:t>
            </w:r>
          </w:p>
        </w:tc>
        <w:tc>
          <w:tcPr>
            <w:tcW w:w="3160" w:type="dxa"/>
            <w:vAlign w:val="bottom"/>
            <w:gridSpan w:val="4"/>
          </w:tcPr>
          <w:p>
            <w:pPr>
              <w:jc w:val="right"/>
              <w:ind w:right="837"/>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486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Quantity</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37"/>
              <w:spacing w:after="0" w:line="226" w:lineRule="exact"/>
              <w:rPr>
                <w:sz w:val="20"/>
                <w:szCs w:val="20"/>
                <w:color w:val="auto"/>
              </w:rPr>
            </w:pPr>
            <w:r>
              <w:rPr>
                <w:rFonts w:ascii="Arial" w:cs="Arial" w:eastAsia="Arial" w:hAnsi="Arial"/>
                <w:sz w:val="18"/>
                <w:szCs w:val="18"/>
                <w:b w:val="1"/>
                <w:bCs w:val="1"/>
                <w:color w:val="auto"/>
                <w:w w:val="98"/>
              </w:rPr>
              <w:t xml:space="preserve">Wtd-Avg </w:t>
            </w:r>
            <w:r>
              <w:rPr>
                <w:rFonts w:ascii="Arial" w:cs="Arial" w:eastAsia="Arial" w:hAnsi="Arial"/>
                <w:sz w:val="23"/>
                <w:szCs w:val="23"/>
                <w:b w:val="1"/>
                <w:bCs w:val="1"/>
                <w:i w:val="1"/>
                <w:iCs w:val="1"/>
                <w:color w:val="auto"/>
                <w:w w:val="98"/>
                <w:vertAlign w:val="superscript"/>
              </w:rPr>
              <w:t>(a)</w:t>
            </w:r>
          </w:p>
        </w:tc>
        <w:tc>
          <w:tcPr>
            <w:tcW w:w="10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57"/>
              <w:spacing w:after="0" w:line="226" w:lineRule="exact"/>
              <w:rPr>
                <w:sz w:val="20"/>
                <w:szCs w:val="20"/>
                <w:color w:val="auto"/>
              </w:rPr>
            </w:pPr>
            <w:r>
              <w:rPr>
                <w:rFonts w:ascii="Arial" w:cs="Arial" w:eastAsia="Arial" w:hAnsi="Arial"/>
                <w:sz w:val="18"/>
                <w:szCs w:val="18"/>
                <w:b w:val="1"/>
                <w:bCs w:val="1"/>
                <w:color w:val="auto"/>
                <w:w w:val="98"/>
              </w:rPr>
              <w:t xml:space="preserve">Wtd-Avg </w:t>
            </w:r>
            <w:r>
              <w:rPr>
                <w:rFonts w:ascii="Arial" w:cs="Arial" w:eastAsia="Arial" w:hAnsi="Arial"/>
                <w:sz w:val="23"/>
                <w:szCs w:val="23"/>
                <w:b w:val="1"/>
                <w:bCs w:val="1"/>
                <w:i w:val="1"/>
                <w:iCs w:val="1"/>
                <w:color w:val="auto"/>
                <w:w w:val="98"/>
                <w:vertAlign w:val="superscript"/>
              </w:rPr>
              <w:t>(a)</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2,565,751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46.11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2,414,111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42.55</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Performance stock units </w:t>
            </w:r>
            <w:r>
              <w:rPr>
                <w:rFonts w:ascii="Arial" w:cs="Arial" w:eastAsia="Arial" w:hAnsi="Arial"/>
                <w:sz w:val="21"/>
                <w:szCs w:val="21"/>
                <w:i w:val="1"/>
                <w:iCs w:val="1"/>
                <w:color w:val="auto"/>
                <w:vertAlign w:val="superscript"/>
              </w:rPr>
              <w:t>(b)</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491,224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66.10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446,087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49.37</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15" w:lineRule="auto"/>
        <w:tabs>
          <w:tab w:leader="none" w:pos="328"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fair value of the MSUs determined using the Monte-Carlo simulation model.</w:t>
      </w:r>
    </w:p>
    <w:p>
      <w:pPr>
        <w:spacing w:after="0" w:line="1" w:lineRule="exact"/>
        <w:rPr>
          <w:rFonts w:ascii="Arial" w:cs="Arial" w:eastAsia="Arial" w:hAnsi="Arial"/>
          <w:sz w:val="21"/>
          <w:szCs w:val="21"/>
          <w:i w:val="1"/>
          <w:iCs w:val="1"/>
          <w:color w:val="auto"/>
          <w:vertAlign w:val="superscript"/>
        </w:rPr>
      </w:pPr>
    </w:p>
    <w:p>
      <w:pPr>
        <w:ind w:left="320" w:hanging="312"/>
        <w:spacing w:after="0" w:line="214" w:lineRule="auto"/>
        <w:tabs>
          <w:tab w:leader="none" w:pos="32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PSUs were presented with RSUs as of December 31, 2020 in the 2020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the Company has acquired 223,823 shares of common stock under the Share Repurchase Program at an aggregate value of $9 million and an average of $40.80 per share. No shares were repurchased during the three months ended March 31, 2021 and 2020.</w:t>
      </w:r>
    </w:p>
    <w:p>
      <w:pPr>
        <w:spacing w:after="0" w:line="29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12"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(213)</w:t>
            </w:r>
          </w:p>
        </w:tc>
      </w:tr>
      <w:tr>
        <w:trPr>
          <w:trHeight w:val="213"/>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37</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which is reported within Accrued other liabilities. The accrual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Merger, the Company acquired $770 million of additional net deferred tax liabilities net of necessary valuation allowances, plus $24 million in additional accruals for uncertain tax positions. The income tax expense for the three months ended March 31, 2021 differed from the expected income tax benefit based on the federal tax rate of 21% primarily due to nondeductible expenses related to the convertible notes liability. The income tax expense for the three months ended March 31, 2020 differed from the expected income tax expense based on the federal tax rate of 21% primarily due to goodwill impairments and changes in the valuation allowance, offset by the true-up of certain state tax benefits and state and local income taxes.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examinations by tax authorities for years before 2017,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2021, Recreational Enterprises, Inc. (“REI”) owned approximately 4.1%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During the three months ended March 31, 2021 and 2020,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 subject to periodic rent escalations through the term of the lease. As of March 31, 2021 and December 31, 2020, there were no amounts due to or from CSY.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holds an interest in Horseshoe Baltimore of approximately 44.3% which is accounted for as an equity method investment and is considered to be a related party. These related party transactions include items such as casino management fees, reimbursement of various costs incurred on behalf of Horseshoe Baltimore, and the allocation of other general corporate expenses. A summary of the transactions with Horseshoe Baltimore is provided in the table below.</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Three Months Ended</w:t>
            </w:r>
          </w:p>
        </w:tc>
      </w:tr>
      <w:tr>
        <w:trPr>
          <w:trHeight w:val="175"/>
        </w:trPr>
        <w:tc>
          <w:tcPr>
            <w:tcW w:w="20" w:type="dxa"/>
            <w:vAlign w:val="bottom"/>
          </w:tcPr>
          <w:p>
            <w:pPr>
              <w:spacing w:after="0"/>
              <w:rPr>
                <w:sz w:val="15"/>
                <w:szCs w:val="15"/>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960" w:type="dxa"/>
            <w:vAlign w:val="bottom"/>
          </w:tcPr>
          <w:p>
            <w:pPr>
              <w:jc w:val="center"/>
              <w:ind w:right="139"/>
              <w:spacing w:after="0" w:line="175" w:lineRule="exact"/>
              <w:rPr>
                <w:sz w:val="20"/>
                <w:szCs w:val="20"/>
                <w:color w:val="auto"/>
              </w:rPr>
            </w:pPr>
            <w:r>
              <w:rPr>
                <w:rFonts w:ascii="Arial" w:cs="Arial" w:eastAsia="Arial" w:hAnsi="Arial"/>
                <w:sz w:val="16"/>
                <w:szCs w:val="16"/>
                <w:b w:val="1"/>
                <w:bCs w:val="1"/>
                <w:color w:val="auto"/>
                <w:w w:val="93"/>
              </w:rPr>
              <w:t>March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Transactions with Horseshoe Baltimore</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tcPr>
          <w:p>
            <w:pPr>
              <w:ind w:left="200"/>
              <w:spacing w:after="0"/>
              <w:rPr>
                <w:sz w:val="20"/>
                <w:szCs w:val="20"/>
                <w:color w:val="auto"/>
              </w:rPr>
            </w:pPr>
            <w:r>
              <w:rPr>
                <w:rFonts w:ascii="Arial" w:cs="Arial" w:eastAsia="Arial" w:hAnsi="Arial"/>
                <w:sz w:val="16"/>
                <w:szCs w:val="16"/>
                <w:color w:val="auto"/>
              </w:rPr>
              <w:t>Management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from/to Affiliates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due from or to affiliates for each counterparty represent the net receivable or payable as of the end of the reporting period primarily resulting from the transactions described above and settled on a net basis by each counterparty in accordance with the legal and contractual restrictions governing transactions by and among the Company’s consolidated entities.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Due from affiliates, net was $48 million and $44 million, respectively, and represented transactions with Horseshoe Baltimore and William Hill.</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Segment Information</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in addition to Corporate and Other. Following the Merger, the Company’s principal operating activities occur in three regionally-focused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and</w:t>
      </w:r>
    </w:p>
    <w:p>
      <w:pPr>
        <w:spacing w:after="0" w:line="2" w:lineRule="exact"/>
        <w:rPr>
          <w:sz w:val="20"/>
          <w:szCs w:val="20"/>
          <w:color w:val="auto"/>
        </w:rPr>
      </w:pPr>
    </w:p>
    <w:p>
      <w:pPr>
        <w:ind w:right="20" w:firstLine="8"/>
        <w:spacing w:after="0" w:line="260"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International, CIE, in addition to Corporate and Other. See table below for a summary of these segments. Also, see Note 3 and Note 6 for a discussion of the impairment of intangibles and long-lived assets related to certain segments.</w:t>
      </w:r>
    </w:p>
    <w:p>
      <w:pPr>
        <w:spacing w:after="0" w:line="33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5820" w:type="dxa"/>
            <w:vAlign w:val="bottom"/>
            <w:tcBorders>
              <w:bottom w:val="single" w:sz="8" w:color="auto"/>
            </w:tcBorders>
            <w:gridSpan w:val="2"/>
          </w:tcPr>
          <w:p>
            <w:pPr>
              <w:ind w:left="26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Managed, International, CIE</w:t>
            </w:r>
          </w:p>
        </w:tc>
      </w:tr>
      <w:tr>
        <w:trPr>
          <w:trHeight w:val="172"/>
        </w:trPr>
        <w:tc>
          <w:tcPr>
            <w:tcW w:w="2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29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3000" w:type="dxa"/>
            <w:vAlign w:val="bottom"/>
            <w:gridSpan w:val="2"/>
            <w:shd w:val="clear" w:color="auto" w:fill="CCEEFF"/>
          </w:tcPr>
          <w:p>
            <w:pPr>
              <w:ind w:left="8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74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6"/>
                <w:szCs w:val="16"/>
                <w:i w:val="1"/>
                <w:iCs w:val="1"/>
                <w:color w:val="auto"/>
              </w:rPr>
              <w:t>Managed</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292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r>
      <w:tr>
        <w:trPr>
          <w:trHeight w:val="216"/>
        </w:trPr>
        <w:tc>
          <w:tcPr>
            <w:tcW w:w="2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2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w w:val="98"/>
              </w:rPr>
              <w:t xml:space="preserve">Harrah’s Resort Southern California </w:t>
            </w:r>
            <w:r>
              <w:rPr>
                <w:rFonts w:ascii="Arial" w:cs="Arial" w:eastAsia="Arial" w:hAnsi="Arial"/>
                <w:sz w:val="21"/>
                <w:szCs w:val="21"/>
                <w:i w:val="1"/>
                <w:iCs w:val="1"/>
                <w:color w:val="auto"/>
                <w:w w:val="98"/>
                <w:vertAlign w:val="superscript"/>
              </w:rPr>
              <w:t>(a)</w:t>
            </w:r>
          </w:p>
        </w:tc>
      </w:tr>
      <w:tr>
        <w:trPr>
          <w:trHeight w:val="216"/>
        </w:trPr>
        <w:tc>
          <w:tcPr>
            <w:tcW w:w="2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2920" w:type="dxa"/>
            <w:vAlign w:val="bottom"/>
          </w:tcPr>
          <w:p>
            <w:pPr>
              <w:ind w:left="20"/>
              <w:spacing w:after="0"/>
              <w:rPr>
                <w:sz w:val="20"/>
                <w:szCs w:val="20"/>
                <w:color w:val="auto"/>
              </w:rPr>
            </w:pPr>
            <w:r>
              <w:rPr>
                <w:rFonts w:ascii="Arial" w:cs="Arial" w:eastAsia="Arial" w:hAnsi="Arial"/>
                <w:sz w:val="16"/>
                <w:szCs w:val="16"/>
                <w:color w:val="auto"/>
              </w:rPr>
              <w:t>Isle Casino Hotel - Black Hawk</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(a)(h)</w:t>
            </w: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(a)(b)(e)</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r>
      <w:tr>
        <w:trPr>
          <w:trHeight w:val="162"/>
        </w:trPr>
        <w:tc>
          <w:tcPr>
            <w:tcW w:w="2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Planet Hollywood Resort &amp; Casino</w:t>
            </w:r>
          </w:p>
        </w:tc>
        <w:tc>
          <w:tcPr>
            <w:tcW w:w="2920" w:type="dxa"/>
            <w:vAlign w:val="bottom"/>
          </w:tcPr>
          <w:p>
            <w:pPr>
              <w:ind w:left="20"/>
              <w:spacing w:after="0" w:line="162" w:lineRule="exact"/>
              <w:rPr>
                <w:sz w:val="20"/>
                <w:szCs w:val="20"/>
                <w:color w:val="auto"/>
              </w:rPr>
            </w:pPr>
            <w:r>
              <w:rPr>
                <w:rFonts w:ascii="Arial" w:cs="Arial" w:eastAsia="Arial" w:hAnsi="Arial"/>
                <w:sz w:val="16"/>
                <w:szCs w:val="16"/>
                <w:color w:val="auto"/>
              </w:rPr>
              <w:t>Isle Casino Waterloo</w:t>
            </w:r>
          </w:p>
        </w:tc>
        <w:tc>
          <w:tcPr>
            <w:tcW w:w="3000" w:type="dxa"/>
            <w:vAlign w:val="bottom"/>
            <w:gridSpan w:val="2"/>
          </w:tcPr>
          <w:p>
            <w:pPr>
              <w:ind w:left="80"/>
              <w:spacing w:after="0" w:line="162" w:lineRule="exact"/>
              <w:rPr>
                <w:sz w:val="20"/>
                <w:szCs w:val="20"/>
                <w:color w:val="auto"/>
              </w:rPr>
            </w:pPr>
            <w:r>
              <w:rPr>
                <w:rFonts w:ascii="Arial" w:cs="Arial" w:eastAsia="Arial" w:hAnsi="Arial"/>
                <w:sz w:val="14"/>
                <w:szCs w:val="14"/>
                <w:color w:val="auto"/>
              </w:rPr>
              <w:t xml:space="preserve">Harrah’s Council Bluffs </w:t>
            </w:r>
            <w:r>
              <w:rPr>
                <w:rFonts w:ascii="Arial" w:cs="Arial" w:eastAsia="Arial" w:hAnsi="Arial"/>
                <w:sz w:val="18"/>
                <w:szCs w:val="18"/>
                <w:i w:val="1"/>
                <w:iCs w:val="1"/>
                <w:color w:val="auto"/>
                <w:vertAlign w:val="superscript"/>
              </w:rPr>
              <w:t>(a)</w:t>
            </w:r>
          </w:p>
        </w:tc>
        <w:tc>
          <w:tcPr>
            <w:tcW w:w="2740" w:type="dxa"/>
            <w:vAlign w:val="bottom"/>
            <w:gridSpan w:val="5"/>
          </w:tcPr>
          <w:p>
            <w:pPr>
              <w:ind w:left="20"/>
              <w:spacing w:after="0" w:line="162" w:lineRule="exact"/>
              <w:rPr>
                <w:sz w:val="20"/>
                <w:szCs w:val="20"/>
                <w:color w:val="auto"/>
              </w:rPr>
            </w:pPr>
            <w:r>
              <w:rPr>
                <w:rFonts w:ascii="Arial" w:cs="Arial" w:eastAsia="Arial" w:hAnsi="Arial"/>
                <w:sz w:val="14"/>
                <w:szCs w:val="14"/>
                <w:color w:val="auto"/>
              </w:rPr>
              <w:t xml:space="preserve">Kings &amp; Queens Casino </w:t>
            </w:r>
            <w:r>
              <w:rPr>
                <w:rFonts w:ascii="Arial" w:cs="Arial" w:eastAsia="Arial" w:hAnsi="Arial"/>
                <w:sz w:val="18"/>
                <w:szCs w:val="18"/>
                <w:i w:val="1"/>
                <w:iCs w:val="1"/>
                <w:color w:val="auto"/>
                <w:vertAlign w:val="superscript"/>
              </w:rPr>
              <w:t>(a)</w:t>
            </w:r>
          </w:p>
        </w:tc>
      </w:tr>
      <w:tr>
        <w:trPr>
          <w:trHeight w:val="140"/>
        </w:trPr>
        <w:tc>
          <w:tcPr>
            <w:tcW w:w="2580" w:type="dxa"/>
            <w:vAlign w:val="bottom"/>
            <w:gridSpan w:val="2"/>
          </w:tcPr>
          <w:p>
            <w:pPr>
              <w:ind w:left="20"/>
              <w:spacing w:after="0"/>
              <w:rPr>
                <w:sz w:val="20"/>
                <w:szCs w:val="20"/>
                <w:color w:val="auto"/>
              </w:rPr>
            </w:pPr>
            <w:r>
              <w:rPr>
                <w:rFonts w:ascii="Arial" w:cs="Arial" w:eastAsia="Arial" w:hAnsi="Arial"/>
                <w:sz w:val="11"/>
                <w:szCs w:val="11"/>
                <w:i w:val="1"/>
                <w:iCs w:val="1"/>
                <w:color w:val="auto"/>
              </w:rPr>
              <w:t>(a)</w:t>
            </w:r>
          </w:p>
        </w:tc>
        <w:tc>
          <w:tcPr>
            <w:tcW w:w="2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24"/>
        </w:trPr>
        <w:tc>
          <w:tcPr>
            <w:tcW w:w="25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Bettendorf</w:t>
            </w:r>
          </w:p>
        </w:tc>
        <w:tc>
          <w:tcPr>
            <w:tcW w:w="3000" w:type="dxa"/>
            <w:vAlign w:val="bottom"/>
            <w:gridSpan w:val="2"/>
            <w:shd w:val="clear" w:color="auto" w:fill="CCEEFF"/>
          </w:tcPr>
          <w:p>
            <w:pPr>
              <w:ind w:left="80"/>
              <w:spacing w:after="0" w:line="224" w:lineRule="exact"/>
              <w:rPr>
                <w:sz w:val="20"/>
                <w:szCs w:val="20"/>
                <w:color w:val="auto"/>
              </w:rPr>
            </w:pPr>
            <w:r>
              <w:rPr>
                <w:rFonts w:ascii="Arial" w:cs="Arial" w:eastAsia="Arial" w:hAnsi="Arial"/>
                <w:sz w:val="16"/>
                <w:szCs w:val="16"/>
                <w:color w:val="auto"/>
              </w:rPr>
              <w:t xml:space="preserve">Harrah’s Gulf Coast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r>
      <w:tr>
        <w:trPr>
          <w:trHeight w:val="176"/>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ind w:left="20"/>
              <w:spacing w:after="0" w:line="175" w:lineRule="exact"/>
              <w:rPr>
                <w:sz w:val="20"/>
                <w:szCs w:val="20"/>
                <w:color w:val="auto"/>
              </w:rPr>
            </w:pPr>
            <w:r>
              <w:rPr>
                <w:rFonts w:ascii="Arial" w:cs="Arial" w:eastAsia="Arial" w:hAnsi="Arial"/>
                <w:sz w:val="16"/>
                <w:szCs w:val="16"/>
                <w:color w:val="auto"/>
              </w:rPr>
              <w:t>Isle of Capri Casino Boonville</w:t>
            </w:r>
          </w:p>
        </w:tc>
        <w:tc>
          <w:tcPr>
            <w:tcW w:w="3000" w:type="dxa"/>
            <w:vAlign w:val="bottom"/>
            <w:gridSpan w:val="2"/>
          </w:tcPr>
          <w:p>
            <w:pPr>
              <w:ind w:left="80"/>
              <w:spacing w:after="0" w:line="176" w:lineRule="exact"/>
              <w:rPr>
                <w:sz w:val="20"/>
                <w:szCs w:val="20"/>
                <w:color w:val="auto"/>
              </w:rPr>
            </w:pPr>
            <w:r>
              <w:rPr>
                <w:rFonts w:ascii="Arial" w:cs="Arial" w:eastAsia="Arial" w:hAnsi="Arial"/>
                <w:sz w:val="15"/>
                <w:szCs w:val="15"/>
                <w:color w:val="auto"/>
              </w:rPr>
              <w:t xml:space="preserve">Harrah’s Joliet </w:t>
            </w:r>
            <w:r>
              <w:rPr>
                <w:rFonts w:ascii="Arial" w:cs="Arial" w:eastAsia="Arial" w:hAnsi="Arial"/>
                <w:sz w:val="20"/>
                <w:szCs w:val="20"/>
                <w:i w:val="1"/>
                <w:iCs w:val="1"/>
                <w:color w:val="auto"/>
                <w:vertAlign w:val="superscript"/>
              </w:rPr>
              <w:t>(a)</w:t>
            </w:r>
          </w:p>
        </w:tc>
        <w:tc>
          <w:tcPr>
            <w:tcW w:w="274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International</w:t>
            </w: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Racing Pompano Park</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Cairo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Isle of Capri Casino Hotel Lake Charles</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(a)(b)(g)</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Ramses Casino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(i)</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Emerald Casino Resort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Alea Glasgow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 Casino Greenville</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Alea Nottingham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Empire Casino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Tropicana Casino and Resort, Atlantic City</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Manchester235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Playboy Club London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Lumière Place Casino</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(a)(b)(f)</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Rendezvous Brighton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(d)</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Sportsman </w:t>
            </w:r>
            <w:r>
              <w:rPr>
                <w:rFonts w:ascii="Arial" w:cs="Arial" w:eastAsia="Arial" w:hAnsi="Arial"/>
                <w:sz w:val="21"/>
                <w:szCs w:val="21"/>
                <w:i w:val="1"/>
                <w:iCs w:val="1"/>
                <w:color w:val="auto"/>
                <w:vertAlign w:val="superscript"/>
              </w:rPr>
              <w:t>(a)(b)</w:t>
            </w:r>
          </w:p>
        </w:tc>
      </w:tr>
      <w:tr>
        <w:trPr>
          <w:trHeight w:val="176"/>
        </w:trPr>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i w:val="1"/>
                <w:iCs w:val="1"/>
                <w:color w:val="auto"/>
              </w:rPr>
              <w:t>CIE</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79"/>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color w:val="auto"/>
              </w:rPr>
              <w:t xml:space="preserve">Caesars Interactive Entertainment </w:t>
            </w:r>
            <w:r>
              <w:rPr>
                <w:rFonts w:ascii="Arial" w:cs="Arial" w:eastAsia="Arial" w:hAnsi="Arial"/>
                <w:sz w:val="21"/>
                <w:szCs w:val="21"/>
                <w:i w:val="1"/>
                <w:iCs w:val="1"/>
                <w:color w:val="auto"/>
                <w:vertAlign w:val="superscript"/>
              </w:rPr>
              <w:t>(a)</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left="320" w:hanging="312"/>
        <w:spacing w:after="0" w:line="231" w:lineRule="auto"/>
        <w:tabs>
          <w:tab w:leader="none" w:pos="320" w:val="left"/>
        </w:tabs>
        <w:numPr>
          <w:ilvl w:val="0"/>
          <w:numId w:val="1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These properties were acquired from the Merger on July 20, 2020.</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As a result of the Merger, the sales of these properties met the requirements for presentation as discontinued operations as of March 31, 2021.</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 April 2020, the Company entered into an agreement to sell MontBleu. The sale of MontBleu closed on April 6, 2021.</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October 27, 2020, the Company entered into an agreement to sell Evansville, which is expected to close mid-2021.</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December 24, 2020, the Company entered into an agreement to sell Caesars Southern Indiana, which is expected to close in the third quarter of 2021.</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Company plans to enter into an agreement to sell Horseshoe Hammond prior to December 31, 2021.</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is expected to close in the third quarter of 2021.</w:t>
      </w:r>
    </w:p>
    <w:p>
      <w:pPr>
        <w:ind w:left="320" w:hanging="312"/>
        <w:spacing w:after="0" w:line="187" w:lineRule="auto"/>
        <w:tabs>
          <w:tab w:leader="none" w:pos="32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As of March 31, 2021, Horseshoe Baltimore was 44.3% owned by us and held as an equity-method investment.</w:t>
      </w:r>
    </w:p>
    <w:p>
      <w:pPr>
        <w:ind w:left="320" w:hanging="312"/>
        <w:spacing w:after="0" w:line="186" w:lineRule="auto"/>
        <w:tabs>
          <w:tab w:leader="none" w:pos="320"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On December 1, 2020, the Company entered into an agreement to sell Belle of Baton Rouge, which is expected to close in the third quarter of 2021.</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properties listed above, other domestic and international properties, including Harrah’s Northern California, are authorized to use the brands and marks of Caesars Entertainment, Inc. Additionally, certain of our properties operate off-track betting locations, including Hoosier Park, which operates Winner’s Circle Indianapolis and Winner’s Circle New Haven, and Indiana Grand,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three reportable segments. We recast previously reported segment amounts to conform to the way management assesses results and allocates resources for the current year.</w:t>
      </w:r>
    </w:p>
    <w:p>
      <w:pPr>
        <w:spacing w:after="0" w:line="1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Managed, International, CIE: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i w:val="1"/>
                <w:iCs w:val="1"/>
                <w:color w:val="auto"/>
              </w:rPr>
              <w:t>Corporate and Other: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 By Segment to Net Income (Loss) Attributable to Caesars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operating expenses and is comprised of net income (loss) before (i) interest expense, net of interest capitalized and interest income,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Managed, International, CIE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199"/>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Reconciliation to net income (loss) attributable to Caesars: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Benefit for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loss </w:t>
            </w:r>
            <w:r>
              <w:rPr>
                <w:rFonts w:ascii="Arial" w:cs="Arial" w:eastAsia="Arial" w:hAnsi="Arial"/>
                <w:sz w:val="21"/>
                <w:szCs w:val="21"/>
                <w:i w:val="1"/>
                <w:iCs w:val="1"/>
                <w:color w:val="auto"/>
                <w:vertAlign w:val="superscript"/>
              </w:rPr>
              <w:t>(a)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4" w:lineRule="auto"/>
        <w:tabs>
          <w:tab w:leader="none" w:pos="327"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loss for the three months ended March 31, 2021 primarily represents a loss on the change in fair value of the derivative liability related to the 5% Convertible Notes slightly offset by a gain on foreign currency exchange and investments held. Other (income) loss for the three months ended March 31, 2020 primarily represents change in fair value of the Company’s investments in William Hill PLC.</w:t>
      </w:r>
    </w:p>
    <w:p>
      <w:pPr>
        <w:spacing w:after="0" w:line="22" w:lineRule="exact"/>
        <w:rPr>
          <w:rFonts w:ascii="Arial" w:cs="Arial" w:eastAsia="Arial" w:hAnsi="Arial"/>
          <w:sz w:val="19"/>
          <w:szCs w:val="19"/>
          <w:i w:val="1"/>
          <w:iCs w:val="1"/>
          <w:color w:val="auto"/>
          <w:vertAlign w:val="superscript"/>
        </w:rPr>
      </w:pPr>
    </w:p>
    <w:p>
      <w:pPr>
        <w:ind w:left="340" w:hanging="332"/>
        <w:spacing w:after="0" w:line="221" w:lineRule="auto"/>
        <w:tabs>
          <w:tab w:leader="none" w:pos="327"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Transaction costs and other operating costs for the three months ended March 31, 2021 and 2020 primarily represent costs related to the William Hill Acquisition and the Merger, various contract or license termination exit costs, professional services, other acquisition costs and severance costs.</w:t>
      </w:r>
    </w:p>
    <w:p>
      <w:pPr>
        <w:ind w:left="320" w:hanging="312"/>
        <w:spacing w:after="0" w:line="186" w:lineRule="auto"/>
        <w:tabs>
          <w:tab w:leader="none" w:pos="320"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and business optimization expenses.</w:t>
      </w:r>
    </w:p>
    <w:p>
      <w:pPr>
        <w:spacing w:after="0" w:line="200" w:lineRule="exact"/>
        <w:rPr>
          <w:sz w:val="20"/>
          <w:szCs w:val="20"/>
          <w:color w:val="auto"/>
        </w:rPr>
      </w:pPr>
    </w:p>
    <w:p>
      <w:pPr>
        <w:spacing w:after="0" w:line="231"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 Net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Regional</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40"/>
        </w:trPr>
        <w:tc>
          <w:tcPr>
            <w:tcW w:w="2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Managed, International, CIE</w:t>
            </w:r>
          </w:p>
        </w:tc>
        <w:tc>
          <w:tcPr>
            <w:tcW w:w="4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21,454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21,464</w:t>
            </w:r>
          </w:p>
        </w:tc>
      </w:tr>
      <w:tr>
        <w:trPr>
          <w:trHeight w:val="246"/>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Regional</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13,732</w:t>
            </w:r>
          </w:p>
        </w:tc>
      </w:tr>
      <w:tr>
        <w:trPr>
          <w:trHeight w:val="240"/>
        </w:trPr>
        <w:tc>
          <w:tcPr>
            <w:tcW w:w="2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Managed, International, CIE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9"/>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07"/>
        </w:trPr>
        <w:tc>
          <w:tcPr>
            <w:tcW w:w="20" w:type="dxa"/>
            <w:vAlign w:val="bottom"/>
          </w:tcPr>
          <w:p>
            <w:pPr>
              <w:spacing w:after="0"/>
              <w:rPr>
                <w:sz w:val="17"/>
                <w:szCs w:val="17"/>
                <w:color w:val="auto"/>
              </w:rPr>
            </w:pPr>
          </w:p>
        </w:tc>
        <w:tc>
          <w:tcPr>
            <w:tcW w:w="77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tabs>
          <w:tab w:leader="none" w:pos="900" w:val="left"/>
        </w:tabs>
        <w:rPr>
          <w:sz w:val="20"/>
          <w:szCs w:val="20"/>
          <w:color w:val="auto"/>
        </w:rPr>
      </w:pPr>
      <w:r>
        <w:rPr>
          <w:rFonts w:ascii="Arial" w:cs="Arial" w:eastAsia="Arial" w:hAnsi="Arial"/>
          <w:sz w:val="22"/>
          <w:szCs w:val="22"/>
          <w:b w:val="1"/>
          <w:bCs w:val="1"/>
          <w:color w:val="BF2115"/>
        </w:rPr>
        <w:t>Item 2.</w:t>
      </w:r>
      <w:r>
        <w:rPr>
          <w:sz w:val="20"/>
          <w:szCs w:val="20"/>
          <w:color w:val="auto"/>
        </w:rPr>
        <w:tab/>
      </w:r>
      <w:r>
        <w:rPr>
          <w:rFonts w:ascii="Arial" w:cs="Arial" w:eastAsia="Arial" w:hAnsi="Arial"/>
          <w:sz w:val="19"/>
          <w:szCs w:val="19"/>
          <w:b w:val="1"/>
          <w:bCs w:val="1"/>
          <w:color w:val="BF2115"/>
        </w:rPr>
        <w:t>Management’s Discussion and Analysis of Financial Condition and Results of Operations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Caesars for the three months ended March 31, 2021 and 2020 should be read in conjunction with the unaudited consolidated condensed financial statements and the notes thereto and other financial information included elsewhere in this Form 10-Q as well as our Annual Report on Form 10-K for the fiscal year ended December 31, 2020 (“2020 Annual Report”). Capitalized terms used but not defined in this Form 10-Q have the same meanings as in the 2020 Annual Report.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Loss as our “Statements of Operations,” and (iv) our Consolidated Condensed Statements of Cash Flows as our “Statements of Cash Flows.” References to numbered “Notes” refer to Notes to Consolidated Condensed Financial Statements included in Item 1, “Unaudited Financial Statements.”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STATEMENTS”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We partnered with MGM Resorts International to build Silver Legacy Resort Casino in Reno, Nevada in 1993 and, beginning in 2005, we grew through a series of acquisitions, including the acquisition of Eldorado Resort Casino Shreveport (“Eldorado Shreveport”) in 2005, MTR Gaming Group, Inc. in 2014, Circus Circus Reno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20, 2020, we completed the merger with Caesars Entertainment Corporation (“Former Caesars”) pursuant to which Former Caesars became our wholly-owned subsidiary (the “Merger”).</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own, lease or manage an aggregate of 54 domestic properties in 16 states with approximately 54,600 slot machines, video lottery terminals (“VLTs”) and e-tables, approximately 3,200 table games and approximately 47,700 hotel rooms as of March 31, 2021.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that we will continue to own, lease or manage 48 properties. Our primary source of revenue is generated by gaming operations, and we utilize our hotels, restaurants, bars, entertainment, racing, sportsbook offerings, retail shops and other services to attract customers to our properties.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20 of our casinos and lease 28 casinos in the U.S. We lease 20 casinos from VICI Properties L.P., a Delaware limited partnership (“VICI”) pursuant to a regional lease, a Las Vegas lease and a Joliet lease. In addition, we lease seven casinos from GLP Capital, L.P., the operating partnership of Gaming and Leisure Properties, Inc. (“GLPI”) pursuant to a Master Lease (as</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amended, the “GLPI Master Lease”) and a Lumière lease. Additionally, we lease the Rio All-Suite Hotel &amp; Casino from a separate third party.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and are required to divest additional assets, in connection with regulatory approvals related to closing of the Merger. A summary of recently completed and planned divestitures of our properties as of March 31, 2021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920" w:type="dxa"/>
            <w:vAlign w:val="bottom"/>
            <w:tcBorders>
              <w:bottom w:val="single" w:sz="8" w:color="auto"/>
            </w:tcBorders>
          </w:tcPr>
          <w:p>
            <w:pPr>
              <w:ind w:left="214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Sold</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r>
      <w:tr>
        <w:trPr>
          <w:trHeight w:val="213"/>
        </w:trPr>
        <w:tc>
          <w:tcPr>
            <w:tcW w:w="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1, 2020</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Missouri</w:t>
            </w:r>
          </w:p>
        </w:tc>
      </w:tr>
      <w:tr>
        <w:trPr>
          <w:trHeight w:val="213"/>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Lady Luck Casino Vicksburg (“Vicksburg”)</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2020</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Mississippi</w:t>
            </w: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Eldorado Resort Casino Shreveport (“Eldorado Shreveport”)</w:t>
            </w:r>
          </w:p>
        </w:tc>
        <w:tc>
          <w:tcPr>
            <w:tcW w:w="2020" w:type="dxa"/>
            <w:vAlign w:val="bottom"/>
            <w:gridSpan w:val="2"/>
            <w:shd w:val="clear" w:color="auto" w:fill="CCEEFF"/>
          </w:tcPr>
          <w:p>
            <w:pPr>
              <w:jc w:val="center"/>
              <w:ind w:right="100"/>
              <w:spacing w:after="0" w:line="219" w:lineRule="exact"/>
              <w:rPr>
                <w:sz w:val="20"/>
                <w:szCs w:val="20"/>
                <w:color w:val="auto"/>
              </w:rPr>
            </w:pPr>
            <w:r>
              <w:rPr>
                <w:rFonts w:ascii="Arial" w:cs="Arial" w:eastAsia="Arial" w:hAnsi="Arial"/>
                <w:sz w:val="16"/>
                <w:szCs w:val="16"/>
                <w:color w:val="auto"/>
                <w:w w:val="88"/>
              </w:rPr>
              <w:t xml:space="preserve">December 23, 2020 </w:t>
            </w:r>
            <w:r>
              <w:rPr>
                <w:rFonts w:ascii="Arial" w:cs="Arial" w:eastAsia="Arial" w:hAnsi="Arial"/>
                <w:sz w:val="21"/>
                <w:szCs w:val="21"/>
                <w:i w:val="1"/>
                <w:iCs w:val="1"/>
                <w:color w:val="auto"/>
                <w:w w:val="88"/>
                <w:vertAlign w:val="superscript"/>
              </w:rPr>
              <w:t>(a)</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Louisiana</w:t>
            </w: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02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3"/>
              </w:rPr>
              <w:t xml:space="preserve">April 6, 2021 </w:t>
            </w:r>
            <w:r>
              <w:rPr>
                <w:rFonts w:ascii="Arial" w:cs="Arial" w:eastAsia="Arial" w:hAnsi="Arial"/>
                <w:sz w:val="21"/>
                <w:szCs w:val="21"/>
                <w:i w:val="1"/>
                <w:iCs w:val="1"/>
                <w:color w:val="auto"/>
                <w:w w:val="93"/>
                <w:vertAlign w:val="superscript"/>
              </w:rPr>
              <w:t>(a)</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Nevada</w:t>
            </w: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Tropicana Evansville (“Evansville”)</w:t>
            </w:r>
          </w:p>
        </w:tc>
        <w:tc>
          <w:tcPr>
            <w:tcW w:w="202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i w:val="1"/>
                <w:iCs w:val="1"/>
                <w:color w:val="auto"/>
              </w:rPr>
              <w:t xml:space="preserve"> (b)</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Indiana</w:t>
            </w: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02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2"/>
              </w:rPr>
              <w:t xml:space="preserve">N/A </w:t>
            </w:r>
            <w:r>
              <w:rPr>
                <w:rFonts w:ascii="Arial" w:cs="Arial" w:eastAsia="Arial" w:hAnsi="Arial"/>
                <w:sz w:val="21"/>
                <w:szCs w:val="21"/>
                <w:i w:val="1"/>
                <w:iCs w:val="1"/>
                <w:color w:val="auto"/>
                <w:w w:val="92"/>
                <w:vertAlign w:val="superscript"/>
              </w:rPr>
              <w:t>(c)</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Louisiana</w:t>
            </w:r>
          </w:p>
        </w:tc>
      </w:tr>
      <w:tr>
        <w:trPr>
          <w:trHeight w:val="216"/>
        </w:trPr>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2480" w:type="dxa"/>
            <w:vAlign w:val="bottom"/>
            <w:gridSpan w:val="3"/>
          </w:tcPr>
          <w:p>
            <w:pPr>
              <w:spacing w:after="0" w:line="176" w:lineRule="exact"/>
              <w:rPr>
                <w:sz w:val="20"/>
                <w:szCs w:val="20"/>
                <w:color w:val="auto"/>
              </w:rPr>
            </w:pPr>
            <w:r>
              <w:rPr>
                <w:rFonts w:ascii="Arial" w:cs="Arial" w:eastAsia="Arial" w:hAnsi="Arial"/>
                <w:sz w:val="15"/>
                <w:szCs w:val="15"/>
                <w:i w:val="1"/>
                <w:iCs w:val="1"/>
                <w:color w:val="auto"/>
              </w:rPr>
              <w:t xml:space="preserve">Discontinued operations </w:t>
            </w:r>
            <w:r>
              <w:rPr>
                <w:rFonts w:ascii="Arial" w:cs="Arial" w:eastAsia="Arial" w:hAnsi="Arial"/>
                <w:sz w:val="20"/>
                <w:szCs w:val="20"/>
                <w:i w:val="1"/>
                <w:iCs w:val="1"/>
                <w:color w:val="auto"/>
                <w:vertAlign w:val="superscript"/>
              </w:rPr>
              <w:t>(d)</w:t>
            </w:r>
            <w:r>
              <w:rPr>
                <w:rFonts w:ascii="Arial" w:cs="Arial" w:eastAsia="Arial" w:hAnsi="Arial"/>
                <w:sz w:val="15"/>
                <w:szCs w:val="15"/>
                <w:i w:val="1"/>
                <w:iCs w:val="1"/>
                <w:color w:val="auto"/>
              </w:rPr>
              <w:t>:</w:t>
            </w: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Harrah’s Louisiana Downs</w:t>
            </w:r>
          </w:p>
        </w:tc>
        <w:tc>
          <w:tcPr>
            <w:tcW w:w="202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i w:val="1"/>
                <w:iCs w:val="1"/>
                <w:color w:val="auto"/>
                <w:w w:val="91"/>
                <w:vertAlign w:val="superscript"/>
              </w:rPr>
              <w:t>(e)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Louisiana</w:t>
            </w: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Caesars Southern Indiana</w:t>
            </w:r>
          </w:p>
        </w:tc>
        <w:tc>
          <w:tcPr>
            <w:tcW w:w="2020" w:type="dxa"/>
            <w:vAlign w:val="bottom"/>
            <w:gridSpan w:val="2"/>
          </w:tcPr>
          <w:p>
            <w:pPr>
              <w:jc w:val="center"/>
              <w:ind w:right="100"/>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i w:val="1"/>
                <w:iCs w:val="1"/>
                <w:color w:val="auto"/>
              </w:rPr>
              <w:t xml:space="preserve"> (b)(f)</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Indiana</w:t>
            </w: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Horseshoe Hammond</w:t>
            </w:r>
          </w:p>
        </w:tc>
        <w:tc>
          <w:tcPr>
            <w:tcW w:w="202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i w:val="1"/>
                <w:iCs w:val="1"/>
                <w:color w:val="auto"/>
                <w:w w:val="91"/>
                <w:vertAlign w:val="superscript"/>
              </w:rPr>
              <w:t>(b)</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Indiana</w:t>
            </w:r>
          </w:p>
        </w:tc>
      </w:tr>
      <w:tr>
        <w:trPr>
          <w:trHeight w:val="213"/>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6"/>
                <w:szCs w:val="16"/>
                <w:color w:val="auto"/>
              </w:rPr>
              <w:t>Managed, International, CIE</w:t>
            </w: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Emerald Resort &amp; Casino</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South Africa</w:t>
            </w: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Managed, International, CIE</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Entertainment UK</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United Kingdom</w:t>
            </w:r>
          </w:p>
        </w:tc>
      </w:tr>
      <w:tr>
        <w:trPr>
          <w:trHeight w:val="258"/>
        </w:trPr>
        <w:tc>
          <w:tcPr>
            <w:tcW w:w="162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34" w:lineRule="exact"/>
        <w:rPr>
          <w:sz w:val="20"/>
          <w:szCs w:val="20"/>
          <w:color w:val="auto"/>
        </w:rPr>
      </w:pPr>
    </w:p>
    <w:p>
      <w:pPr>
        <w:jc w:val="both"/>
        <w:ind w:left="340" w:hanging="332"/>
        <w:spacing w:after="0" w:line="232" w:lineRule="auto"/>
        <w:tabs>
          <w:tab w:leader="none" w:pos="327"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April 24, 2020, we entered into a definitive purchase agreement with Bally’s Corporation (formerly Twin River Worldwide Holdings, Inc.) and certain of its affiliates for the sale of the equity interests of Eldorado Resort Casino Shreveport Joint Venture and Columbia Properties Tahoe, LLC, the entities that hold Eldorado Shreveport and MontBleu for aggregate consideration of $155 million, subject to a customary working capital adjustment. The sale of Eldorado Shreveport closed on December 23, 2020 and the sale of MontBleu closed on April 6, 2021. MontBleu met the requirements for presentation as assets held for sale and its results of operations are included in income from continuing operations in the periods presented. As a result of the agreement to sell MontBleu, an impairment charge totaling $45 million was recorded during the three months ended March 31, 2020 due to the carrying value exceeding the estimated net sales proceeds from the sale.</w:t>
      </w:r>
    </w:p>
    <w:p>
      <w:pPr>
        <w:spacing w:after="0" w:line="36" w:lineRule="exact"/>
        <w:rPr>
          <w:rFonts w:ascii="Arial" w:cs="Arial" w:eastAsia="Arial" w:hAnsi="Arial"/>
          <w:sz w:val="19"/>
          <w:szCs w:val="19"/>
          <w:i w:val="1"/>
          <w:iCs w:val="1"/>
          <w:color w:val="auto"/>
          <w:vertAlign w:val="superscript"/>
        </w:rPr>
      </w:pPr>
    </w:p>
    <w:p>
      <w:pPr>
        <w:jc w:val="both"/>
        <w:ind w:left="340" w:hanging="332"/>
        <w:spacing w:after="0" w:line="253" w:lineRule="auto"/>
        <w:tabs>
          <w:tab w:leader="none" w:pos="327" w:val="left"/>
        </w:tabs>
        <w:numPr>
          <w:ilvl w:val="0"/>
          <w:numId w:val="17"/>
        </w:numPr>
        <w:rPr>
          <w:rFonts w:ascii="Arial" w:cs="Arial" w:eastAsia="Arial" w:hAnsi="Arial"/>
          <w:sz w:val="17"/>
          <w:szCs w:val="17"/>
          <w:i w:val="1"/>
          <w:iCs w:val="1"/>
          <w:color w:val="auto"/>
          <w:vertAlign w:val="superscript"/>
        </w:rPr>
      </w:pPr>
      <w:r>
        <w:rPr>
          <w:rFonts w:ascii="Arial" w:cs="Arial" w:eastAsia="Arial" w:hAnsi="Arial"/>
          <w:sz w:val="13"/>
          <w:szCs w:val="13"/>
          <w:color w:val="auto"/>
        </w:rPr>
        <w:t>In connection with its review of the Merger, the Indiana Gaming Commission determined on July 16, 2020 that, as a condition to their approval of the Merger, we are required to divest three properties within the state of Indiana in order to avoid undue economic concentration. On October 27, 2020, the Company entered into an agreement to sell Evansville to GLPI and Bally’s Corporation for $480 million in cash, subject to a customary working capital adjustment. The sale is subject to satisfaction of customary conditions, including receipt of required regulatory approvals and is expected to close in mid-2021. In addition, on December 24, 2020, the Company entered into an agreement to divest of Caesars Southern Indiana (see (f) below). We expect to enter into an agreement to sell Horseshoe Hammond prior to December 31, 2021. Evansville met the requirements for presentation as assets held for sale as of March 31, 2021.</w:t>
      </w:r>
    </w:p>
    <w:p>
      <w:pPr>
        <w:spacing w:after="0" w:line="27" w:lineRule="exact"/>
        <w:rPr>
          <w:rFonts w:ascii="Arial" w:cs="Arial" w:eastAsia="Arial" w:hAnsi="Arial"/>
          <w:sz w:val="17"/>
          <w:szCs w:val="17"/>
          <w:i w:val="1"/>
          <w:iCs w:val="1"/>
          <w:color w:val="auto"/>
          <w:vertAlign w:val="superscript"/>
        </w:rPr>
      </w:pPr>
    </w:p>
    <w:p>
      <w:pPr>
        <w:jc w:val="both"/>
        <w:ind w:left="340" w:hanging="332"/>
        <w:spacing w:after="0" w:line="224" w:lineRule="auto"/>
        <w:tabs>
          <w:tab w:leader="none" w:pos="336"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December 1, 2020, the Company entered into an agreement to sell the Baton Rouge to CQ Holding Company, Inc. Pursuant to the terms of the GLPI Master Lease, Baton Rouge will be removed from the GLPI Master Lease, and the rent payments to GLPI will remain unchanged. The transaction is expected to close in the third quarter of 2021 and is subject to regulatory approvals and other customary closing conditions.</w:t>
      </w:r>
    </w:p>
    <w:p>
      <w:pPr>
        <w:spacing w:after="0" w:line="35"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color w:val="auto"/>
        </w:rPr>
        <w:t>These Former Caesars properties met held for sale criteria as of the acquisition date. The sales of these properties have or are expected to close within one year and the properties are classified as discontinued operations as of March 31, 2021.</w:t>
      </w:r>
    </w:p>
    <w:p>
      <w:pPr>
        <w:spacing w:after="0" w:line="34" w:lineRule="exact"/>
        <w:rPr>
          <w:rFonts w:ascii="Arial" w:cs="Arial" w:eastAsia="Arial" w:hAnsi="Arial"/>
          <w:sz w:val="19"/>
          <w:szCs w:val="19"/>
          <w:i w:val="1"/>
          <w:iCs w:val="1"/>
          <w:color w:val="auto"/>
          <w:vertAlign w:val="superscript"/>
        </w:rPr>
      </w:pPr>
    </w:p>
    <w:p>
      <w:pPr>
        <w:jc w:val="both"/>
        <w:ind w:left="340" w:hanging="332"/>
        <w:spacing w:after="0" w:line="224" w:lineRule="auto"/>
        <w:tabs>
          <w:tab w:leader="none" w:pos="336" w:val="left"/>
        </w:tabs>
        <w:numPr>
          <w:ilvl w:val="0"/>
          <w:numId w:val="17"/>
        </w:numPr>
        <w:rPr>
          <w:rFonts w:ascii="Arial" w:cs="Arial" w:eastAsia="Arial" w:hAnsi="Arial"/>
          <w:sz w:val="19"/>
          <w:szCs w:val="19"/>
          <w:i w:val="1"/>
          <w:iCs w:val="1"/>
          <w:color w:val="212529"/>
          <w:vertAlign w:val="superscript"/>
        </w:rPr>
      </w:pPr>
      <w:r>
        <w:rPr>
          <w:rFonts w:ascii="Arial" w:cs="Arial" w:eastAsia="Arial" w:hAnsi="Arial"/>
          <w:sz w:val="14"/>
          <w:szCs w:val="14"/>
          <w:color w:val="auto"/>
        </w:rPr>
        <w:t>On September 3, 2020, we and VICI entered into agreement with Rubico Acquisition Corp. to sell Harrah’s Louisiana Downs for $22 million, subject to a customary working capital adjustment, where the proceeds will be split between us and VICI. The sale is subject to satisfaction of customary conditions, including receipt of required regulatory approvals and is expected to close in the third quarter of 2021.</w:t>
      </w:r>
    </w:p>
    <w:p>
      <w:pPr>
        <w:spacing w:after="0" w:line="35" w:lineRule="exact"/>
        <w:rPr>
          <w:rFonts w:ascii="Arial" w:cs="Arial" w:eastAsia="Arial" w:hAnsi="Arial"/>
          <w:sz w:val="19"/>
          <w:szCs w:val="19"/>
          <w:i w:val="1"/>
          <w:iCs w:val="1"/>
          <w:color w:val="212529"/>
          <w:vertAlign w:val="superscript"/>
        </w:rPr>
      </w:pPr>
    </w:p>
    <w:p>
      <w:pPr>
        <w:jc w:val="both"/>
        <w:ind w:left="340" w:hanging="332"/>
        <w:spacing w:after="0" w:line="251" w:lineRule="auto"/>
        <w:tabs>
          <w:tab w:leader="none" w:pos="334" w:val="left"/>
        </w:tabs>
        <w:numPr>
          <w:ilvl w:val="0"/>
          <w:numId w:val="17"/>
        </w:numPr>
        <w:rPr>
          <w:rFonts w:ascii="Arial" w:cs="Arial" w:eastAsia="Arial" w:hAnsi="Arial"/>
          <w:sz w:val="17"/>
          <w:szCs w:val="17"/>
          <w:i w:val="1"/>
          <w:iCs w:val="1"/>
          <w:color w:val="auto"/>
          <w:vertAlign w:val="superscript"/>
        </w:rPr>
      </w:pPr>
      <w:r>
        <w:rPr>
          <w:rFonts w:ascii="Arial" w:cs="Arial" w:eastAsia="Arial" w:hAnsi="Arial"/>
          <w:sz w:val="13"/>
          <w:szCs w:val="13"/>
          <w:color w:val="auto"/>
        </w:rPr>
        <w:t>On December 24, 2020, the Company entered into agreement to sell Caesars Southern Indiana to the Eastern Band of Cherokee Indians (“EBCI”) for $250 million, subject to a customary working capital adjustment. Caesar’s annual payments to VICI under the regional lease will decline by $33 million upon closing of the transaction. Additionally, effective as of the closing of the transaction, Caesars and EBCI are expected to enter into a long-term agreement for the continued use of the Caesars brand and Caesars Rewards loyalty program at Caesars Southern Indiana. The sale is subject to satisfaction of customary conditions, including receipt of required regulatory approvals and is expected to close in the third quarter of 2021.</w:t>
      </w:r>
    </w:p>
    <w:p>
      <w:pPr>
        <w:spacing w:after="0" w:line="34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Merger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20, 2020, the Merger was consummated and Former Caesars became a wholly-owned subsidiary of ours. The strategic rationale for the Merger includes, but is not limited to, the following:</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following the Merger our domestic and international footprint has expanded as we own, lease or manage an aggregate of 54 domestic properties in 16 states and have international operations in five countries outside of the U.S. as of March 31, 2021. We also have other domestic and international properties that are authorized to use the brands and marks of Caesars Entertainment, Inc., as well as other non-gaming properties.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recognized acquisition-related transaction costs of $12 million and $9 million for the three months ended March 31, 2021 and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Acquisition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entered into a 25-year agreement, which became effective January 29, 2019, with William Hill PLC and William Hill U.S. Holdco, Inc. (“William Hill US”), its U.S. subsidiary (together, “William Hill”) which granted to William Hill the right to conduct betting activities, including operating certain of our sportsbooks, in retail channels under certain skins for online channels with respect to our current and future properties, and conduct real money online gaming activities. We received a 20% ownership interest in William Hill US initially valued at approximately $129 million. We also received 13 million ordinary shares of William Hill PLC, which were subject to restrictions on timing of sale, with an initial value of approximately $27 million in January 2019. The time restrictions on approximately 6 million shares expire within the next twelve months and are classified as current. Our profit and losses attributable to William Hill US are included in Transaction costs and other operating costs on the Statements of Operations. We granted William Hill the right to the use of certain skins in exchange for an equity method investment. The fair value of the William Hill US and William Hill PLC shares received has been deferred and is recognized as revenue on a straight-line basis over the 25-year agreement term. The amortization of deferred revenues associated with our equity interests is included in other revenue within our Corporate and Other segment. Additionally, we receive a profit share from the operations of sports betting and other gaming activities associated with our properties.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of </w:t>
      </w:r>
      <w:r>
        <w:rPr>
          <w:rFonts w:ascii="Arial" w:cs="Arial" w:eastAsia="Arial" w:hAnsi="Arial"/>
          <w:sz w:val="16"/>
          <w:szCs w:val="16"/>
          <w:color w:val="212529"/>
        </w:rPr>
        <w:t>approximately £2.9 billion (the “William Hill Acquisition”)</w:t>
      </w:r>
      <w:r>
        <w:rPr>
          <w:rFonts w:ascii="Arial" w:cs="Arial" w:eastAsia="Arial" w:hAnsi="Arial"/>
          <w:sz w:val="16"/>
          <w:szCs w:val="16"/>
          <w:color w:val="auto"/>
        </w:rPr>
        <w:t xml:space="preserve">. In order to </w:t>
      </w:r>
      <w:r>
        <w:rPr>
          <w:rFonts w:ascii="Arial" w:cs="Arial" w:eastAsia="Arial" w:hAnsi="Arial"/>
          <w:sz w:val="16"/>
          <w:szCs w:val="16"/>
          <w:color w:val="212529"/>
        </w:rPr>
        <w:t>manage the risk of appreciation of the GBP denominated</w:t>
      </w:r>
      <w:r>
        <w:rPr>
          <w:rFonts w:ascii="Arial" w:cs="Arial" w:eastAsia="Arial" w:hAnsi="Arial"/>
          <w:sz w:val="16"/>
          <w:szCs w:val="16"/>
          <w:color w:val="auto"/>
        </w:rPr>
        <w:t xml:space="preserve"> </w:t>
      </w:r>
      <w:r>
        <w:rPr>
          <w:rFonts w:ascii="Arial" w:cs="Arial" w:eastAsia="Arial" w:hAnsi="Arial"/>
          <w:sz w:val="16"/>
          <w:szCs w:val="16"/>
          <w:color w:val="212529"/>
        </w:rPr>
        <w:t xml:space="preserve">purchase price the Company entered into foreign exchange forward contracts. On March 25, 2021, the remaining outstanding forward contract was settled, for which the Company received $41 million in proceeds and recorded a net gain of $1 million during the </w:t>
      </w:r>
      <w:r>
        <w:rPr>
          <w:rFonts w:ascii="Arial" w:cs="Arial" w:eastAsia="Arial" w:hAnsi="Arial"/>
          <w:sz w:val="16"/>
          <w:szCs w:val="16"/>
          <w:color w:val="000000"/>
        </w:rPr>
        <w:t>three</w:t>
      </w:r>
      <w:r>
        <w:rPr>
          <w:rFonts w:ascii="Arial" w:cs="Arial" w:eastAsia="Arial" w:hAnsi="Arial"/>
          <w:sz w:val="16"/>
          <w:szCs w:val="16"/>
          <w:color w:val="212529"/>
        </w:rPr>
        <w:t xml:space="preserve"> months ended </w:t>
      </w:r>
      <w:r>
        <w:rPr>
          <w:rFonts w:ascii="Arial" w:cs="Arial" w:eastAsia="Arial" w:hAnsi="Arial"/>
          <w:sz w:val="16"/>
          <w:szCs w:val="16"/>
          <w:color w:val="000000"/>
        </w:rPr>
        <w:t>March 31, 2021</w:t>
      </w:r>
      <w:r>
        <w:rPr>
          <w:rFonts w:ascii="Arial" w:cs="Arial" w:eastAsia="Arial" w:hAnsi="Arial"/>
          <w:sz w:val="16"/>
          <w:szCs w:val="16"/>
          <w:color w:val="212529"/>
        </w:rPr>
        <w:t>.</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29, 2020, the Company entered into a debt financing commitment letter pursuant to which the lenders party thereto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which commitment letter was amended and restated on December 11, 2020 in order to join additional lenders as parties thereto.</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Pending negotiation of the definitive loan agreement for the Debt Financing, on October 6, 2020, a newly formed subsidiary of the Company entered into a £1.5 billion Interim Facilities Agreement (the “Interim Facilities Agreement”) with Deutsche Bank AG, London Branch and JPMorgan Chase Bank, N.A. to provide: (a) a 90-day £1.0 billion interim asset sale bridge facility and (b) a 90-day £503 million interim cash confirmation bridge facility, which Interim Facilities Agreement was amended and restated on December 11, 2020 in order to join additional lenders as parties thereto.</w:t>
      </w:r>
    </w:p>
    <w:p>
      <w:pPr>
        <w:spacing w:after="0" w:line="33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 xml:space="preserve">On April 20, 2021, a UK Court sanctioned the William Hill Acquisition and on April 22, 2021, the Company completed the acquisition for approximately </w:t>
      </w:r>
      <w:r>
        <w:rPr>
          <w:rFonts w:ascii="Arial" w:cs="Arial" w:eastAsia="Arial" w:hAnsi="Arial"/>
          <w:sz w:val="18"/>
          <w:szCs w:val="18"/>
          <w:color w:val="212529"/>
        </w:rPr>
        <w:t>£2.9 billion, or approximately $4.0 billion.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 xml:space="preserve">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w:t>
      </w:r>
      <w:r>
        <w:rPr>
          <w:rFonts w:ascii="Arial" w:cs="Arial" w:eastAsia="Arial" w:hAnsi="Arial"/>
          <w:sz w:val="16"/>
          <w:szCs w:val="16"/>
          <w:color w:val="000000"/>
        </w:rPr>
        <w:t>The Bridge Credit Agreement provides for (a) a 540-day £1.0 billion asset sale</w:t>
      </w:r>
      <w:r>
        <w:rPr>
          <w:rFonts w:ascii="Arial" w:cs="Arial" w:eastAsia="Arial" w:hAnsi="Arial"/>
          <w:sz w:val="16"/>
          <w:szCs w:val="16"/>
          <w:color w:val="212529"/>
        </w:rPr>
        <w:t xml:space="preserve"> </w:t>
      </w:r>
      <w:r>
        <w:rPr>
          <w:rFonts w:ascii="Arial" w:cs="Arial" w:eastAsia="Arial" w:hAnsi="Arial"/>
          <w:sz w:val="16"/>
          <w:szCs w:val="16"/>
          <w:color w:val="000000"/>
        </w:rPr>
        <w:t xml:space="preserve">bridge facility, (b) a 60-day £503 million cash confirmation bridge facility and (c) a 540-day £116 million revolving credit facility. </w:t>
      </w:r>
      <w:r>
        <w:rPr>
          <w:rFonts w:ascii="Arial" w:cs="Arial" w:eastAsia="Arial" w:hAnsi="Arial"/>
          <w:sz w:val="16"/>
          <w:szCs w:val="16"/>
          <w:color w:val="212529"/>
        </w:rPr>
        <w:t>The proceeds of the</w:t>
      </w:r>
      <w:r>
        <w:rPr>
          <w:rFonts w:ascii="Arial" w:cs="Arial" w:eastAsia="Arial" w:hAnsi="Arial"/>
          <w:sz w:val="16"/>
          <w:szCs w:val="16"/>
          <w:color w:val="000000"/>
        </w:rPr>
        <w:t xml:space="preserve"> </w:t>
      </w:r>
      <w:r>
        <w:rPr>
          <w:rFonts w:ascii="Arial" w:cs="Arial" w:eastAsia="Arial" w:hAnsi="Arial"/>
          <w:sz w:val="16"/>
          <w:szCs w:val="16"/>
          <w:color w:val="212529"/>
        </w:rPr>
        <w:t xml:space="preserve">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will be used for working capital and general corporate purposes. The Interim Facilities Agreement was terminated upon the execution of the Bridge Credit Agreement for the Debt Financing. </w:t>
      </w:r>
      <w:r>
        <w:rPr>
          <w:rFonts w:ascii="Arial" w:cs="Arial" w:eastAsia="Arial" w:hAnsi="Arial"/>
          <w:sz w:val="16"/>
          <w:szCs w:val="16"/>
          <w:color w:val="000000"/>
        </w:rPr>
        <w:t>The Bridge Credit Agreement is included within William Hill’s non-U.S. operations which is expected to be divested.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Group/Flutter Entertainment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we entered into a 20-year agreement with The Stars Group Inc., which was subsequently acquired by Flutter Entertainment PLC (“Flutter”) to provide options to obtain access to our second skin for online sports wagering and third skin for real money online gaming and poker with respect to our properties in the U.S. Under the terms of the agreement, we received common shares, as a revenue share from certain operations of Flutter under our licenses. The fair value of the shares received has been deferred and is recognized as revenue on a straight-line basis over the 20-year agreement term.</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and December 31, 2020, the fair value of shares held was $10 million and is included in Prepayments and other current assets on the Balance Sheets. The Company recorded an unrealized gain of less than a million during the three months ended March 31, 2021, and an unrealized loss of $3 million during the three months ended March 31, 2020, which were included in Other income (loss) on the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have made cash contributions totaling $1 million and have contributed land. On February 12, 2021, we contributed an additional 186 acres to the joint venture for a fair value of $61 million. Total contributions of approximately 206 acres of land have been made with a fair value of approximately $69 million and we have no further obligation to contribute additional real estate or cash as of March 31, 2021. We entered into a lease agreement in February 2021 to lease back a portion of the land from the joint venture.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costs and other operating costs on the Statements of Operations. Our investment in the joint venture is recorded in Investment in and advances to unconsolidated affiliates on the Balance Sheets.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5720" w:type="dxa"/>
            <w:vAlign w:val="bottom"/>
            <w:tcBorders>
              <w:bottom w:val="single" w:sz="8" w:color="auto"/>
            </w:tcBorders>
            <w:gridSpan w:val="2"/>
          </w:tcPr>
          <w:p>
            <w:pPr>
              <w:ind w:left="256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Managed, International, CIE</w:t>
            </w:r>
          </w:p>
        </w:tc>
      </w:tr>
      <w:tr>
        <w:trPr>
          <w:trHeight w:val="172"/>
        </w:trPr>
        <w:tc>
          <w:tcPr>
            <w:tcW w:w="25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28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2940" w:type="dxa"/>
            <w:vAlign w:val="bottom"/>
            <w:gridSpan w:val="2"/>
            <w:shd w:val="clear" w:color="auto" w:fill="CCEEFF"/>
          </w:tcPr>
          <w:p>
            <w:pPr>
              <w:ind w:left="8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90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6"/>
                <w:szCs w:val="16"/>
                <w:i w:val="1"/>
                <w:iCs w:val="1"/>
                <w:color w:val="auto"/>
              </w:rPr>
              <w:t>Managed</w:t>
            </w:r>
          </w:p>
        </w:tc>
      </w:tr>
      <w:tr>
        <w:trPr>
          <w:trHeight w:val="21"/>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5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288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r>
      <w:tr>
        <w:trPr>
          <w:trHeight w:val="216"/>
        </w:trPr>
        <w:tc>
          <w:tcPr>
            <w:tcW w:w="2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r>
      <w:tr>
        <w:trPr>
          <w:trHeight w:val="216"/>
        </w:trPr>
        <w:tc>
          <w:tcPr>
            <w:tcW w:w="25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r>
      <w:tr>
        <w:trPr>
          <w:trHeight w:val="216"/>
        </w:trPr>
        <w:tc>
          <w:tcPr>
            <w:tcW w:w="2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Resort Southern California </w:t>
            </w:r>
            <w:r>
              <w:rPr>
                <w:rFonts w:ascii="Arial" w:cs="Arial" w:eastAsia="Arial" w:hAnsi="Arial"/>
                <w:sz w:val="21"/>
                <w:szCs w:val="21"/>
                <w:i w:val="1"/>
                <w:iCs w:val="1"/>
                <w:color w:val="auto"/>
                <w:vertAlign w:val="superscript"/>
              </w:rPr>
              <w:t>(a)</w:t>
            </w:r>
          </w:p>
        </w:tc>
      </w:tr>
      <w:tr>
        <w:trPr>
          <w:trHeight w:val="216"/>
        </w:trPr>
        <w:tc>
          <w:tcPr>
            <w:tcW w:w="25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2880" w:type="dxa"/>
            <w:vAlign w:val="bottom"/>
          </w:tcPr>
          <w:p>
            <w:pPr>
              <w:ind w:left="20"/>
              <w:spacing w:after="0"/>
              <w:rPr>
                <w:sz w:val="20"/>
                <w:szCs w:val="20"/>
                <w:color w:val="auto"/>
              </w:rPr>
            </w:pPr>
            <w:r>
              <w:rPr>
                <w:rFonts w:ascii="Arial" w:cs="Arial" w:eastAsia="Arial" w:hAnsi="Arial"/>
                <w:sz w:val="16"/>
                <w:szCs w:val="16"/>
                <w:color w:val="auto"/>
              </w:rPr>
              <w:t>Isle Casino Hotel - Black Hawk</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(a)(h)</w:t>
            </w:r>
          </w:p>
        </w:tc>
      </w:tr>
      <w:tr>
        <w:trPr>
          <w:trHeight w:val="216"/>
        </w:trPr>
        <w:tc>
          <w:tcPr>
            <w:tcW w:w="2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(a)(b)(e)</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Planet Hollywood Resort &amp; Casino</w:t>
            </w:r>
          </w:p>
        </w:tc>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Isle Casino Waterloo</w:t>
            </w:r>
          </w:p>
        </w:tc>
        <w:tc>
          <w:tcPr>
            <w:tcW w:w="2940" w:type="dxa"/>
            <w:vAlign w:val="bottom"/>
            <w:gridSpan w:val="2"/>
          </w:tcPr>
          <w:p>
            <w:pPr>
              <w:ind w:left="80"/>
              <w:spacing w:after="0" w:line="162" w:lineRule="exact"/>
              <w:rPr>
                <w:sz w:val="20"/>
                <w:szCs w:val="20"/>
                <w:color w:val="auto"/>
              </w:rPr>
            </w:pPr>
            <w:r>
              <w:rPr>
                <w:rFonts w:ascii="Arial" w:cs="Arial" w:eastAsia="Arial" w:hAnsi="Arial"/>
                <w:sz w:val="14"/>
                <w:szCs w:val="14"/>
                <w:color w:val="auto"/>
              </w:rPr>
              <w:t xml:space="preserve">Harrah’s Council Bluffs </w:t>
            </w:r>
            <w:r>
              <w:rPr>
                <w:rFonts w:ascii="Arial" w:cs="Arial" w:eastAsia="Arial" w:hAnsi="Arial"/>
                <w:sz w:val="18"/>
                <w:szCs w:val="18"/>
                <w:i w:val="1"/>
                <w:iCs w:val="1"/>
                <w:color w:val="auto"/>
                <w:vertAlign w:val="superscript"/>
              </w:rPr>
              <w:t>(a)</w:t>
            </w:r>
          </w:p>
        </w:tc>
        <w:tc>
          <w:tcPr>
            <w:tcW w:w="2900" w:type="dxa"/>
            <w:vAlign w:val="bottom"/>
            <w:gridSpan w:val="5"/>
          </w:tcPr>
          <w:p>
            <w:pPr>
              <w:ind w:left="20"/>
              <w:spacing w:after="0" w:line="162" w:lineRule="exact"/>
              <w:rPr>
                <w:sz w:val="20"/>
                <w:szCs w:val="20"/>
                <w:color w:val="auto"/>
              </w:rPr>
            </w:pPr>
            <w:r>
              <w:rPr>
                <w:rFonts w:ascii="Arial" w:cs="Arial" w:eastAsia="Arial" w:hAnsi="Arial"/>
                <w:sz w:val="14"/>
                <w:szCs w:val="14"/>
                <w:color w:val="auto"/>
              </w:rPr>
              <w:t xml:space="preserve">Kings &amp; Queens Casino </w:t>
            </w:r>
            <w:r>
              <w:rPr>
                <w:rFonts w:ascii="Arial" w:cs="Arial" w:eastAsia="Arial" w:hAnsi="Arial"/>
                <w:sz w:val="18"/>
                <w:szCs w:val="18"/>
                <w:i w:val="1"/>
                <w:iCs w:val="1"/>
                <w:color w:val="auto"/>
                <w:vertAlign w:val="superscript"/>
              </w:rPr>
              <w:t>(a)</w:t>
            </w:r>
          </w:p>
        </w:tc>
      </w:tr>
      <w:tr>
        <w:trPr>
          <w:trHeight w:val="140"/>
        </w:trPr>
        <w:tc>
          <w:tcPr>
            <w:tcW w:w="2520" w:type="dxa"/>
            <w:vAlign w:val="bottom"/>
            <w:gridSpan w:val="2"/>
          </w:tcPr>
          <w:p>
            <w:pPr>
              <w:ind w:left="20"/>
              <w:spacing w:after="0"/>
              <w:rPr>
                <w:sz w:val="20"/>
                <w:szCs w:val="20"/>
                <w:color w:val="auto"/>
              </w:rPr>
            </w:pPr>
            <w:r>
              <w:rPr>
                <w:rFonts w:ascii="Arial" w:cs="Arial" w:eastAsia="Arial" w:hAnsi="Arial"/>
                <w:sz w:val="11"/>
                <w:szCs w:val="11"/>
                <w:i w:val="1"/>
                <w:iCs w:val="1"/>
                <w:color w:val="auto"/>
              </w:rPr>
              <w:t>(a)</w:t>
            </w:r>
          </w:p>
        </w:tc>
        <w:tc>
          <w:tcPr>
            <w:tcW w:w="2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24"/>
        </w:trPr>
        <w:tc>
          <w:tcPr>
            <w:tcW w:w="252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Bettendorf</w:t>
            </w:r>
          </w:p>
        </w:tc>
        <w:tc>
          <w:tcPr>
            <w:tcW w:w="2940" w:type="dxa"/>
            <w:vAlign w:val="bottom"/>
            <w:gridSpan w:val="2"/>
            <w:shd w:val="clear" w:color="auto" w:fill="CCEEFF"/>
          </w:tcPr>
          <w:p>
            <w:pPr>
              <w:ind w:left="80"/>
              <w:spacing w:after="0" w:line="224" w:lineRule="exact"/>
              <w:rPr>
                <w:sz w:val="20"/>
                <w:szCs w:val="20"/>
                <w:color w:val="auto"/>
              </w:rPr>
            </w:pPr>
            <w:r>
              <w:rPr>
                <w:rFonts w:ascii="Arial" w:cs="Arial" w:eastAsia="Arial" w:hAnsi="Arial"/>
                <w:sz w:val="16"/>
                <w:szCs w:val="16"/>
                <w:color w:val="auto"/>
              </w:rPr>
              <w:t xml:space="preserve">Harrah’s Gulf Coast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r>
      <w:tr>
        <w:trPr>
          <w:trHeight w:val="175"/>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ind w:left="20"/>
              <w:spacing w:after="0" w:line="175" w:lineRule="exact"/>
              <w:rPr>
                <w:sz w:val="20"/>
                <w:szCs w:val="20"/>
                <w:color w:val="auto"/>
              </w:rPr>
            </w:pPr>
            <w:r>
              <w:rPr>
                <w:rFonts w:ascii="Arial" w:cs="Arial" w:eastAsia="Arial" w:hAnsi="Arial"/>
                <w:sz w:val="16"/>
                <w:szCs w:val="16"/>
                <w:color w:val="auto"/>
              </w:rPr>
              <w:t>Isle of Capri Casino Boonville</w:t>
            </w:r>
          </w:p>
        </w:tc>
        <w:tc>
          <w:tcPr>
            <w:tcW w:w="2940" w:type="dxa"/>
            <w:vAlign w:val="bottom"/>
            <w:gridSpan w:val="2"/>
          </w:tcPr>
          <w:p>
            <w:pPr>
              <w:ind w:left="80"/>
              <w:spacing w:after="0" w:line="176" w:lineRule="exact"/>
              <w:rPr>
                <w:sz w:val="20"/>
                <w:szCs w:val="20"/>
                <w:color w:val="auto"/>
              </w:rPr>
            </w:pPr>
            <w:r>
              <w:rPr>
                <w:rFonts w:ascii="Arial" w:cs="Arial" w:eastAsia="Arial" w:hAnsi="Arial"/>
                <w:sz w:val="15"/>
                <w:szCs w:val="15"/>
                <w:color w:val="auto"/>
              </w:rPr>
              <w:t xml:space="preserve">Harrah’s Joliet </w:t>
            </w:r>
            <w:r>
              <w:rPr>
                <w:rFonts w:ascii="Arial" w:cs="Arial" w:eastAsia="Arial" w:hAnsi="Arial"/>
                <w:sz w:val="20"/>
                <w:szCs w:val="20"/>
                <w:i w:val="1"/>
                <w:iCs w:val="1"/>
                <w:color w:val="auto"/>
                <w:vertAlign w:val="superscript"/>
              </w:rPr>
              <w:t>(a)</w:t>
            </w:r>
          </w:p>
        </w:tc>
        <w:tc>
          <w:tcPr>
            <w:tcW w:w="290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International</w:t>
            </w:r>
          </w:p>
        </w:tc>
      </w:tr>
      <w:tr>
        <w:trPr>
          <w:trHeight w:val="21"/>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Racing Pompano Park</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Cairo </w:t>
            </w:r>
            <w:r>
              <w:rPr>
                <w:rFonts w:ascii="Arial" w:cs="Arial" w:eastAsia="Arial" w:hAnsi="Arial"/>
                <w:sz w:val="21"/>
                <w:szCs w:val="21"/>
                <w:i w:val="1"/>
                <w:iCs w:val="1"/>
                <w:color w:val="auto"/>
                <w:vertAlign w:val="superscript"/>
              </w:rPr>
              <w:t>(a)(b)</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Hotel Lake Charles</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(a)(b)(g)</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Ramses Casino </w:t>
            </w:r>
            <w:r>
              <w:rPr>
                <w:rFonts w:ascii="Arial" w:cs="Arial" w:eastAsia="Arial" w:hAnsi="Arial"/>
                <w:sz w:val="21"/>
                <w:szCs w:val="21"/>
                <w:i w:val="1"/>
                <w:iCs w:val="1"/>
                <w:color w:val="auto"/>
                <w:vertAlign w:val="superscript"/>
              </w:rPr>
              <w:t>(a)(b)</w:t>
            </w: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(i)</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Emerald Casino Resort </w:t>
            </w:r>
            <w:r>
              <w:rPr>
                <w:rFonts w:ascii="Arial" w:cs="Arial" w:eastAsia="Arial" w:hAnsi="Arial"/>
                <w:sz w:val="21"/>
                <w:szCs w:val="21"/>
                <w:i w:val="1"/>
                <w:iCs w:val="1"/>
                <w:color w:val="auto"/>
                <w:vertAlign w:val="superscript"/>
              </w:rPr>
              <w:t>(a)(b)</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Alea Glasgow </w:t>
            </w:r>
            <w:r>
              <w:rPr>
                <w:rFonts w:ascii="Arial" w:cs="Arial" w:eastAsia="Arial" w:hAnsi="Arial"/>
                <w:sz w:val="21"/>
                <w:szCs w:val="21"/>
                <w:i w:val="1"/>
                <w:iCs w:val="1"/>
                <w:color w:val="auto"/>
                <w:vertAlign w:val="superscript"/>
              </w:rPr>
              <w:t>(a)(b)</w:t>
            </w: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 Casino Greenville</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Alea Nottingham </w:t>
            </w:r>
            <w:r>
              <w:rPr>
                <w:rFonts w:ascii="Arial" w:cs="Arial" w:eastAsia="Arial" w:hAnsi="Arial"/>
                <w:sz w:val="21"/>
                <w:szCs w:val="21"/>
                <w:i w:val="1"/>
                <w:iCs w:val="1"/>
                <w:color w:val="auto"/>
                <w:vertAlign w:val="superscript"/>
              </w:rPr>
              <w:t>(a)(b)</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Empire Casino </w:t>
            </w:r>
            <w:r>
              <w:rPr>
                <w:rFonts w:ascii="Arial" w:cs="Arial" w:eastAsia="Arial" w:hAnsi="Arial"/>
                <w:sz w:val="21"/>
                <w:szCs w:val="21"/>
                <w:i w:val="1"/>
                <w:iCs w:val="1"/>
                <w:color w:val="auto"/>
                <w:vertAlign w:val="superscript"/>
              </w:rPr>
              <w:t>(a)(b)</w:t>
            </w: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Tropicana Casino and Resort, Atlantic City</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Manchester235 </w:t>
            </w:r>
            <w:r>
              <w:rPr>
                <w:rFonts w:ascii="Arial" w:cs="Arial" w:eastAsia="Arial" w:hAnsi="Arial"/>
                <w:sz w:val="21"/>
                <w:szCs w:val="21"/>
                <w:i w:val="1"/>
                <w:iCs w:val="1"/>
                <w:color w:val="auto"/>
                <w:vertAlign w:val="superscript"/>
              </w:rPr>
              <w:t>(a)(b)</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Playboy Club London </w:t>
            </w:r>
            <w:r>
              <w:rPr>
                <w:rFonts w:ascii="Arial" w:cs="Arial" w:eastAsia="Arial" w:hAnsi="Arial"/>
                <w:sz w:val="21"/>
                <w:szCs w:val="21"/>
                <w:i w:val="1"/>
                <w:iCs w:val="1"/>
                <w:color w:val="auto"/>
                <w:vertAlign w:val="superscript"/>
              </w:rPr>
              <w:t>(a)(b)</w:t>
            </w: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Lumière Place Casino</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(a)(b)(f)</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Rendezvous Brighton </w:t>
            </w:r>
            <w:r>
              <w:rPr>
                <w:rFonts w:ascii="Arial" w:cs="Arial" w:eastAsia="Arial" w:hAnsi="Arial"/>
                <w:sz w:val="21"/>
                <w:szCs w:val="21"/>
                <w:i w:val="1"/>
                <w:iCs w:val="1"/>
                <w:color w:val="auto"/>
                <w:vertAlign w:val="superscript"/>
              </w:rPr>
              <w:t>(a)(b)</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(d)</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Sportsman </w:t>
            </w:r>
            <w:r>
              <w:rPr>
                <w:rFonts w:ascii="Arial" w:cs="Arial" w:eastAsia="Arial" w:hAnsi="Arial"/>
                <w:sz w:val="21"/>
                <w:szCs w:val="21"/>
                <w:i w:val="1"/>
                <w:iCs w:val="1"/>
                <w:color w:val="auto"/>
                <w:vertAlign w:val="superscript"/>
              </w:rPr>
              <w:t>(a)(b)</w:t>
            </w:r>
          </w:p>
        </w:tc>
      </w:tr>
      <w:tr>
        <w:trPr>
          <w:trHeight w:val="175"/>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0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i w:val="1"/>
                <w:iCs w:val="1"/>
                <w:color w:val="auto"/>
              </w:rPr>
              <w:t>CIE</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279"/>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ind w:left="20"/>
              <w:spacing w:after="0"/>
              <w:rPr>
                <w:sz w:val="20"/>
                <w:szCs w:val="20"/>
                <w:color w:val="auto"/>
              </w:rPr>
            </w:pPr>
            <w:r>
              <w:rPr>
                <w:rFonts w:ascii="Arial" w:cs="Arial" w:eastAsia="Arial" w:hAnsi="Arial"/>
                <w:sz w:val="16"/>
                <w:szCs w:val="16"/>
                <w:color w:val="auto"/>
              </w:rPr>
              <w:t xml:space="preserve">Caesars Interactive Entertainment </w:t>
            </w:r>
            <w:r>
              <w:rPr>
                <w:rFonts w:ascii="Arial" w:cs="Arial" w:eastAsia="Arial" w:hAnsi="Arial"/>
                <w:sz w:val="21"/>
                <w:szCs w:val="21"/>
                <w:i w:val="1"/>
                <w:iCs w:val="1"/>
                <w:color w:val="auto"/>
                <w:vertAlign w:val="superscript"/>
              </w:rPr>
              <w:t>(a)</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left="320" w:hanging="312"/>
        <w:spacing w:after="0" w:line="231" w:lineRule="auto"/>
        <w:tabs>
          <w:tab w:leader="none" w:pos="320"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These properties were acquired from the Merger on July 20, 2020.</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As a result of the Merger, these properties met the requirements for presentation as discontinued operations as of March 31,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 April 2020, the Company entered into an agreement to sell MontBleu. The sale of MontBleu closed on April 6,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October 27, 2020, the Company entered into an agreement to sell Evansville, which is expected to close mid-2021.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December 24, 2020, the Company entered into an agreement to sell Caesars Southern Indiana, which is expected to close in the third quarter of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Company plans to enter into an agreement to sell Horseshoe Hammond prior to December 31,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is expected to close in the third quarter of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As of March 31, 2021, Horseshoe Baltimore was 44.3% owned by us and held as an equity-method investment.</w:t>
      </w:r>
    </w:p>
    <w:p>
      <w:pPr>
        <w:ind w:left="320" w:hanging="312"/>
        <w:spacing w:after="0" w:line="186" w:lineRule="auto"/>
        <w:tabs>
          <w:tab w:leader="none" w:pos="320"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On December 1, 2020, the Company entered into an agreement to sell Belle of Baton Rouge, which is expected to close in the third quarter of 2021.</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in addition to Corporate and Other. Following the Merger, our principal operating activities occur in three regionally-focused reportable segments: (1) Las Vegas, (2) Regional, and (3) Managed, International, CIE, in addition to Corporate and Other.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w:t>
      </w:r>
    </w:p>
    <w:p>
      <w:pPr>
        <w:spacing w:after="0" w:line="200" w:lineRule="exact"/>
        <w:rPr>
          <w:sz w:val="20"/>
          <w:szCs w:val="20"/>
          <w:color w:val="auto"/>
        </w:rPr>
      </w:pPr>
    </w:p>
    <w:p>
      <w:pPr>
        <w:spacing w:after="0" w:line="30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information included in this Item 2 for the period after our acquisition of Former Caesars on July 20, 2020 is not fully comparable to the periods prior to the acquisition. In addition, the presentation of financial information herein for the periods after the Company’s sales of various properties are not fully comparable to the periods prior to their respective sale dates.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condensed financial statements and the notes to those statements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three months ended March 31, 2020 has been reclassified to Casino and pari-mutuel commissions expense and General and administrative expense based on the nature of the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venues, retail shops, racing and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and Significant Factors Impacting Financial Results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summary highlights recent developments and significant factors impacting our financial results for the three months ended March 31, 2021 and 2020.</w:t>
      </w:r>
    </w:p>
    <w:p>
      <w:pPr>
        <w:spacing w:after="0" w:line="116" w:lineRule="exact"/>
        <w:rPr>
          <w:sz w:val="20"/>
          <w:szCs w:val="20"/>
          <w:color w:val="auto"/>
        </w:rPr>
      </w:pPr>
    </w:p>
    <w:p>
      <w:pPr>
        <w:jc w:val="both"/>
        <w:ind w:left="660" w:hanging="328"/>
        <w:spacing w:after="0" w:line="273" w:lineRule="auto"/>
        <w:tabs>
          <w:tab w:leader="none" w:pos="65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COVID-19 Public Health Emergency – </w:t>
      </w:r>
      <w:r>
        <w:rPr>
          <w:rFonts w:ascii="Arial" w:cs="Arial" w:eastAsia="Arial" w:hAnsi="Arial"/>
          <w:sz w:val="17"/>
          <w:szCs w:val="17"/>
          <w:color w:val="auto"/>
        </w:rPr>
        <w:t>In January 2020, an outbreak of a new strain of coronavirus (“COVID-19”) was identified and has since</w:t>
      </w:r>
      <w:r>
        <w:rPr>
          <w:rFonts w:ascii="Arial" w:cs="Arial" w:eastAsia="Arial" w:hAnsi="Arial"/>
          <w:sz w:val="17"/>
          <w:szCs w:val="17"/>
          <w:i w:val="1"/>
          <w:iCs w:val="1"/>
          <w:color w:val="auto"/>
        </w:rPr>
        <w:t xml:space="preserve"> </w:t>
      </w:r>
      <w:r>
        <w:rPr>
          <w:rFonts w:ascii="Arial" w:cs="Arial" w:eastAsia="Arial" w:hAnsi="Arial"/>
          <w:sz w:val="17"/>
          <w:szCs w:val="17"/>
          <w:color w:val="auto"/>
        </w:rPr>
        <w:t>spread throughout much of the world, including the U.S. All of our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We have resumed certain operations at substantially all of our properties as of March 31, 2021, with the exception of Isle of Capri Casino Hotel Lake Charles (“Lake Charles”) which was severely damaged by Hurricane Laura (as described below), and many of our international properties.</w:t>
      </w:r>
    </w:p>
    <w:p>
      <w:pPr>
        <w:spacing w:after="0" w:line="123" w:lineRule="exact"/>
        <w:rPr>
          <w:rFonts w:ascii="Arial" w:cs="Arial" w:eastAsia="Arial" w:hAnsi="Arial"/>
          <w:sz w:val="17"/>
          <w:szCs w:val="17"/>
          <w:b w:val="1"/>
          <w:bCs w:val="1"/>
          <w:i w:val="1"/>
          <w:iCs w:val="1"/>
          <w:color w:val="auto"/>
        </w:rPr>
      </w:pPr>
    </w:p>
    <w:p>
      <w:pPr>
        <w:jc w:val="both"/>
        <w:ind w:left="660"/>
        <w:spacing w:after="0" w:line="255" w:lineRule="auto"/>
        <w:rPr>
          <w:rFonts w:ascii="Arial" w:cs="Arial" w:eastAsia="Arial" w:hAnsi="Arial"/>
          <w:sz w:val="17"/>
          <w:szCs w:val="17"/>
          <w:b w:val="1"/>
          <w:bCs w:val="1"/>
          <w:i w:val="1"/>
          <w:iCs w:val="1"/>
          <w:color w:val="auto"/>
        </w:rPr>
      </w:pPr>
      <w:r>
        <w:rPr>
          <w:rFonts w:ascii="Arial" w:cs="Arial" w:eastAsia="Arial" w:hAnsi="Arial"/>
          <w:sz w:val="18"/>
          <w:szCs w:val="18"/>
          <w:color w:val="auto"/>
        </w:rPr>
        <w:t>We continued to pay our full-time employees through April 10, 2020, including tips and tokens. Effective April 11, 2020, we furloughed approximately 90% of our employees, implemented salary reductions and committed to continue to provide benefits to our employees during their furloughed period. A portion of our workforce has returned to service as the properties have resumed with limited capacities and in compliance with operating restrictions imposed by governmental or tribal orders, directives, and guidelines. Due to a triggering event resulting from the COVID-19 public health emergency, we recognized impairment charges of $116 million related to goodwill and trade names (described below) during the three months ended March 31, 2020.</w:t>
      </w:r>
    </w:p>
    <w:p>
      <w:pPr>
        <w:spacing w:after="0" w:line="138" w:lineRule="exact"/>
        <w:rPr>
          <w:rFonts w:ascii="Arial" w:cs="Arial" w:eastAsia="Arial" w:hAnsi="Arial"/>
          <w:sz w:val="17"/>
          <w:szCs w:val="17"/>
          <w:b w:val="1"/>
          <w:bCs w:val="1"/>
          <w:i w:val="1"/>
          <w:iCs w:val="1"/>
          <w:color w:val="auto"/>
        </w:rPr>
      </w:pPr>
    </w:p>
    <w:p>
      <w:pPr>
        <w:jc w:val="both"/>
        <w:ind w:left="660"/>
        <w:spacing w:after="0" w:line="257" w:lineRule="auto"/>
        <w:rPr>
          <w:rFonts w:ascii="Arial" w:cs="Arial" w:eastAsia="Arial" w:hAnsi="Arial"/>
          <w:sz w:val="17"/>
          <w:szCs w:val="17"/>
          <w:b w:val="1"/>
          <w:bCs w:val="1"/>
          <w:i w:val="1"/>
          <w:iCs w:val="1"/>
          <w:color w:val="auto"/>
        </w:rPr>
      </w:pPr>
      <w:r>
        <w:rPr>
          <w:rFonts w:ascii="Arial" w:cs="Arial" w:eastAsia="Arial" w:hAnsi="Arial"/>
          <w:sz w:val="18"/>
          <w:szCs w:val="18"/>
          <w:color w:val="auto"/>
        </w:rPr>
        <w:t>The COVID-19 public health emergency has had, and continues to have, a material adverse effect on the Company’s business, financial condition and results of operations for the three months ended March 31, 2021 and 2020. As a result, the terms of our debt arrangements provide that the financial covenant measurement period is not effective through September 30, 2021, so long as we comply with a minimum liquidity requirement. In addition, on March 19, 2021, the Company filed a lawsuit against its insurance carriers for losses attributed to the COVID-19 public health emergency.</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p>
      <w:pPr>
        <w:jc w:val="both"/>
        <w:ind w:left="660"/>
        <w:spacing w:after="0" w:line="254" w:lineRule="auto"/>
        <w:rPr>
          <w:sz w:val="20"/>
          <w:szCs w:val="20"/>
          <w:color w:val="auto"/>
        </w:rPr>
      </w:pPr>
      <w:r>
        <w:rPr>
          <w:rFonts w:ascii="Arial" w:cs="Arial" w:eastAsia="Arial" w:hAnsi="Arial"/>
          <w:sz w:val="18"/>
          <w:szCs w:val="18"/>
          <w:color w:val="auto"/>
        </w:rPr>
        <w:t>The extent of the ongoing and future effects of the COVID-19 public health emergency on our business and the casino resort industry generally is uncertain, but we expect that it will continue to have a significant impact on our business, results of operations and financial condition. The extent and duration of the impact of the COVID-19 public health emergency will ultimately depend on future developments, including but not limited to, the duration and severity of the outbreak, restrictions on operations imposed by governmental authorities, the potential for authorities reimposing stay at home orders or additional restrictions in response to continued developments with the COVID-19 public health emergency, our ability to adapt to evolving operating procedures, the impact on consumer demand and discretionary spending, the length of time it takes for demand to return, the efficacy and availability of vaccines, and our ability to adjust our cost structures for the duration of the outbreak’s effect on our operations.</w:t>
      </w:r>
    </w:p>
    <w:p>
      <w:pPr>
        <w:spacing w:after="0" w:line="138" w:lineRule="exact"/>
        <w:rPr>
          <w:sz w:val="20"/>
          <w:szCs w:val="20"/>
          <w:color w:val="auto"/>
        </w:rPr>
      </w:pPr>
    </w:p>
    <w:p>
      <w:pPr>
        <w:jc w:val="both"/>
        <w:ind w:left="660" w:hanging="328"/>
        <w:spacing w:after="0" w:line="296" w:lineRule="auto"/>
        <w:tabs>
          <w:tab w:leader="none" w:pos="655" w:val="left"/>
        </w:tabs>
        <w:numPr>
          <w:ilvl w:val="0"/>
          <w:numId w:val="21"/>
        </w:numPr>
        <w:rPr>
          <w:rFonts w:ascii="Arial" w:cs="Arial" w:eastAsia="Arial" w:hAnsi="Arial"/>
          <w:sz w:val="16"/>
          <w:szCs w:val="16"/>
          <w:b w:val="1"/>
          <w:bCs w:val="1"/>
          <w:color w:val="auto"/>
          <w:strike w:val="1"/>
        </w:rPr>
      </w:pPr>
      <w:r>
        <w:rPr>
          <w:rFonts w:ascii="Arial" w:cs="Arial" w:eastAsia="Arial" w:hAnsi="Arial"/>
          <w:sz w:val="16"/>
          <w:szCs w:val="16"/>
          <w:i w:val="1"/>
          <w:iCs w:val="1"/>
          <w:color w:val="auto"/>
        </w:rPr>
        <w:t xml:space="preserve">Caesars Acquisition </w:t>
      </w:r>
      <w:r>
        <w:rPr>
          <w:rFonts w:ascii="Arial" w:cs="Arial" w:eastAsia="Arial" w:hAnsi="Arial"/>
          <w:sz w:val="16"/>
          <w:szCs w:val="16"/>
          <w:color w:val="auto"/>
        </w:rPr>
        <w:t>– The Merger closed on July 20, 2020 and, as a result, we own, lease or manage an aggregate of 54 domestic properties in 16</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and have international operations in five countries outside of the U.S. as of March 31, 2021. We also have other domestic and international properties that are authorized to use the brands and marks of Caesars Entertainment, Inc., as well as other non-gaming properties. See “Reportable Segments” above for a description of our revised segments following the Merger. Transaction costs related to our acquisition of Former Caesars totaled $12 million and $9 million for the three months ended March 31, 2021 and 2020, respectively.</w:t>
      </w:r>
    </w:p>
    <w:p>
      <w:pPr>
        <w:spacing w:after="0" w:line="107" w:lineRule="exact"/>
        <w:rPr>
          <w:rFonts w:ascii="Arial" w:cs="Arial" w:eastAsia="Arial" w:hAnsi="Arial"/>
          <w:sz w:val="16"/>
          <w:szCs w:val="16"/>
          <w:b w:val="1"/>
          <w:bCs w:val="1"/>
          <w:color w:val="auto"/>
          <w:strike w:val="1"/>
        </w:rPr>
      </w:pPr>
    </w:p>
    <w:p>
      <w:pPr>
        <w:jc w:val="both"/>
        <w:ind w:left="660" w:hanging="328"/>
        <w:spacing w:after="0" w:line="311" w:lineRule="auto"/>
        <w:tabs>
          <w:tab w:leader="none" w:pos="655" w:val="left"/>
        </w:tabs>
        <w:numPr>
          <w:ilvl w:val="0"/>
          <w:numId w:val="2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Discontinued Operations </w:t>
      </w:r>
      <w:r>
        <w:rPr>
          <w:rFonts w:ascii="Arial" w:cs="Arial" w:eastAsia="Arial" w:hAnsi="Arial"/>
          <w:sz w:val="16"/>
          <w:szCs w:val="16"/>
          <w:color w:val="auto"/>
        </w:rPr>
        <w:t>– As result of the Merger, Former Caesars properties, including Harrah’s Louisiana Downs, Caesars Southern Indiana,</w:t>
      </w:r>
      <w:r>
        <w:rPr>
          <w:rFonts w:ascii="Arial" w:cs="Arial" w:eastAsia="Arial" w:hAnsi="Arial"/>
          <w:sz w:val="16"/>
          <w:szCs w:val="16"/>
          <w:i w:val="1"/>
          <w:iCs w:val="1"/>
          <w:color w:val="auto"/>
        </w:rPr>
        <w:t xml:space="preserve"> </w:t>
      </w:r>
      <w:r>
        <w:rPr>
          <w:rFonts w:ascii="Arial" w:cs="Arial" w:eastAsia="Arial" w:hAnsi="Arial"/>
          <w:sz w:val="16"/>
          <w:szCs w:val="16"/>
          <w:color w:val="auto"/>
        </w:rPr>
        <w:t>Horseshoe Hammond, and the Caesars UK group, including Emerald Resort &amp; Casino, have met held for sale criteria as of the date of the closing of the Merger. The sales of these properties are expected to close within one year and the properties are classified as discontinued operations.</w:t>
      </w:r>
    </w:p>
    <w:p>
      <w:pPr>
        <w:spacing w:after="0" w:line="94" w:lineRule="exact"/>
        <w:rPr>
          <w:rFonts w:ascii="Arial" w:cs="Arial" w:eastAsia="Arial" w:hAnsi="Arial"/>
          <w:sz w:val="16"/>
          <w:szCs w:val="16"/>
          <w:b w:val="1"/>
          <w:bCs w:val="1"/>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b w:val="1"/>
          <w:bCs w:val="1"/>
          <w:i w:val="1"/>
          <w:iCs w:val="1"/>
          <w:color w:val="212529"/>
        </w:rPr>
      </w:pPr>
      <w:r>
        <w:rPr>
          <w:rFonts w:ascii="Arial" w:cs="Arial" w:eastAsia="Arial" w:hAnsi="Arial"/>
          <w:sz w:val="18"/>
          <w:szCs w:val="18"/>
          <w:i w:val="1"/>
          <w:iCs w:val="1"/>
          <w:color w:val="auto"/>
        </w:rPr>
        <w:t xml:space="preserve">William Hill Acquisition – </w:t>
      </w:r>
      <w:r>
        <w:rPr>
          <w:rFonts w:ascii="Arial" w:cs="Arial" w:eastAsia="Arial" w:hAnsi="Arial"/>
          <w:sz w:val="18"/>
          <w:szCs w:val="18"/>
          <w:color w:val="auto"/>
        </w:rPr>
        <w:t>On April 22, 2021, the Company consummated its previously announced acquisition of the entire issued and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share capital (other than shares owned by the Company or held in treasury) of William Hill PLC, in an all-cash transaction of approximately £2.9 billion </w:t>
      </w:r>
      <w:r>
        <w:rPr>
          <w:rFonts w:ascii="Arial" w:cs="Arial" w:eastAsia="Arial" w:hAnsi="Arial"/>
          <w:sz w:val="18"/>
          <w:szCs w:val="18"/>
          <w:color w:val="212529"/>
        </w:rPr>
        <w:t>or approximately $4.0 billion (the “William Hill Acquisition”).</w:t>
      </w:r>
      <w:r>
        <w:rPr>
          <w:rFonts w:ascii="Arial" w:cs="Arial" w:eastAsia="Arial" w:hAnsi="Arial"/>
          <w:sz w:val="18"/>
          <w:szCs w:val="18"/>
          <w:color w:val="auto"/>
        </w:rPr>
        <w:t xml:space="preserve"> We recognized acquisition-related transaction costs of approximately $5 million for the three months ended March 31, 2021.</w:t>
      </w:r>
    </w:p>
    <w:p>
      <w:pPr>
        <w:spacing w:after="0" w:line="132" w:lineRule="exact"/>
        <w:rPr>
          <w:rFonts w:ascii="Arial" w:cs="Arial" w:eastAsia="Arial" w:hAnsi="Arial"/>
          <w:sz w:val="18"/>
          <w:szCs w:val="18"/>
          <w:b w:val="1"/>
          <w:bCs w:val="1"/>
          <w:i w:val="1"/>
          <w:iCs w:val="1"/>
          <w:color w:val="212529"/>
        </w:rPr>
      </w:pPr>
    </w:p>
    <w:p>
      <w:pPr>
        <w:jc w:val="both"/>
        <w:ind w:left="660" w:hanging="328"/>
        <w:spacing w:after="0" w:line="279" w:lineRule="auto"/>
        <w:tabs>
          <w:tab w:leader="none" w:pos="655" w:val="left"/>
        </w:tabs>
        <w:numPr>
          <w:ilvl w:val="0"/>
          <w:numId w:val="21"/>
        </w:numPr>
        <w:rPr>
          <w:rFonts w:ascii="Arial" w:cs="Arial" w:eastAsia="Arial" w:hAnsi="Arial"/>
          <w:sz w:val="17"/>
          <w:szCs w:val="17"/>
          <w:b w:val="1"/>
          <w:bCs w:val="1"/>
          <w:i w:val="1"/>
          <w:iCs w:val="1"/>
          <w:color w:val="212529"/>
          <w:strike w:val="1"/>
        </w:rPr>
      </w:pPr>
      <w:r>
        <w:rPr>
          <w:rFonts w:ascii="Arial" w:cs="Arial" w:eastAsia="Arial" w:hAnsi="Arial"/>
          <w:sz w:val="17"/>
          <w:szCs w:val="17"/>
          <w:i w:val="1"/>
          <w:iCs w:val="1"/>
          <w:color w:val="auto"/>
        </w:rPr>
        <w:t xml:space="preserve">Divestitures </w:t>
      </w:r>
      <w:r>
        <w:rPr>
          <w:rFonts w:ascii="Arial" w:cs="Arial" w:eastAsia="Arial" w:hAnsi="Arial"/>
          <w:sz w:val="17"/>
          <w:szCs w:val="17"/>
          <w:color w:val="auto"/>
        </w:rPr>
        <w:t>– In the previous twelve months we completed several divestitures including the sales of Kansas City and Vicksburg, Eldorado</w:t>
      </w:r>
      <w:r>
        <w:rPr>
          <w:rFonts w:ascii="Arial" w:cs="Arial" w:eastAsia="Arial" w:hAnsi="Arial"/>
          <w:sz w:val="17"/>
          <w:szCs w:val="17"/>
          <w:i w:val="1"/>
          <w:iCs w:val="1"/>
          <w:color w:val="auto"/>
        </w:rPr>
        <w:t xml:space="preserve"> </w:t>
      </w:r>
      <w:r>
        <w:rPr>
          <w:rFonts w:ascii="Arial" w:cs="Arial" w:eastAsia="Arial" w:hAnsi="Arial"/>
          <w:sz w:val="17"/>
          <w:szCs w:val="17"/>
          <w:color w:val="auto"/>
        </w:rPr>
        <w:t>Shreveport, and discontinued operations of Harrah’s Reno and Bally’s Atlantic City. The properties that have been sold as of March 31, 2021, are collectively referred to as “Divestitures.” The results of operations of the divested entities, other than those identified as discontinued operations, are included in income from continuing operations for the periods prior to their respective closing dates.</w:t>
      </w:r>
    </w:p>
    <w:p>
      <w:pPr>
        <w:spacing w:after="0" w:line="117" w:lineRule="exact"/>
        <w:rPr>
          <w:rFonts w:ascii="Arial" w:cs="Arial" w:eastAsia="Arial" w:hAnsi="Arial"/>
          <w:sz w:val="17"/>
          <w:szCs w:val="17"/>
          <w:b w:val="1"/>
          <w:bCs w:val="1"/>
          <w:i w:val="1"/>
          <w:iCs w:val="1"/>
          <w:color w:val="212529"/>
          <w:strike w:val="1"/>
        </w:rPr>
      </w:pPr>
    </w:p>
    <w:p>
      <w:pPr>
        <w:jc w:val="both"/>
        <w:ind w:left="660" w:hanging="328"/>
        <w:spacing w:after="0" w:line="296" w:lineRule="auto"/>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Impairment Charges – </w:t>
      </w:r>
      <w:r>
        <w:rPr>
          <w:rFonts w:ascii="Arial" w:cs="Arial" w:eastAsia="Arial" w:hAnsi="Arial"/>
          <w:sz w:val="16"/>
          <w:szCs w:val="16"/>
          <w:color w:val="auto"/>
        </w:rPr>
        <w:t>As a result of declines in recent performance and the expected impact on future cash flows as a result of the COVID-19</w:t>
      </w:r>
      <w:r>
        <w:rPr>
          <w:rFonts w:ascii="Arial" w:cs="Arial" w:eastAsia="Arial" w:hAnsi="Arial"/>
          <w:sz w:val="16"/>
          <w:szCs w:val="16"/>
          <w:i w:val="1"/>
          <w:iCs w:val="1"/>
          <w:color w:val="auto"/>
        </w:rPr>
        <w:t xml:space="preserve"> </w:t>
      </w:r>
      <w:r>
        <w:rPr>
          <w:rFonts w:ascii="Arial" w:cs="Arial" w:eastAsia="Arial" w:hAnsi="Arial"/>
          <w:sz w:val="16"/>
          <w:szCs w:val="16"/>
          <w:color w:val="auto"/>
        </w:rPr>
        <w:t>public health emergency, we recognized impairment charges in our Regional segment related to goodwill and trade names totaling $100 million and $16 million, respectively, during the three months ended March 31, 2020. In addition, as a result of entering the agreement to sell MontBleu in our Regional segment, impairment charges totaling $45 million were recorded during the three months ended March 31, 2020 due to the carrying value exceeding the estimated net sales proceeds. No impairment charge was recorded during the three months ended March 31, 2021.</w:t>
      </w:r>
    </w:p>
    <w:p>
      <w:pPr>
        <w:spacing w:after="0" w:line="107" w:lineRule="exact"/>
        <w:rPr>
          <w:rFonts w:ascii="Arial" w:cs="Arial" w:eastAsia="Arial" w:hAnsi="Arial"/>
          <w:sz w:val="16"/>
          <w:szCs w:val="16"/>
          <w:b w:val="1"/>
          <w:bCs w:val="1"/>
          <w:i w:val="1"/>
          <w:iCs w:val="1"/>
          <w:color w:val="auto"/>
        </w:rPr>
      </w:pPr>
    </w:p>
    <w:p>
      <w:pPr>
        <w:jc w:val="both"/>
        <w:ind w:left="660" w:hanging="328"/>
        <w:spacing w:after="0" w:line="257" w:lineRule="auto"/>
        <w:tabs>
          <w:tab w:leader="none" w:pos="655" w:val="left"/>
        </w:tabs>
        <w:numPr>
          <w:ilvl w:val="0"/>
          <w:numId w:val="2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Weather and Construction Disruption – </w:t>
      </w:r>
      <w:r>
        <w:rPr>
          <w:rFonts w:ascii="Arial" w:cs="Arial" w:eastAsia="Arial" w:hAnsi="Arial"/>
          <w:sz w:val="18"/>
          <w:szCs w:val="18"/>
          <w:color w:val="auto"/>
        </w:rPr>
        <w:t>In late August 2020, our Regional segment was negatively impacted by Hurricane Laura, causing severe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damage to Lake Charles, which will remain closed until 2022 when construction of a new land-based casino is expected to be complete. </w:t>
      </w:r>
      <w:r>
        <w:rPr>
          <w:rFonts w:ascii="Arial" w:cs="Arial" w:eastAsia="Arial" w:hAnsi="Arial"/>
          <w:sz w:val="18"/>
          <w:szCs w:val="18"/>
          <w:color w:val="212529"/>
        </w:rPr>
        <w:t>During</w:t>
      </w:r>
      <w:r>
        <w:rPr>
          <w:rFonts w:ascii="Arial" w:cs="Arial" w:eastAsia="Arial" w:hAnsi="Arial"/>
          <w:sz w:val="18"/>
          <w:szCs w:val="18"/>
          <w:color w:val="auto"/>
        </w:rPr>
        <w:t xml:space="preserve"> </w:t>
      </w:r>
      <w:r>
        <w:rPr>
          <w:rFonts w:ascii="Arial" w:cs="Arial" w:eastAsia="Arial" w:hAnsi="Arial"/>
          <w:sz w:val="18"/>
          <w:szCs w:val="18"/>
          <w:color w:val="212529"/>
        </w:rPr>
        <w:t xml:space="preserve">the </w:t>
      </w:r>
      <w:r>
        <w:rPr>
          <w:rFonts w:ascii="Arial" w:cs="Arial" w:eastAsia="Arial" w:hAnsi="Arial"/>
          <w:sz w:val="18"/>
          <w:szCs w:val="18"/>
          <w:color w:val="000000"/>
        </w:rPr>
        <w:t>three months</w:t>
      </w:r>
      <w:r>
        <w:rPr>
          <w:rFonts w:ascii="Arial" w:cs="Arial" w:eastAsia="Arial" w:hAnsi="Arial"/>
          <w:sz w:val="18"/>
          <w:szCs w:val="18"/>
          <w:color w:val="212529"/>
        </w:rPr>
        <w:t xml:space="preserve"> ended </w:t>
      </w:r>
      <w:r>
        <w:rPr>
          <w:rFonts w:ascii="Arial" w:cs="Arial" w:eastAsia="Arial" w:hAnsi="Arial"/>
          <w:sz w:val="18"/>
          <w:szCs w:val="18"/>
          <w:color w:val="000000"/>
        </w:rPr>
        <w:t>March 31, 2021, we</w:t>
      </w:r>
      <w:r>
        <w:rPr>
          <w:rFonts w:ascii="Arial" w:cs="Arial" w:eastAsia="Arial" w:hAnsi="Arial"/>
          <w:sz w:val="18"/>
          <w:szCs w:val="18"/>
          <w:color w:val="212529"/>
        </w:rPr>
        <w:t xml:space="preserve"> received insurance proceeds of approximately $26 million related to damaged fixed assets and remediation costs. The Company also recorded a gain of approximately $8 million as proceeds received were in excess of the losses incurred and the net book value of the damaged property.</w:t>
      </w:r>
    </w:p>
    <w:p>
      <w:pPr>
        <w:spacing w:after="0" w:line="133" w:lineRule="exact"/>
        <w:rPr>
          <w:rFonts w:ascii="Arial" w:cs="Arial" w:eastAsia="Arial" w:hAnsi="Arial"/>
          <w:sz w:val="18"/>
          <w:szCs w:val="18"/>
          <w:b w:val="1"/>
          <w:bCs w:val="1"/>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b w:val="1"/>
          <w:bCs w:val="1"/>
          <w:i w:val="1"/>
          <w:iCs w:val="1"/>
          <w:color w:val="212529"/>
        </w:rPr>
      </w:pPr>
      <w:r>
        <w:rPr>
          <w:rFonts w:ascii="Arial" w:cs="Arial" w:eastAsia="Arial" w:hAnsi="Arial"/>
          <w:sz w:val="18"/>
          <w:szCs w:val="18"/>
          <w:i w:val="1"/>
          <w:iCs w:val="1"/>
          <w:color w:val="auto"/>
        </w:rPr>
        <w:t xml:space="preserve">Post-Merger Synergies – </w:t>
      </w:r>
      <w:r>
        <w:rPr>
          <w:rFonts w:ascii="Arial" w:cs="Arial" w:eastAsia="Arial" w:hAnsi="Arial"/>
          <w:sz w:val="18"/>
          <w:szCs w:val="18"/>
          <w:color w:val="212529"/>
        </w:rPr>
        <w:t>We continue to identify operating and cost efficiencies, including savings from the purchasing power of the combined</w:t>
      </w:r>
      <w:r>
        <w:rPr>
          <w:rFonts w:ascii="Arial" w:cs="Arial" w:eastAsia="Arial" w:hAnsi="Arial"/>
          <w:sz w:val="18"/>
          <w:szCs w:val="18"/>
          <w:i w:val="1"/>
          <w:iCs w:val="1"/>
          <w:color w:val="auto"/>
        </w:rPr>
        <w:t xml:space="preserve"> </w:t>
      </w:r>
      <w:r>
        <w:rPr>
          <w:rFonts w:ascii="Arial" w:cs="Arial" w:eastAsia="Arial" w:hAnsi="Arial"/>
          <w:sz w:val="18"/>
          <w:szCs w:val="18"/>
          <w:color w:val="212529"/>
        </w:rPr>
        <w:t>Caesars organization and targeted integrated marketing strategies, as well as the elimination of redundant costs such as accounting and professional expenses, certain payroll costs, and other corporate costs. As a result, we have seen margin improvements in our results of operations, throughout our segments.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9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9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471</w:t>
            </w: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Managed, International, CIE</w:t>
            </w:r>
          </w:p>
        </w:tc>
        <w:tc>
          <w:tcPr>
            <w:tcW w:w="4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r>
      <w:tr>
        <w:trPr>
          <w:trHeight w:val="207"/>
        </w:trPr>
        <w:tc>
          <w:tcPr>
            <w:tcW w:w="20" w:type="dxa"/>
            <w:vAlign w:val="bottom"/>
          </w:tcPr>
          <w:p>
            <w:pPr>
              <w:spacing w:after="0"/>
              <w:rPr>
                <w:sz w:val="17"/>
                <w:szCs w:val="17"/>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Net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(176)</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4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111</w:t>
            </w: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International, CIE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margin</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10"/>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2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definition of Adjusted EBITDA and a reconciliation of net income (loss) to Adjusted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comparison of the three months ended March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180" w:type="dxa"/>
            <w:vAlign w:val="bottom"/>
            <w:gridSpan w:val="7"/>
          </w:tcPr>
          <w:p>
            <w:pPr>
              <w:ind w:left="40"/>
              <w:spacing w:after="0"/>
              <w:rPr>
                <w:sz w:val="20"/>
                <w:szCs w:val="20"/>
                <w:color w:val="auto"/>
              </w:rPr>
            </w:pPr>
            <w:r>
              <w:rPr>
                <w:rFonts w:ascii="Arial" w:cs="Arial" w:eastAsia="Arial" w:hAnsi="Arial"/>
                <w:sz w:val="16"/>
                <w:szCs w:val="16"/>
                <w:b w:val="1"/>
                <w:bCs w:val="1"/>
                <w:color w:val="auto"/>
              </w:rPr>
              <w:t>Three Months Ended March</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80"/>
              </w:rPr>
              <w:t>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2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8"/>
              </w:rPr>
              <w:t>Variance</w:t>
            </w:r>
          </w:p>
        </w:tc>
        <w:tc>
          <w:tcPr>
            <w:tcW w:w="80" w:type="dxa"/>
            <w:vAlign w:val="bottom"/>
          </w:tcPr>
          <w:p>
            <w:pPr>
              <w:spacing w:after="0"/>
              <w:rPr>
                <w:sz w:val="14"/>
                <w:szCs w:val="14"/>
                <w:color w:val="auto"/>
              </w:rPr>
            </w:pPr>
          </w:p>
        </w:tc>
        <w:tc>
          <w:tcPr>
            <w:tcW w:w="114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196.4 %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shd w:val="clear" w:color="auto" w:fill="CCEEFF"/>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revenues increased for the three months ended March 31, 2021 as a result of the Merger on July 20, 2020. This was offset by a decline in revenues associated with the COVID-19 public health emergency and, to a lesser extent, divestitures of certain properties discussed earlier. All of our properties were temporarily closed for the period from mid-March 2020 through mid-May 2020 due to orders issued by various government agencies and tribal bodies as part of certain precautionary measures intended to help slow the spread of the COVID-19 public health emergency. As of March 31, 2021, substantially all of our properties have resumed certain operations, with the exception of Lake Charles which was severely damaged by Hurricane Laura, and many of our international properties. Due to the impact of the COVID-19 public health emergency, including local and state regulations and the implementation of social distancing and health and safety protocols, our properties are subject to reduced gaming capacity and hotel occupancy, limited operation of food and beverage outlets, live entertainment events and conventions.</w:t>
      </w:r>
    </w:p>
    <w:p>
      <w:pPr>
        <w:spacing w:after="0" w:line="34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5"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Our diversified portfolio has yielded mixed results as the properties have reopened under the conditions noted above. Net revenues for properties which have historically relied on a local customer base, not dependent on air travel or convention business, showed an increase as compared to the three months ended March 31, 2020 results. These properties’ gaming and hotel revenues have historically been the largest portion of their total revenue. Net revenues for properties in destination markets such as Las Vegas, Atlantic City and New Orleans, which have historically relied on a broader regional and national customer base or convention business have declined from the prior year period. These properties have historically relied on a broader mix of revenue sources including conventions, entertainment, and food and beverage offerings. As a result of reduced visitation, an overall reduction in air travel, state and local restrictions on capacity, and social distancing, safety and health protocols, these sources of revenue have been materially reduced as compared to prior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180" w:type="dxa"/>
            <w:vAlign w:val="bottom"/>
            <w:gridSpan w:val="7"/>
          </w:tcPr>
          <w:p>
            <w:pPr>
              <w:ind w:left="40"/>
              <w:spacing w:after="0"/>
              <w:rPr>
                <w:sz w:val="20"/>
                <w:szCs w:val="20"/>
                <w:color w:val="auto"/>
              </w:rPr>
            </w:pPr>
            <w:r>
              <w:rPr>
                <w:rFonts w:ascii="Arial" w:cs="Arial" w:eastAsia="Arial" w:hAnsi="Arial"/>
                <w:sz w:val="16"/>
                <w:szCs w:val="16"/>
                <w:b w:val="1"/>
                <w:bCs w:val="1"/>
                <w:color w:val="auto"/>
              </w:rPr>
              <w:t>Three Months Ended March</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80"/>
              </w:rPr>
              <w:t>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2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8"/>
              </w:rPr>
              <w:t>Variance</w:t>
            </w:r>
          </w:p>
        </w:tc>
        <w:tc>
          <w:tcPr>
            <w:tcW w:w="80" w:type="dxa"/>
            <w:vAlign w:val="bottom"/>
          </w:tcPr>
          <w:p>
            <w:pPr>
              <w:spacing w:after="0"/>
              <w:rPr>
                <w:sz w:val="14"/>
                <w:szCs w:val="14"/>
                <w:color w:val="auto"/>
              </w:rPr>
            </w:pPr>
          </w:p>
        </w:tc>
        <w:tc>
          <w:tcPr>
            <w:tcW w:w="114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150.0 %</w:t>
            </w:r>
          </w:p>
        </w:tc>
      </w:tr>
      <w:tr>
        <w:trPr>
          <w:trHeight w:val="213"/>
        </w:trPr>
        <w:tc>
          <w:tcPr>
            <w:tcW w:w="20" w:type="dxa"/>
            <w:vAlign w:val="bottom"/>
          </w:tcPr>
          <w:p>
            <w:pPr>
              <w:spacing w:after="0"/>
              <w:rPr>
                <w:sz w:val="18"/>
                <w:szCs w:val="18"/>
                <w:color w:val="auto"/>
              </w:rPr>
            </w:pPr>
          </w:p>
        </w:tc>
        <w:tc>
          <w:tcPr>
            <w:tcW w:w="6800" w:type="dxa"/>
            <w:vAlign w:val="bottom"/>
            <w:gridSpan w:val="2"/>
          </w:tcPr>
          <w:p>
            <w:pPr>
              <w:ind w:left="24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1,513</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153.9 %</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Casino and pari-mutuel commissions expense consists primarily of salaries and wages associated with our gaming operations, marketing and promotions and gaming taxes. Food and beverage expense consists principally of salaries and wages and costs of goods sold associated with our food and beverage operations. Hotel expense consists principally of salaries, wages and supplies associated with our hotel operations. Other expenses consist principally of salaries and wages and costs of goods sold associated with our retail, entertainment and other operations.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Casino and pari-mutuel commissions, food and beverage, hotel, and other expenses for the three months ended March 31, 2021 increased year over year as a result of the Merger. This was partially offset by reopening with restrictions under the public health guidelines of reduced gaming and hotel capacity and limited food and beverage options. As such, our properties are operating with a reduced workforce, which resulted in decreased salaries and wages. In addition, our properties have reduced marketing and promotional spend, resulting in further declines in gaming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Property, general and administrative expenses also include stock-based compensation expense for certain property executives, sports sponsorships and other marketing expenses not directly related to our gaming and non-gaming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for the three months ended March 31, 2021 increased year over year as the result of the Merger. This was offset by the actions taken to reduce our cost structure while our properties were temporarily closed and reduced operations due to the impact of the COVID-19 public health emergency.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compared to the same prior year period, corporate expenses increased primarily due to the Merger, and have been offset by reductions in salaries and wages due to reductions in workforce implemented as a result of the impact of the COVID-19 public health emergency.</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3" w:name="page44"/>
    <w:bookmarkEnd w:id="43"/>
    <w:p>
      <w:pPr>
        <w:jc w:val="both"/>
        <w:ind w:right="20"/>
        <w:spacing w:after="0" w:line="263" w:lineRule="auto"/>
        <w:rPr>
          <w:sz w:val="20"/>
          <w:szCs w:val="20"/>
          <w:color w:val="auto"/>
        </w:rPr>
      </w:pPr>
      <w:r>
        <w:rPr>
          <w:rFonts w:ascii="Arial" w:cs="Arial" w:eastAsia="Arial" w:hAnsi="Arial"/>
          <w:sz w:val="18"/>
          <w:szCs w:val="18"/>
          <w:color w:val="auto"/>
        </w:rPr>
        <w:t>As described above, we recorded impairment charges of $116 million due to the effects of the COVID-19 public health emergency during the three months ended March 31, 2020. In addition, $45 million of additional impairment charges related to the sale of MontBleu were recorded during the three months ended March 31, 2020. No impairment charges were recorded during the three months ended March 31, 2021.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compared to the same prior year period, depreciation and amortization expense increased mainly due to the Merger, offset by ceasing depreciation and amortization expense on certain assets held for sale and the Divestitures.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compared to the same prior year period, transaction costs and other operating costs increased primarily due to the acquisition of Former Caesars, as well as, costs or fees incurred related to the William Hill Acquisition, various project exit fees and related write offs, and higher severance expense related to the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1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4"/>
              </w:rPr>
              <w:t>Three Months Ended March</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8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Variance</w:t>
            </w:r>
          </w:p>
        </w:tc>
        <w:tc>
          <w:tcPr>
            <w:tcW w:w="114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8"/>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Other loss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left="379"/>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89"/>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interest expense, net increased year over year as a result of the Merger. Outstanding debt assumed, additional debt raised, and assumed financing obligations resulted in the increase in interest expense.</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months ended March 31, 2021, other loss increased year over year due to an unrealized loss on the change in fair value of the derivative liability related to the 5% Convertible Notes, offset by a gain on the foreign currency exchange rate associated with restricted cash held in GBP.</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tax expense for the three months ended March 31, 2021 differed from the expected income tax benefit based on the federal tax rate of 21% primarily due to nondeductible expenses related to the convertible notes liability. The income tax expense for the three months ended March 31, 2020 differed from the expected income tax expense based on the federal tax rate of 21% primarily due to goodwill impairments and changes in the valuation allowance, offset by the true-up of certain state tax benefits and state and local income taxes.</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Segment comparison of the three months ended March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Arial" w:cs="Arial" w:eastAsia="Arial" w:hAnsi="Arial"/>
                <w:sz w:val="16"/>
                <w:szCs w:val="16"/>
                <w:b w:val="1"/>
                <w:bCs w:val="1"/>
                <w:color w:val="auto"/>
                <w:w w:val="99"/>
              </w:rPr>
              <w:t>Three Months Ended March 31,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0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670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Las Vegas segment’s net revenues and Adjusted EBITDA increased as a result of the Merger. As of March 31, 2021, all of our Las Vegas properties reopened with reduced gaming and hotel capacity with limited food and beverage and entertainment offerings. As of March 31, 2021, convention venues have not reopened due to capacity limitations.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2021, all of our reopened properties in the Las Vegas segment experienced a decline in net revenues and Adjusted EBITDA compared to Former Caesars’ prior year results for the same properties due to the general weakness in the economic environment resulting from reduced visitation and travel to Las Vegas resulting from the COVID-19 public health emergency. Adjusted EBITDA margins for our Las Vegas properties were negatively impacted by greater declines in revenue than our Regional segment as well as rent expense associated with our Rio lease in our Las Vegas segment. As restrictions related to the COVID-19 public health emergency have begun to ease, net revenues, net income and Adjusted EBITDA have shown positive trends during the three months ended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2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Three Months Ended March 31,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2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161.8 %</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44.6 %</w:t>
            </w:r>
          </w:p>
        </w:tc>
      </w:tr>
      <w:tr>
        <w:trPr>
          <w:trHeight w:val="213"/>
        </w:trPr>
        <w:tc>
          <w:tcPr>
            <w:tcW w:w="20" w:type="dxa"/>
            <w:vAlign w:val="bottom"/>
          </w:tcPr>
          <w:p>
            <w:pPr>
              <w:spacing w:after="0"/>
              <w:rPr>
                <w:sz w:val="18"/>
                <w:szCs w:val="18"/>
                <w:color w:val="auto"/>
              </w:rPr>
            </w:pPr>
          </w:p>
        </w:tc>
        <w:tc>
          <w:tcPr>
            <w:tcW w:w="658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108.3 %</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37.0 %</w:t>
            </w:r>
          </w:p>
        </w:tc>
      </w:tr>
      <w:tr>
        <w:trPr>
          <w:trHeight w:val="209"/>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135.2 %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148.1 %</w:t>
            </w:r>
          </w:p>
        </w:tc>
      </w:tr>
      <w:tr>
        <w:trPr>
          <w:trHeight w:val="297"/>
        </w:trPr>
        <w:tc>
          <w:tcPr>
            <w:tcW w:w="660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Regional segment’s net revenues, Adjusted EBITDA and margin increased for the three months ended March 31, 2021 compared to the same prior year period as a result of the acquisition of Former Caesars. As of March 31, 2021, all of our properties in our Regional segment have reopened, with the exception of Lake Charles due to the closures from the weather disruption described above. However, all of our properties within the Regional segment are subject to reduced capacities and limited food and beverage offerings.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45" w:name="page46"/>
    <w:bookmarkEnd w:id="45"/>
    <w:p>
      <w:pPr>
        <w:jc w:val="both"/>
        <w:ind w:right="20"/>
        <w:spacing w:after="0" w:line="311" w:lineRule="auto"/>
        <w:rPr>
          <w:sz w:val="20"/>
          <w:szCs w:val="20"/>
          <w:color w:val="auto"/>
        </w:rPr>
      </w:pPr>
      <w:r>
        <w:rPr>
          <w:rFonts w:ascii="Arial" w:cs="Arial" w:eastAsia="Arial" w:hAnsi="Arial"/>
          <w:sz w:val="16"/>
          <w:szCs w:val="16"/>
          <w:color w:val="auto"/>
        </w:rPr>
        <w:t xml:space="preserve">In our Regional segment, net revenues were flat compared to the prior year across all properties, including Former Caesars’. Similarly, Adjusted EBITDA and Adjusted EBITDA margin for these properties were also higher as compared to prior year due to reductions in workforce and marketing costs, </w:t>
      </w:r>
      <w:r>
        <w:rPr>
          <w:rFonts w:ascii="Arial" w:cs="Arial" w:eastAsia="Arial" w:hAnsi="Arial"/>
          <w:sz w:val="16"/>
          <w:szCs w:val="16"/>
          <w:color w:val="212529"/>
        </w:rPr>
        <w:t>synergies from the purchasing power of the combined Caesars organization</w:t>
      </w:r>
      <w:r>
        <w:rPr>
          <w:rFonts w:ascii="Arial" w:cs="Arial" w:eastAsia="Arial" w:hAnsi="Arial"/>
          <w:sz w:val="16"/>
          <w:szCs w:val="16"/>
          <w:color w:val="000000"/>
        </w:rPr>
        <w:t>, and limitations on certain lower margin food and beverage offerings.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International &amp; CIE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2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Three Months Ended March 31,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160"/>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0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0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Net income attributable to Caesars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316"/>
        </w:trPr>
        <w:tc>
          <w:tcPr>
            <w:tcW w:w="67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Managed, International, CIE segment’s net revenues and Adjusted EBITDA increased as a result of the acquisition of Former Caesars. All of our managed properties have reopened as of March 31, 2021 except for many of our international properties.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net revenues for Managed, International and CIE declined as compared to Former Caesars’ prior period due to the absence of reimbursed management costs related to Caesars Windsor remaining closed throughout the quarter. Excluding that, net revenues increased primarily related to increased revenue in our CIE business. Adjusted EBITDA for Managed, International and CIE increased as compared to Former Caesars’ prior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18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March</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8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8"/>
              </w:rPr>
              <w:t>Variance</w:t>
            </w:r>
          </w:p>
        </w:tc>
        <w:tc>
          <w:tcPr>
            <w:tcW w:w="80" w:type="dxa"/>
            <w:vAlign w:val="bottom"/>
          </w:tcPr>
          <w:p>
            <w:pPr>
              <w:spacing w:after="0"/>
              <w:rPr>
                <w:sz w:val="14"/>
                <w:szCs w:val="14"/>
                <w:color w:val="auto"/>
              </w:rPr>
            </w:pPr>
          </w:p>
        </w:tc>
        <w:tc>
          <w:tcPr>
            <w:tcW w:w="114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8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Months Ended March 31, 2021 and 2020</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expense,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w:t>
      </w:r>
    </w:p>
    <w:p>
      <w:pPr>
        <w:spacing w:after="0" w:line="34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sign-on and retention bonuses, business optimization expenses and transformation expenses, certain litigation awards and settlements, losses on inventory associated with properties temporarily closed as a result of the COVID-19 public health emergency,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Properties, Inc.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Adjusted EBITDA for the three months ended March 31, 2021 and 2020, respectively, in addition to reconciling net income (loss) to Adjusted EBITDA in accordance with GAAP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10"/>
          </w:tcPr>
          <w:p>
            <w:pPr>
              <w:jc w:val="center"/>
              <w:ind w:right="79"/>
              <w:spacing w:after="0"/>
              <w:rPr>
                <w:sz w:val="20"/>
                <w:szCs w:val="20"/>
                <w:color w:val="auto"/>
              </w:rPr>
            </w:pPr>
            <w:r>
              <w:rPr>
                <w:rFonts w:ascii="Arial" w:cs="Arial" w:eastAsia="Arial" w:hAnsi="Arial"/>
                <w:sz w:val="16"/>
                <w:szCs w:val="16"/>
                <w:b w:val="1"/>
                <w:bCs w:val="1"/>
                <w:color w:val="auto"/>
                <w:w w:val="94"/>
              </w:rPr>
              <w:t>Three Months Ended March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vMerge w:val="restart"/>
          </w:tcPr>
          <w:p>
            <w:pPr>
              <w:ind w:left="400"/>
              <w:spacing w:after="0"/>
              <w:rPr>
                <w:sz w:val="20"/>
                <w:szCs w:val="20"/>
                <w:color w:val="auto"/>
              </w:rPr>
            </w:pPr>
            <w:r>
              <w:rPr>
                <w:rFonts w:ascii="Arial" w:cs="Arial" w:eastAsia="Arial" w:hAnsi="Arial"/>
                <w:sz w:val="16"/>
                <w:szCs w:val="16"/>
                <w:b w:val="1"/>
                <w:bCs w:val="1"/>
                <w:color w:val="auto"/>
              </w:rPr>
              <w:t>CEI</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8"/>
              </w:rPr>
              <w:t>Add:</w:t>
            </w:r>
          </w:p>
        </w:tc>
        <w:tc>
          <w:tcPr>
            <w:tcW w:w="280" w:type="dxa"/>
            <w:vAlign w:val="bottom"/>
          </w:tcPr>
          <w:p>
            <w:pPr>
              <w:spacing w:after="0"/>
              <w:rPr>
                <w:sz w:val="13"/>
                <w:szCs w:val="13"/>
                <w:color w:val="auto"/>
              </w:rPr>
            </w:pPr>
          </w:p>
        </w:tc>
        <w:tc>
          <w:tcPr>
            <w:tcW w:w="11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320"/>
              <w:spacing w:after="0" w:line="176" w:lineRule="exact"/>
              <w:rPr>
                <w:sz w:val="20"/>
                <w:szCs w:val="20"/>
                <w:color w:val="auto"/>
              </w:rPr>
            </w:pPr>
            <w:r>
              <w:rPr>
                <w:rFonts w:ascii="Arial" w:cs="Arial" w:eastAsia="Arial" w:hAnsi="Arial"/>
                <w:sz w:val="15"/>
                <w:szCs w:val="15"/>
                <w:b w:val="1"/>
                <w:bCs w:val="1"/>
                <w:color w:val="auto"/>
                <w:w w:val="90"/>
              </w:rPr>
              <w:t xml:space="preserve">Disc. Ops </w:t>
            </w:r>
            <w:r>
              <w:rPr>
                <w:rFonts w:ascii="Arial" w:cs="Arial" w:eastAsia="Arial" w:hAnsi="Arial"/>
                <w:sz w:val="20"/>
                <w:szCs w:val="20"/>
                <w:b w:val="1"/>
                <w:bCs w:val="1"/>
                <w:i w:val="1"/>
                <w:iCs w:val="1"/>
                <w:color w:val="auto"/>
                <w:w w:val="90"/>
                <w:vertAlign w:val="superscript"/>
              </w:rPr>
              <w:t>(d)</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left="9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loss </w:t>
            </w:r>
            <w:r>
              <w:rPr>
                <w:rFonts w:ascii="Arial" w:cs="Arial" w:eastAsia="Arial" w:hAnsi="Arial"/>
                <w:sz w:val="21"/>
                <w:szCs w:val="21"/>
                <w:i w:val="1"/>
                <w:iCs w:val="1"/>
                <w:color w:val="auto"/>
                <w:vertAlign w:val="superscript"/>
              </w:rPr>
              <w: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3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CEI</w:t>
            </w:r>
          </w:p>
        </w:tc>
        <w:tc>
          <w:tcPr>
            <w:tcW w:w="20" w:type="dxa"/>
            <w:vAlign w:val="bottom"/>
          </w:tcPr>
          <w:p>
            <w:pPr>
              <w:spacing w:after="0"/>
              <w:rPr>
                <w:sz w:val="19"/>
                <w:szCs w:val="19"/>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8"/>
              </w:rPr>
              <w:t>Less: Divestitures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Pre-Acq.</w:t>
            </w:r>
          </w:p>
        </w:tc>
        <w:tc>
          <w:tcPr>
            <w:tcW w:w="280" w:type="dxa"/>
            <w:vAlign w:val="bottom"/>
          </w:tcPr>
          <w:p>
            <w:pPr>
              <w:spacing w:after="0"/>
              <w:rPr>
                <w:sz w:val="19"/>
                <w:szCs w:val="19"/>
                <w:color w:val="auto"/>
              </w:rPr>
            </w:pPr>
          </w:p>
        </w:tc>
        <w:tc>
          <w:tcPr>
            <w:tcW w:w="11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i w:val="1"/>
                <w:iCs w:val="1"/>
                <w:color w:val="auto"/>
                <w:w w:val="85"/>
              </w:rPr>
              <w:t>(g)</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3"/>
          </w:tcPr>
          <w:p>
            <w:pPr>
              <w:ind w:left="280"/>
              <w:spacing w:after="0" w:line="108" w:lineRule="exact"/>
              <w:rPr>
                <w:sz w:val="20"/>
                <w:szCs w:val="20"/>
                <w:color w:val="auto"/>
              </w:rPr>
            </w:pPr>
            <w:r>
              <w:rPr>
                <w:rFonts w:ascii="Arial" w:cs="Arial" w:eastAsia="Arial" w:hAnsi="Arial"/>
                <w:sz w:val="10"/>
                <w:szCs w:val="10"/>
                <w:b w:val="1"/>
                <w:bCs w:val="1"/>
                <w:color w:val="auto"/>
              </w:rPr>
              <w:t xml:space="preserve">CEC </w:t>
            </w:r>
            <w:r>
              <w:rPr>
                <w:rFonts w:ascii="Arial" w:cs="Arial" w:eastAsia="Arial" w:hAnsi="Arial"/>
                <w:sz w:val="12"/>
                <w:szCs w:val="12"/>
                <w:b w:val="1"/>
                <w:bCs w:val="1"/>
                <w:i w:val="1"/>
                <w:iCs w:val="1"/>
                <w:color w:val="auto"/>
                <w:vertAlign w:val="superscript"/>
              </w:rPr>
              <w:t>(e)</w:t>
            </w: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920"/>
              <w:spacing w:after="0"/>
              <w:rPr>
                <w:sz w:val="20"/>
                <w:szCs w:val="20"/>
                <w:color w:val="auto"/>
              </w:rPr>
            </w:pPr>
            <w:r>
              <w:rPr>
                <w:rFonts w:ascii="Arial" w:cs="Arial" w:eastAsia="Arial" w:hAnsi="Arial"/>
                <w:sz w:val="16"/>
                <w:szCs w:val="16"/>
                <w:color w:val="auto"/>
                <w:w w:val="89"/>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left="82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left="82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left="82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90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right="20" w:hanging="332"/>
        <w:spacing w:after="0" w:line="251" w:lineRule="auto"/>
        <w:tabs>
          <w:tab w:leader="none" w:pos="327" w:val="left"/>
        </w:tabs>
        <w:numPr>
          <w:ilvl w:val="0"/>
          <w:numId w:val="30"/>
        </w:numPr>
        <w:rPr>
          <w:rFonts w:ascii="Arial" w:cs="Arial" w:eastAsia="Arial" w:hAnsi="Arial"/>
          <w:sz w:val="9"/>
          <w:szCs w:val="9"/>
          <w:i w:val="1"/>
          <w:iCs w:val="1"/>
          <w:color w:val="212529"/>
        </w:rPr>
      </w:pPr>
      <w:r>
        <w:rPr>
          <w:rFonts w:ascii="Arial" w:cs="Arial" w:eastAsia="Arial" w:hAnsi="Arial"/>
          <w:sz w:val="14"/>
          <w:szCs w:val="14"/>
          <w:i w:val="1"/>
          <w:iCs w:val="1"/>
          <w:color w:val="auto"/>
        </w:rPr>
        <w:t>Other loss for the three months ended March 31, 2021 primarily represents a loss on the change in fair value of the derivative liability related to the 5% Convertible Notes slightly offset by gains on foreign currency exchange and investments held. Other (income) loss for the three months ended March 31, 2020 primarily represents a gain on the change in fair value of the of the derivative liability related to the 5% Convertible Notes and losses on investments.</w:t>
      </w:r>
    </w:p>
    <w:p>
      <w:pPr>
        <w:spacing w:after="0" w:line="34" w:lineRule="exact"/>
        <w:rPr>
          <w:rFonts w:ascii="Arial" w:cs="Arial" w:eastAsia="Arial" w:hAnsi="Arial"/>
          <w:sz w:val="9"/>
          <w:szCs w:val="9"/>
          <w:i w:val="1"/>
          <w:iCs w:val="1"/>
          <w:color w:val="212529"/>
        </w:rPr>
      </w:pPr>
    </w:p>
    <w:p>
      <w:pPr>
        <w:ind w:left="340" w:hanging="332"/>
        <w:spacing w:after="0" w:line="217" w:lineRule="auto"/>
        <w:tabs>
          <w:tab w:leader="none" w:pos="327" w:val="left"/>
        </w:tabs>
        <w:numPr>
          <w:ilvl w:val="0"/>
          <w:numId w:val="30"/>
        </w:numPr>
        <w:rPr>
          <w:rFonts w:ascii="Arial" w:cs="Arial" w:eastAsia="Arial" w:hAnsi="Arial"/>
          <w:sz w:val="19"/>
          <w:szCs w:val="19"/>
          <w:i w:val="1"/>
          <w:iCs w:val="1"/>
          <w:color w:val="auto"/>
          <w:vertAlign w:val="subscript"/>
        </w:rPr>
      </w:pPr>
      <w:r>
        <w:rPr>
          <w:rFonts w:ascii="Arial" w:cs="Arial" w:eastAsia="Arial" w:hAnsi="Arial"/>
          <w:sz w:val="14"/>
          <w:szCs w:val="14"/>
          <w:i w:val="1"/>
          <w:iCs w:val="1"/>
          <w:color w:val="auto"/>
        </w:rPr>
        <w:t>Transaction costs and other operating costs for the three months ended March 31, 2021 and 2020 primarily represent costs related to the William Hill Acquisition and the Merger, various contract or license termination exit costs, professional services, other acquisition costs and severance costs.</w:t>
      </w:r>
    </w:p>
    <w:p>
      <w:pPr>
        <w:spacing w:after="0" w:line="34" w:lineRule="exact"/>
        <w:rPr>
          <w:rFonts w:ascii="Arial" w:cs="Arial" w:eastAsia="Arial" w:hAnsi="Arial"/>
          <w:sz w:val="19"/>
          <w:szCs w:val="19"/>
          <w:i w:val="1"/>
          <w:iCs w:val="1"/>
          <w:color w:val="auto"/>
          <w:vertAlign w:val="subscript"/>
        </w:rPr>
      </w:pPr>
    </w:p>
    <w:p>
      <w:pPr>
        <w:ind w:left="320" w:hanging="312"/>
        <w:spacing w:after="0"/>
        <w:tabs>
          <w:tab w:leader="none" w:pos="320"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Other items primarily represent certain consulting and legal fees, rent for non-operating assets, relocation expenses, and business optimization expenses.</w:t>
      </w:r>
    </w:p>
    <w:p>
      <w:pPr>
        <w:spacing w:after="0" w:line="55" w:lineRule="exact"/>
        <w:rPr>
          <w:rFonts w:ascii="Arial" w:cs="Arial" w:eastAsia="Arial" w:hAnsi="Arial"/>
          <w:sz w:val="9"/>
          <w:szCs w:val="9"/>
          <w:i w:val="1"/>
          <w:iCs w:val="1"/>
          <w:color w:val="auto"/>
        </w:rPr>
      </w:pPr>
    </w:p>
    <w:p>
      <w:pPr>
        <w:ind w:left="340" w:hanging="332"/>
        <w:spacing w:after="0" w:line="217" w:lineRule="auto"/>
        <w:tabs>
          <w:tab w:leader="none" w:pos="333" w:val="left"/>
        </w:tabs>
        <w:numPr>
          <w:ilvl w:val="0"/>
          <w:numId w:val="3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Discontinued operations include Horseshoe Hammond, Caesars Southern Indiana, Harrah’s Louisiana Downs, and the Caesars UK group, including Emerald Resorts &amp; Casino. Such figures are based on unaudited internal financial statements and have not been reviewed by the Company’s auditors and do not conform to GAAP.</w:t>
      </w:r>
    </w:p>
    <w:p>
      <w:pPr>
        <w:spacing w:after="0" w:line="36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7" w:name="page48"/>
    <w:bookmarkEnd w:id="47"/>
    <w:p>
      <w:pPr>
        <w:ind w:left="340" w:hanging="332"/>
        <w:spacing w:after="0" w:line="217" w:lineRule="auto"/>
        <w:tabs>
          <w:tab w:leader="none" w:pos="336"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Pre-acquisition CEC represents results of operations for Former Caesars prior to the Merger. Such figures are based on unaudited internal financial statements and have not been reviewed by the Company’s auditors and, for the 2020 periods, do not conform to GAAP.</w:t>
      </w:r>
    </w:p>
    <w:p>
      <w:pPr>
        <w:spacing w:after="0" w:line="34" w:lineRule="exact"/>
        <w:rPr>
          <w:rFonts w:ascii="Arial" w:cs="Arial" w:eastAsia="Arial" w:hAnsi="Arial"/>
          <w:sz w:val="19"/>
          <w:szCs w:val="19"/>
          <w:i w:val="1"/>
          <w:iCs w:val="1"/>
          <w:color w:val="auto"/>
          <w:vertAlign w:val="superscript"/>
        </w:rPr>
      </w:pPr>
    </w:p>
    <w:p>
      <w:pPr>
        <w:jc w:val="both"/>
        <w:ind w:left="340" w:hanging="332"/>
        <w:spacing w:after="0" w:line="248" w:lineRule="auto"/>
        <w:tabs>
          <w:tab w:leader="none" w:pos="334" w:val="left"/>
        </w:tabs>
        <w:numPr>
          <w:ilvl w:val="0"/>
          <w:numId w:val="3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Includes results of operations from discontinued operations.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29" w:lineRule="exact"/>
        <w:rPr>
          <w:rFonts w:ascii="Arial" w:cs="Arial" w:eastAsia="Arial" w:hAnsi="Arial"/>
          <w:sz w:val="17"/>
          <w:szCs w:val="17"/>
          <w:i w:val="1"/>
          <w:iCs w:val="1"/>
          <w:color w:val="auto"/>
          <w:vertAlign w:val="superscript"/>
        </w:rPr>
      </w:pPr>
    </w:p>
    <w:p>
      <w:pPr>
        <w:ind w:left="340" w:hanging="332"/>
        <w:spacing w:after="0" w:line="239" w:lineRule="auto"/>
        <w:tabs>
          <w:tab w:leader="none" w:pos="327" w:val="left"/>
        </w:tabs>
        <w:numPr>
          <w:ilvl w:val="0"/>
          <w:numId w:val="31"/>
        </w:numPr>
        <w:rPr>
          <w:rFonts w:ascii="Arial" w:cs="Arial" w:eastAsia="Arial" w:hAnsi="Arial"/>
          <w:sz w:val="17"/>
          <w:szCs w:val="17"/>
          <w:i w:val="1"/>
          <w:iCs w:val="1"/>
          <w:color w:val="212529"/>
          <w:vertAlign w:val="superscript"/>
        </w:rPr>
      </w:pPr>
      <w:r>
        <w:rPr>
          <w:rFonts w:ascii="Arial" w:cs="Arial" w:eastAsia="Arial" w:hAnsi="Arial"/>
          <w:sz w:val="13"/>
          <w:szCs w:val="13"/>
          <w:i w:val="1"/>
          <w:iCs w:val="1"/>
          <w:color w:val="auto"/>
        </w:rPr>
        <w:t>Divestitures for the three months ended March 31, 2020 include results of operations for Eldorado Shreveport, Kansas City, Vicksburg and discontinued operations of Harrah’s Reno and Bally’s Atlantic City. Such figures are based on unaudited internal financial statements and have not been reviewed by the Company’s auditors and do not conform to GAAP.</w:t>
      </w:r>
    </w:p>
    <w:p>
      <w:pPr>
        <w:spacing w:after="0" w:line="34" w:lineRule="exact"/>
        <w:rPr>
          <w:rFonts w:ascii="Arial" w:cs="Arial" w:eastAsia="Arial" w:hAnsi="Arial"/>
          <w:sz w:val="17"/>
          <w:szCs w:val="17"/>
          <w:i w:val="1"/>
          <w:iCs w:val="1"/>
          <w:color w:val="212529"/>
          <w:vertAlign w:val="superscript"/>
        </w:rPr>
      </w:pPr>
    </w:p>
    <w:p>
      <w:pPr>
        <w:jc w:val="both"/>
        <w:ind w:left="340" w:hanging="332"/>
        <w:spacing w:after="0" w:line="228" w:lineRule="auto"/>
        <w:tabs>
          <w:tab w:leader="none" w:pos="327"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Excludes results of operations from divestitures as detailed in (g) and includes results of operations of Former Caesars, including discontinued operations.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investments to maintain the quality of our properties.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2020, in an effort to mitigate the impacts of the COVID-19 </w:t>
      </w:r>
      <w:r>
        <w:rPr>
          <w:rFonts w:ascii="Arial" w:cs="Arial" w:eastAsia="Arial" w:hAnsi="Arial"/>
          <w:sz w:val="18"/>
          <w:szCs w:val="18"/>
          <w:color w:val="212529"/>
        </w:rPr>
        <w:t>public health emergency</w:t>
      </w:r>
      <w:r>
        <w:rPr>
          <w:rFonts w:ascii="Arial" w:cs="Arial" w:eastAsia="Arial" w:hAnsi="Arial"/>
          <w:sz w:val="18"/>
          <w:szCs w:val="18"/>
          <w:color w:val="auto"/>
        </w:rPr>
        <w:t xml:space="preserve"> on our business and maintain liquidity, we furloughed approximately 90% of our employees beginning on April 11, 2020. We have resumed operations at all of our properties, with the exception of Lake Charles which was severely damaged by Hurricane Laura, and many of our international properties. A portion of the workforce has returned to service as our properties have resumed operations with limited capacities and in compliance with operating restrictions imposed by governmental or tribal orders, directives and guidelines. As a result of these payroll changes combined with other cost saving measures, our operating expenses were reduced significantly.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 2021</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r>
      <w:tr>
        <w:trPr>
          <w:trHeight w:val="213"/>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Revolver capacity</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20" w:type="dxa"/>
            <w:vAlign w:val="bottom"/>
            <w:tcBorders>
              <w:bottom w:val="single" w:sz="8" w:color="CCEEFF"/>
            </w:tcBorders>
          </w:tcPr>
          <w:p>
            <w:pPr>
              <w:spacing w:after="0"/>
              <w:rPr>
                <w:sz w:val="18"/>
                <w:szCs w:val="18"/>
                <w:color w:val="auto"/>
              </w:rPr>
            </w:pPr>
          </w:p>
        </w:tc>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9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of approximately £2.9 billion. The William Hill Acquisition was consummated on April 22, 2021, for approximately $4.0 billion, based on the GBP:USD exchange rate on the closing date. As of </w:t>
      </w:r>
      <w:r>
        <w:rPr>
          <w:rFonts w:ascii="Arial" w:cs="Arial" w:eastAsia="Arial" w:hAnsi="Arial"/>
          <w:sz w:val="18"/>
          <w:szCs w:val="18"/>
          <w:color w:val="000000"/>
        </w:rPr>
        <w:t>March 31, 2021</w:t>
      </w:r>
      <w:r>
        <w:rPr>
          <w:rFonts w:ascii="Arial" w:cs="Arial" w:eastAsia="Arial" w:hAnsi="Arial"/>
          <w:sz w:val="18"/>
          <w:szCs w:val="18"/>
          <w:color w:val="212529"/>
        </w:rPr>
        <w:t>, we had restricted cash of approximately $2.1 billion which we applied to pay a portion of the purchase price of the acquisition. We entered into a foreign exchange forward contract to hedge the risk of appreciation of the GBP denominated purchase price for the William Hill Acquisition. On March 25, 2021, the forward contract was settled, for which the Company received $41 million in proceeds.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2020, the Company entered into a debt financing commitment letter pursuant to which the lenders party thereto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which was amended and restated on December 11, 2020 in order to join additional lenders as parties thereto.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Pending negotiations of the definitive loan agreement for the Debt Financing, on October 6, 2020, we entered into a £1.5 billion interim facilities agreement (the “Interim Facilities Agreement”) with Deutsche Bank AG, London Branch and JPMorgan Chase Bank, N.A. to provide: (a) a 90-day £1.0 billion interim asset sale bridge facility and (b) a 90-day £503 million interim cash confirmation bridge facility, which Interim Facilities Agreement was amended and restated on December 11, 2020 in order to join additional lenders as parties thereto.</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jc w:val="both"/>
        <w:spacing w:after="0" w:line="290"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The Bridge Credit Agreement provides for (a) a 540-day £1.0 billion asset sale bridge facility, (b) a 60-day £503 million cash confirmation bridge facility and (c) a 540-day £116 million revolving credit facility.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will be used for working capital and general corporate purposes. The Interim Facilities Agreement was terminated upon the execution of the Bridge Credit Agreement for the Debt Financing. The Bridge Credit Agreement is included within William Hill’s non-U.S. operations which is expected to be divested.</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our primary capital requirements going forward will relate to the operation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2021 are expected to significantly increase as a result of the additional properties acquired in the Merger and new development projects. We funded $400 million to escrow as of the closing of the Merger and have begun to utilize those funds in accordance with a three year capital expenditure plan in the state of New Jersey. This amount is currently included in restricted cash. As of March 31, 2021, our restricted cash balance in the escrow account was $376 million for future capital expenditures in New Jersey.</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On August 27, 2020, Hurricane Laura made landfall on Lake Charles as a Category 4 storm. The hurricane severely damaged Lake Charles and the Company has begun to receive insurance proceeds related to, in part, estimated damages and repairs that have been incurred to the property. A portion of the proceeds received is expected to be utilized for the construction of a new land-based casino which is expected to be completed in 2022.</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Cash spent for capital expenditures totaled $65 million </w:t>
      </w:r>
      <w:r>
        <w:rPr>
          <w:rFonts w:ascii="Arial" w:cs="Arial" w:eastAsia="Arial" w:hAnsi="Arial"/>
          <w:sz w:val="18"/>
          <w:szCs w:val="18"/>
          <w:color w:val="000000"/>
        </w:rPr>
        <w:t>and $23 million</w:t>
      </w:r>
      <w:r>
        <w:rPr>
          <w:rFonts w:ascii="Arial" w:cs="Arial" w:eastAsia="Arial" w:hAnsi="Arial"/>
          <w:sz w:val="18"/>
          <w:szCs w:val="18"/>
          <w:color w:val="212529"/>
        </w:rPr>
        <w:t xml:space="preserve"> for the three months ended </w:t>
      </w:r>
      <w:r>
        <w:rPr>
          <w:rFonts w:ascii="Arial" w:cs="Arial" w:eastAsia="Arial" w:hAnsi="Arial"/>
          <w:sz w:val="18"/>
          <w:szCs w:val="18"/>
          <w:color w:val="000000"/>
        </w:rPr>
        <w:t>March 31, 2021 and</w:t>
      </w:r>
      <w:r>
        <w:rPr>
          <w:rFonts w:ascii="Arial" w:cs="Arial" w:eastAsia="Arial" w:hAnsi="Arial"/>
          <w:sz w:val="18"/>
          <w:szCs w:val="18"/>
          <w:color w:val="212529"/>
        </w:rPr>
        <w:t xml:space="preserve"> 2020, respectively. The following table summarizes our capital expenditures for the three months ended March 31, 2021, and an estimated range of capital expenditures for the remainder of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80" w:type="dxa"/>
            <w:vAlign w:val="bottom"/>
          </w:tcPr>
          <w:p>
            <w:pPr>
              <w:jc w:val="center"/>
              <w:ind w:left="199"/>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Estimate of Remaining</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94"/>
              </w:rPr>
              <w:t>March 31, 2021</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Capital Expenditures for 2021</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80" w:type="dxa"/>
            <w:vAlign w:val="bottom"/>
          </w:tcPr>
          <w:p>
            <w:pPr>
              <w:jc w:val="center"/>
              <w:ind w:left="219"/>
              <w:spacing w:after="0" w:line="172" w:lineRule="exact"/>
              <w:rPr>
                <w:sz w:val="20"/>
                <w:szCs w:val="20"/>
                <w:color w:val="auto"/>
              </w:rPr>
            </w:pPr>
            <w:r>
              <w:rPr>
                <w:rFonts w:ascii="Arial" w:cs="Arial" w:eastAsia="Arial" w:hAnsi="Arial"/>
                <w:sz w:val="16"/>
                <w:szCs w:val="16"/>
                <w:b w:val="1"/>
                <w:bCs w:val="1"/>
                <w:color w:val="auto"/>
                <w:w w:val="93"/>
              </w:rPr>
              <w:t>Actual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rPr>
              <w:t>Low</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99"/>
              <w:spacing w:after="0" w:line="172" w:lineRule="exact"/>
              <w:rPr>
                <w:sz w:val="20"/>
                <w:szCs w:val="20"/>
                <w:color w:val="auto"/>
              </w:rPr>
            </w:pPr>
            <w:r>
              <w:rPr>
                <w:rFonts w:ascii="Arial" w:cs="Arial" w:eastAsia="Arial" w:hAnsi="Arial"/>
                <w:sz w:val="16"/>
                <w:szCs w:val="16"/>
                <w:b w:val="1"/>
                <w:bCs w:val="1"/>
                <w:color w:val="auto"/>
              </w:rPr>
              <w:t>High</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880" w:type="dxa"/>
            <w:vAlign w:val="bottom"/>
            <w:shd w:val="clear" w:color="auto" w:fill="CCEEFF"/>
          </w:tcPr>
          <w:p>
            <w:pPr>
              <w:jc w:val="right"/>
              <w:ind w:right="16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Indiana racing operations</w:t>
            </w:r>
          </w:p>
        </w:tc>
        <w:tc>
          <w:tcPr>
            <w:tcW w:w="1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8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Lake Charles</w:t>
            </w:r>
          </w:p>
        </w:tc>
        <w:tc>
          <w:tcPr>
            <w:tcW w:w="18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Orleans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growth and maintenance projects</w:t>
            </w:r>
          </w:p>
        </w:tc>
        <w:tc>
          <w:tcPr>
            <w:tcW w:w="1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4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6"/>
                <w:szCs w:val="16"/>
                <w:color w:val="auto"/>
              </w:rPr>
              <w:t>Total estimated capital expenditures from unrestricted cash and insurance</w:t>
            </w:r>
          </w:p>
        </w:tc>
        <w:tc>
          <w:tcPr>
            <w:tcW w:w="18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w:t>
            </w:r>
          </w:p>
        </w:tc>
        <w:tc>
          <w:tcPr>
            <w:tcW w:w="18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ind w:right="169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significant portion of our liquidity needs are for debt service and payments associated with our leases. Our estimated debt service (including principal and interest) is approximately $610 million for the remainder of 2021. We also lease certain real property assets from third parties, including GLPI and VICI. We estimate our lease payments to be approximately $900 million for the remainder of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5% Convertible Notes are convertible at any time at the option of the holders thereof or the Company. We do not intend to exercise our option to cause the conversion of the 5% Convertible Notes prior to maturity. During the three months ended March 31, 2021, conversions have been negligible. At such time as the holders of the 5% Convertible Notes elect to cause conversion, we estimate using cash of $379 million and issuing 4.5 million shares to settle the remaining outstanding 5% Convertible Notes as of March 31, 2021.</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jc w:val="both"/>
        <w:spacing w:after="0" w:line="308" w:lineRule="auto"/>
        <w:rPr>
          <w:sz w:val="20"/>
          <w:szCs w:val="20"/>
          <w:color w:val="auto"/>
        </w:rPr>
      </w:pPr>
      <w:r>
        <w:rPr>
          <w:rFonts w:ascii="Arial" w:cs="Arial" w:eastAsia="Arial" w:hAnsi="Arial"/>
          <w:sz w:val="17"/>
          <w:szCs w:val="17"/>
          <w:color w:val="auto"/>
        </w:rPr>
        <w:t>On April 6, 2021, the Company consummated the sale of the equity interests of MontBleu for $15 million, subject to a customary working capital adjustment, resulting in a loss of approximately $2 million. The purchase price is due no later than the first anniversary of the closing of the sale.</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3, 2020, the Company and VICI entered into agreement to sell Harrah’s Louisiana Downs with Rubico Acquisition Corp. for $22 million, subject to a customary working capital adjustment, where the proceeds will be split between the Company and VICI. The sale is subject to satisfaction of customary conditions, including receipt of required regulatory approvals and is expected to close in the third quarter of 2021.</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2020, the Company entered into an agreement to sell Evansville to GLPI and Bally’s Corporation for $480 million in cash, subject to a customary working capital adjustment. The sale is subject to satisfaction of customary conditions, including receipt of required regulatory approvals and is expected to close in mid-2021.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Baton Rouge. The definitive agreement provides that the consummation of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an agreement to sell the equity interests of Caesars Southern Indiana to the EBCI for $250 million, subject to a customary working capital adjustment.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In addition to the agreements above, we also expect to enter into additional agreements to divest of Horseshoe Hammond </w:t>
      </w:r>
      <w:r>
        <w:rPr>
          <w:rFonts w:ascii="Arial" w:cs="Arial" w:eastAsia="Arial" w:hAnsi="Arial"/>
          <w:sz w:val="18"/>
          <w:szCs w:val="18"/>
          <w:color w:val="000000"/>
        </w:rPr>
        <w:t>prior to December 31, 2021</w:t>
      </w:r>
      <w:r>
        <w:rPr>
          <w:rFonts w:ascii="Arial" w:cs="Arial" w:eastAsia="Arial" w:hAnsi="Arial"/>
          <w:sz w:val="18"/>
          <w:szCs w:val="18"/>
          <w:color w:val="212529"/>
        </w:rPr>
        <w:t>. Further, we expect to divest of several other non-core properties including our international properties within our Caesars UK group, which includes Emerald Resorts Casino.</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our current liquidity, cash flows from operations, availability of borrowings under committed credit facilities and proceeds from the</w:t>
      </w:r>
      <w:r>
        <w:rPr>
          <w:rFonts w:ascii="Arial" w:cs="Arial" w:eastAsia="Arial" w:hAnsi="Arial"/>
          <w:sz w:val="17"/>
          <w:szCs w:val="17"/>
          <w:color w:val="auto"/>
        </w:rPr>
        <w:t xml:space="preserve"> </w:t>
      </w:r>
      <w:r>
        <w:rPr>
          <w:rFonts w:ascii="Arial" w:cs="Arial" w:eastAsia="Arial" w:hAnsi="Arial"/>
          <w:sz w:val="17"/>
          <w:szCs w:val="17"/>
          <w:color w:val="212529"/>
        </w:rPr>
        <w:t xml:space="preserve">announced asset sales will be sufficient to fund our operations, capital requirements and service our outstanding indebtedness for the next twelve months. However, the COVID-19 public health emergency has had, and is expected to continue to have, an adverse effect on our business, financial condition and results of operations and has caused, and may continue to cause, disruption in the financial markets. While we have undertaken efforts to mitigate the impacts of the COVID-19 </w:t>
      </w:r>
      <w:r>
        <w:rPr>
          <w:rFonts w:ascii="Arial" w:cs="Arial" w:eastAsia="Arial" w:hAnsi="Arial"/>
          <w:sz w:val="17"/>
          <w:szCs w:val="17"/>
          <w:color w:val="000000"/>
        </w:rPr>
        <w:t>public health emergency</w:t>
      </w:r>
      <w:r>
        <w:rPr>
          <w:rFonts w:ascii="Arial" w:cs="Arial" w:eastAsia="Arial" w:hAnsi="Arial"/>
          <w:sz w:val="17"/>
          <w:szCs w:val="17"/>
          <w:color w:val="212529"/>
        </w:rPr>
        <w:t xml:space="preserve"> on our business and maintain liquidity, the extent of the ongoing and future effects of the COVID-19 public health emergency on our business, results of operations and financial condition is uncertain and may adversely impact our liquidity in the future. Our ability to access additional capital may be adversely affected by the disruption in the financial markets caused by the COVID-19 public health emergency, restrictions on incurring additional indebtedness contained in the agreements governing our indebtedness and the impact of the public health emergency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Caesars Resort Collection (“CRC”) Credit Agreement, the CEI Revolving Credit Facility, and the indentures related to the CEI Senior Secured Notes, the CEI Senior Notes, the CRC Senior Secured Notes and the CRC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The indenture for the 5% Convertible Notes contains limited covenants as a result of amendments that became effective in connection with the consummation of the Merger.</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 Due to the effects of the COVID-19 public health emergency, the current terms of the CRC Credit Agreement and the CEI Revolving Credit Facility provide that the financial covenant measurement period is not effective through September 30, 2021 so long as CRC and the Company, respectively, comply with a minimum liquidity requirement, which includes any such availability under the applicable revolving credit facilities.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Master Lease and VICI leases contain certain operating, capital expenditure and financial covenants, including minimum capital improvement expenditures and a rent coverage ratio.</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As of March 31, 2021,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we acquired 223,823 shares of common stock under the program at an aggregate value of $9 million and an average of $40.80 per share. No shares were repurchased during the three months ended March 31, 2021 and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assumed various long-term debt arrangements, financing obligations and leases, previously described, associated with Former Caesars as result of the consummation of the Merger. See Note 2 for a description of the Merger and the related obligations assumed and Note 8 for additional contractual obligations. There have been no material changes during the three months ended March 31, 2021 to our contractual obligations as disclosed in Part II, Item 7 of our Annual Report on Form 10-K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8 to our unaudited consolidated condensed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2020. There have been no material changes since December 31, 2020. We have not substantively changed the application of our policies and there have been no material changes in assumptions or estimation techniques used as compared to those described in our Annual Report on Form 10-K for the year ended December 31,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long-term variable-rate debt arrangements.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our long-term variable-rate borrowings totaled $6.3 billion under the CRC term loans and no amounts were outstanding under the CEI Revolving Credit Facility and CRC Revolving Credit Facility. Long-term variable-rate borrowings under the CRC term loans represented approximately 42% of our long-term debt as of March 31, 2021. Of our $15.0 billion face value of debt, as of March 31, 2021, we have entered into seven interest rate swap agreements to fix the interest rate on $2.3 billion of variable rate debt, and $4.0 billion of debt remains subject to variable interest rates for the term of the agreement. During the three months ended March 31, 2021, the weighted average interest rates on our variable and fixed rate debt were 3.36% and 6.40%, respectively.</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London Inter-bank Offered Rate (“LIBOR”) is expected to be discontinued after 2021. The interest rate per annum applicable to loans under our credit facilities is, at our option, either LIBOR plus a margin or a base rate plus a margin.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33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212529"/>
        </w:rPr>
        <w:t>On October 9, 2020, the Company entered into a foreign exchange forward contract to hedge the risk of appreciation of the GBP denominated purchase price related to William Hill PLC, pursuant to which the Company agreed to purchase £536 million at a contracted exchange rate. On March 25, 2021, the forward contract was settled, for which the Company received $41 million in proceeds.</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212529"/>
        </w:rPr>
        <w:t>Subsequent to March 31, 2021, the Company entered into foreign exchange swap agreements in order to mitigate the risk of changes in foreign currency exchange rates. We are contracted to purchase £237 million at a contracted rate which we expect to settle in June 2021. We have also contracted to sell £487 million that we expect to settle in December 2021. We may elect to enter into additional such agreements as we continue to mitigate our exposure to changes in foreign currency exchange rates.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three months ended March 31, 2021.</w:t>
      </w:r>
    </w:p>
    <w:p>
      <w:pPr>
        <w:spacing w:after="0" w:line="13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BF2115"/>
        </w:rPr>
        <w:t>Item 4.</w:t>
      </w:r>
      <w:r>
        <w:rPr>
          <w:sz w:val="20"/>
          <w:szCs w:val="20"/>
          <w:color w:val="auto"/>
        </w:rPr>
        <w:tab/>
      </w:r>
      <w:r>
        <w:rPr>
          <w:rFonts w:ascii="Arial" w:cs="Arial" w:eastAsia="Arial" w:hAnsi="Arial"/>
          <w:sz w:val="19"/>
          <w:szCs w:val="19"/>
          <w:b w:val="1"/>
          <w:bCs w:val="1"/>
          <w:color w:val="BF2115"/>
        </w:rPr>
        <w:t>Controls and Procedures</w:t>
      </w:r>
    </w:p>
    <w:p>
      <w:pPr>
        <w:spacing w:after="0" w:line="16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continues to integrate our internal controls over financial reporting following the Merger. As a result of these integration activities, certain controls will be evaluated and may be changed.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2021 that have materially affected, or are reasonably likely to materially affect, our internal control over financial reporting.</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BF2115"/>
        </w:rPr>
        <w:t>Item 1.</w:t>
      </w:r>
      <w:r>
        <w:rPr>
          <w:sz w:val="20"/>
          <w:szCs w:val="20"/>
          <w:color w:val="auto"/>
        </w:rPr>
        <w:tab/>
      </w:r>
      <w:r>
        <w:rPr>
          <w:rFonts w:ascii="Arial" w:cs="Arial" w:eastAsia="Arial" w:hAnsi="Arial"/>
          <w:sz w:val="18"/>
          <w:szCs w:val="18"/>
          <w:b w:val="1"/>
          <w:bCs w:val="1"/>
          <w:color w:val="BF2115"/>
        </w:rPr>
        <w:t>Legal Proceedings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a discussion of our “Legal Proceedings,” refer to Note 8 to our consolidated condensed financial statements located elsewhere in this Quarterly Report on Form 10-Q and Note 11 to our Consolidated Financial Statements included in our Annual Report on Form 10-K for the year ended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 Regarding Forward-Looking Information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on our business and financial condition;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consummate the disposition of certain of our properties, including the planned sale of William Hill’s non-U.S. operations and the required divestitures of certain properties located in Indiana;</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expectations regarding our business and results of operations of our existing casino properties and prospects for future development;</w:t>
      </w:r>
    </w:p>
    <w:p>
      <w:pPr>
        <w:spacing w:after="0" w:line="86" w:lineRule="exact"/>
        <w:rPr>
          <w:rFonts w:ascii="Arial" w:cs="Arial" w:eastAsia="Arial" w:hAnsi="Arial"/>
          <w:sz w:val="16"/>
          <w:szCs w:val="16"/>
          <w:color w:val="auto"/>
        </w:rPr>
      </w:pPr>
    </w:p>
    <w:p>
      <w:pPr>
        <w:ind w:left="1300" w:right="2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1300" w:hanging="644"/>
        <w:spacing w:after="0" w:line="316" w:lineRule="auto"/>
        <w:tabs>
          <w:tab w:leader="none" w:pos="1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spacing w:after="0" w:line="1" w:lineRule="exact"/>
        <w:rPr>
          <w:rFonts w:ascii="Arial" w:cs="Arial" w:eastAsia="Arial" w:hAnsi="Arial"/>
          <w:sz w:val="16"/>
          <w:szCs w:val="16"/>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Merger, William Hill Acquisition and future development and acquisition opportunities; and</w:t>
      </w:r>
    </w:p>
    <w:p>
      <w:pPr>
        <w:spacing w:after="0" w:line="8"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may differ materially from any future results,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12" w:lineRule="exact"/>
        <w:rPr>
          <w:sz w:val="20"/>
          <w:szCs w:val="20"/>
          <w:color w:val="auto"/>
        </w:rPr>
      </w:pPr>
    </w:p>
    <w:p>
      <w:pPr>
        <w:ind w:left="130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and duration of the impact of the global COVID-19 public health emergency on the Company’s business, financial results and liquidity;</w:t>
      </w:r>
    </w:p>
    <w:p>
      <w:pPr>
        <w:spacing w:after="0" w:line="8"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actions we have undertaken to reduce costs and improve efficiencies to mitigate losses as a result of the COVID-19 public health emergency, which could negatively impact guest loyalty and our ability to attract and retain our employees;</w:t>
      </w:r>
    </w:p>
    <w:p>
      <w:pPr>
        <w:spacing w:after="0" w:line="31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53" w:name="page54"/>
    <w:bookmarkEnd w:id="53"/>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and resulting unemployment and changes in general economic conditions on discretionary consumer spending and customer demand;</w:t>
      </w:r>
    </w:p>
    <w:p>
      <w:pPr>
        <w:spacing w:after="0" w:line="8"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our lease arrangements, could adversely affect our results of operations and our ability to service such obligations, react to changes in our markets and pursue development and acquisition opportunities;</w:t>
      </w:r>
    </w:p>
    <w:p>
      <w:pPr>
        <w:spacing w:after="0" w:line="2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and leased properties could significantly affect our ability to operate our business and our liquidity;</w:t>
      </w:r>
    </w:p>
    <w:p>
      <w:pPr>
        <w:spacing w:after="0" w:line="8"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leases of our casino properties with VICI and GLPI;</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financial, operational, regulatory or other potential challenges that may arise as a result of leasing of a number of our properties;</w:t>
      </w:r>
    </w:p>
    <w:p>
      <w:pPr>
        <w:spacing w:after="0" w:line="74" w:lineRule="exact"/>
        <w:rPr>
          <w:rFonts w:ascii="Arial" w:cs="Arial" w:eastAsia="Arial" w:hAnsi="Arial"/>
          <w:sz w:val="17"/>
          <w:szCs w:val="17"/>
          <w:color w:val="auto"/>
        </w:rPr>
      </w:pPr>
    </w:p>
    <w:p>
      <w:pPr>
        <w:ind w:left="1300" w:right="2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8"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uncertainty regarding legalization of betting and online gaming in the jurisdictions in which we operate and conditions applicable to obtaining the licenses required to enable us to conduct betting and online gaming activities;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lease arrangements;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 of war, terrorist activity, acts of violence, natural disasters, public health emergencies and other catastrophic events;</w:t>
      </w:r>
    </w:p>
    <w:p>
      <w:pPr>
        <w:spacing w:after="0" w:line="74" w:lineRule="exact"/>
        <w:rPr>
          <w:rFonts w:ascii="Arial" w:cs="Arial" w:eastAsia="Arial" w:hAnsi="Arial"/>
          <w:sz w:val="17"/>
          <w:szCs w:val="17"/>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acquisition of William Hill and the disposition of Evansville, Southern Indiana, Baton Rouge, Harrah’s Louisiana Downs and certain of our other properties, including the planned sale of William Hill’s non-U.S. operations and the required divestitures of certain properties located in Indiana, create additional risks, uncertainties and other important factors, including but not limited to:</w:t>
      </w:r>
    </w:p>
    <w:p>
      <w:pPr>
        <w:spacing w:after="0" w:line="13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possibility that we are not able to enter into agreements to sell assets that we intend to divest on terms that are acceptable to us;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possibility that post-closing regulatory approvals of the acquisition of William Hill PLC impose conditions or are not obtained;</w:t>
      </w:r>
    </w:p>
    <w:p>
      <w:pPr>
        <w:spacing w:after="0" w:line="182" w:lineRule="exact"/>
        <w:rPr>
          <w:rFonts w:ascii="Arial" w:cs="Arial" w:eastAsia="Arial" w:hAnsi="Arial"/>
          <w:sz w:val="17"/>
          <w:szCs w:val="17"/>
          <w:color w:val="auto"/>
        </w:rPr>
      </w:pPr>
    </w:p>
    <w:p>
      <w:pPr>
        <w:ind w:left="1300" w:hanging="644"/>
        <w:spacing w:after="0" w:line="277"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possibility that the proposed transactions are not consummated when expected or at all because required regulatory or other approvals are not received or other conditions to the consummation thereof are not satisfied on a timely basis or at all;</w:t>
      </w:r>
    </w:p>
    <w:p>
      <w:pPr>
        <w:spacing w:after="0" w:line="8"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possibility that one or more of such transactions do not close on the terms described herein or that we are required to modify aspects of one or more of such transactions to obtain, or otherwise take action to satisfy conditions imposed in connection with, required regulatory approvals;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increased leverage as a result of the William Hill Acquisition;</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4" w:name="page55"/>
    <w:bookmarkEnd w:id="54"/>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that the anticipated benefits of the proposed transactions are not realized when expected or at all;</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incurrence of significant transaction and acquisition-related costs and the possibility that the transactions may be more expensive to complete than expected;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responses to the proposed transactions;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regulatory and economic developments;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that our business or William Hill’s business may suffer as a result of the announcement of the acquisition;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retain certain of our key employees and William Hills’ key employees;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proposed transactions, or the failure to consummate the proposed transactions, on our stock price;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management’s attention from our ongoing operations; and</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announcement or consummation of the proposed transactions on the Company’s relationships with third parties, which may make it more difficult to maintain business relationships.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2020. There have been no material changes to those risk factors during the three months ended 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2021, we issued 196 shares of unregistered Company Common Stock to holders of 5% Convertible Notes due 2024 upon conversion of $14 thousand in aggregate principal amount of such notes. For further information regarding such transactions, see Note 7, Fair Value Measurements, of the Notes to Condensed Consolidated Financial Statements in this Quarterly Report on Form 10-Q. The shares of common stock were issued in reliance on the exemption from registration provided by Section 3(a)(9) of the Securities Act of 1933, as amended.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BF2115"/>
        </w:rPr>
        <w:t>Item 6. Exhibits</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2240" w:type="dxa"/>
            <w:vAlign w:val="bottom"/>
          </w:tcPr>
          <w:p>
            <w:pPr>
              <w:jc w:val="center"/>
              <w:ind w:right="1648"/>
              <w:spacing w:after="0"/>
              <w:rPr>
                <w:sz w:val="20"/>
                <w:szCs w:val="20"/>
                <w:color w:val="auto"/>
              </w:rPr>
            </w:pPr>
            <w:r>
              <w:rPr>
                <w:rFonts w:ascii="Arial" w:cs="Arial" w:eastAsia="Arial" w:hAnsi="Arial"/>
                <w:sz w:val="14"/>
                <w:szCs w:val="14"/>
                <w:b w:val="1"/>
                <w:bCs w:val="1"/>
                <w:color w:val="auto"/>
                <w:w w:val="94"/>
              </w:rPr>
              <w:t>Exhibit</w:t>
            </w:r>
          </w:p>
        </w:tc>
        <w:tc>
          <w:tcPr>
            <w:tcW w:w="52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Description of Exhibit</w:t>
            </w:r>
          </w:p>
        </w:tc>
        <w:tc>
          <w:tcPr>
            <w:tcW w:w="3100" w:type="dxa"/>
            <w:vAlign w:val="bottom"/>
            <w:vMerge w:val="restart"/>
          </w:tcPr>
          <w:p>
            <w:pPr>
              <w:ind w:left="1940"/>
              <w:spacing w:after="0"/>
              <w:rPr>
                <w:sz w:val="20"/>
                <w:szCs w:val="20"/>
                <w:color w:val="auto"/>
              </w:rPr>
            </w:pPr>
            <w:r>
              <w:rPr>
                <w:rFonts w:ascii="Arial" w:cs="Arial" w:eastAsia="Arial" w:hAnsi="Arial"/>
                <w:sz w:val="16"/>
                <w:szCs w:val="16"/>
                <w:b w:val="1"/>
                <w:bCs w:val="1"/>
                <w:color w:val="auto"/>
                <w:w w:val="92"/>
              </w:rPr>
              <w:t>Method of Filing</w:t>
            </w:r>
          </w:p>
        </w:tc>
        <w:tc>
          <w:tcPr>
            <w:tcW w:w="0" w:type="dxa"/>
            <w:vAlign w:val="bottom"/>
          </w:tcPr>
          <w:p>
            <w:pPr>
              <w:spacing w:after="0"/>
              <w:rPr>
                <w:sz w:val="1"/>
                <w:szCs w:val="1"/>
                <w:color w:val="auto"/>
              </w:rPr>
            </w:pPr>
          </w:p>
        </w:tc>
      </w:tr>
      <w:tr>
        <w:trPr>
          <w:trHeight w:val="206"/>
        </w:trPr>
        <w:tc>
          <w:tcPr>
            <w:tcW w:w="2240" w:type="dxa"/>
            <w:vAlign w:val="bottom"/>
          </w:tcPr>
          <w:p>
            <w:pPr>
              <w:jc w:val="center"/>
              <w:ind w:right="1648"/>
              <w:spacing w:after="0"/>
              <w:rPr>
                <w:sz w:val="20"/>
                <w:szCs w:val="20"/>
                <w:color w:val="auto"/>
              </w:rPr>
            </w:pPr>
            <w:r>
              <w:rPr>
                <w:rFonts w:ascii="Arial" w:cs="Arial" w:eastAsia="Arial" w:hAnsi="Arial"/>
                <w:sz w:val="14"/>
                <w:szCs w:val="14"/>
                <w:b w:val="1"/>
                <w:bCs w:val="1"/>
                <w:color w:val="auto"/>
                <w:w w:val="98"/>
              </w:rPr>
              <w:t>Number</w:t>
            </w:r>
          </w:p>
        </w:tc>
        <w:tc>
          <w:tcPr>
            <w:tcW w:w="5200" w:type="dxa"/>
            <w:vAlign w:val="bottom"/>
            <w:vMerge w:val="continue"/>
          </w:tcPr>
          <w:p>
            <w:pPr>
              <w:spacing w:after="0"/>
              <w:rPr>
                <w:sz w:val="17"/>
                <w:szCs w:val="17"/>
                <w:color w:val="auto"/>
              </w:rPr>
            </w:pP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0940"/>
          </w:cols>
          <w:pgMar w:left="320" w:top="1260" w:right="639" w:bottom="1440" w:gutter="0" w:footer="0" w:header="0"/>
        </w:sectPr>
      </w:pPr>
    </w:p>
    <w:p>
      <w:pPr>
        <w:spacing w:after="0" w:line="6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3.1</w:t>
      </w:r>
    </w:p>
    <w:p>
      <w:pPr>
        <w:spacing w:after="0" w:line="248"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3.2</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31.1</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31.2</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32.1</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32.2</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99.1</w:t>
      </w:r>
    </w:p>
    <w:p>
      <w:pPr>
        <w:spacing w:after="0" w:line="100"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101.1</w:t>
      </w:r>
    </w:p>
    <w:p>
      <w:pPr>
        <w:spacing w:after="0" w:line="136"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101.2</w:t>
      </w:r>
    </w:p>
    <w:p>
      <w:pPr>
        <w:spacing w:after="0" w:line="136"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101.3</w:t>
      </w:r>
    </w:p>
    <w:p>
      <w:pPr>
        <w:spacing w:after="0" w:line="136"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101.4</w:t>
      </w:r>
    </w:p>
    <w:p>
      <w:pPr>
        <w:spacing w:after="0" w:line="136"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101.5</w:t>
      </w:r>
    </w:p>
    <w:p>
      <w:pPr>
        <w:spacing w:after="0" w:line="136"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101.6</w:t>
      </w:r>
    </w:p>
    <w:p>
      <w:pPr>
        <w:spacing w:after="0" w:line="13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Pr>
          <w:p>
            <w:pPr>
              <w:spacing w:after="0"/>
              <w:rPr>
                <w:sz w:val="16"/>
                <w:szCs w:val="16"/>
                <w:color w:val="auto"/>
              </w:rPr>
            </w:pPr>
          </w:p>
        </w:tc>
        <w:tc>
          <w:tcPr>
            <w:tcW w:w="6680" w:type="dxa"/>
            <w:vAlign w:val="bottom"/>
            <w:gridSpan w:val="9"/>
          </w:tcPr>
          <w:p>
            <w:pPr>
              <w:ind w:left="20"/>
              <w:spacing w:after="0"/>
              <w:rPr>
                <w:rFonts w:ascii="Arial" w:cs="Arial" w:eastAsia="Arial" w:hAnsi="Arial"/>
                <w:sz w:val="16"/>
                <w:szCs w:val="16"/>
                <w:color w:val="0000FF"/>
              </w:rPr>
            </w:pPr>
            <w:hyperlink r:id="rId73">
              <w:r>
                <w:rPr>
                  <w:rFonts w:ascii="Arial" w:cs="Arial" w:eastAsia="Arial" w:hAnsi="Arial"/>
                  <w:sz w:val="16"/>
                  <w:szCs w:val="16"/>
                  <w:color w:val="0000FF"/>
                </w:rPr>
                <w:t>Certificate of Incorporation of Caesars Entertainment, Inc.</w:t>
              </w:r>
            </w:hyperlink>
          </w:p>
        </w:tc>
        <w:tc>
          <w:tcPr>
            <w:tcW w:w="3380" w:type="dxa"/>
            <w:vAlign w:val="bottom"/>
          </w:tcPr>
          <w:p>
            <w:pPr>
              <w:ind w:left="1460"/>
              <w:spacing w:after="0"/>
              <w:rPr>
                <w:sz w:val="20"/>
                <w:szCs w:val="20"/>
                <w:color w:val="auto"/>
              </w:rPr>
            </w:pPr>
            <w:r>
              <w:rPr>
                <w:rFonts w:ascii="Arial" w:cs="Arial" w:eastAsia="Arial" w:hAnsi="Arial"/>
                <w:sz w:val="16"/>
                <w:szCs w:val="16"/>
                <w:color w:val="auto"/>
                <w:w w:val="94"/>
              </w:rPr>
              <w:t>Previously filed on Form 8-K</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50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380" w:type="dxa"/>
            <w:vAlign w:val="bottom"/>
          </w:tcPr>
          <w:p>
            <w:pPr>
              <w:ind w:left="1460"/>
              <w:spacing w:after="0" w:line="179" w:lineRule="exact"/>
              <w:rPr>
                <w:sz w:val="20"/>
                <w:szCs w:val="20"/>
                <w:color w:val="auto"/>
              </w:rPr>
            </w:pPr>
            <w:r>
              <w:rPr>
                <w:rFonts w:ascii="Arial" w:cs="Arial" w:eastAsia="Arial" w:hAnsi="Arial"/>
                <w:sz w:val="16"/>
                <w:szCs w:val="16"/>
                <w:color w:val="auto"/>
              </w:rPr>
              <w:t>filed on July 21, 2020.</w:t>
            </w: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6680" w:type="dxa"/>
            <w:vAlign w:val="bottom"/>
            <w:gridSpan w:val="9"/>
          </w:tcPr>
          <w:p>
            <w:pPr>
              <w:ind w:left="20"/>
              <w:spacing w:after="0"/>
              <w:rPr>
                <w:rFonts w:ascii="Arial" w:cs="Arial" w:eastAsia="Arial" w:hAnsi="Arial"/>
                <w:sz w:val="16"/>
                <w:szCs w:val="16"/>
                <w:color w:val="0000FF"/>
              </w:rPr>
            </w:pPr>
            <w:hyperlink r:id="rId74">
              <w:r>
                <w:rPr>
                  <w:rFonts w:ascii="Arial" w:cs="Arial" w:eastAsia="Arial" w:hAnsi="Arial"/>
                  <w:sz w:val="16"/>
                  <w:szCs w:val="16"/>
                  <w:color w:val="0000FF"/>
                </w:rPr>
                <w:t>Bylaws of Caesars Entertainment, Inc.</w:t>
              </w:r>
            </w:hyperlink>
          </w:p>
        </w:tc>
        <w:tc>
          <w:tcPr>
            <w:tcW w:w="3380" w:type="dxa"/>
            <w:vAlign w:val="bottom"/>
          </w:tcPr>
          <w:p>
            <w:pPr>
              <w:ind w:left="1460"/>
              <w:spacing w:after="0"/>
              <w:rPr>
                <w:sz w:val="20"/>
                <w:szCs w:val="20"/>
                <w:color w:val="auto"/>
              </w:rPr>
            </w:pPr>
            <w:r>
              <w:rPr>
                <w:rFonts w:ascii="Arial" w:cs="Arial" w:eastAsia="Arial" w:hAnsi="Arial"/>
                <w:sz w:val="16"/>
                <w:szCs w:val="16"/>
                <w:color w:val="auto"/>
                <w:w w:val="94"/>
              </w:rPr>
              <w:t>Previously filed on Form 8-K</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50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380" w:type="dxa"/>
            <w:vAlign w:val="bottom"/>
          </w:tcPr>
          <w:p>
            <w:pPr>
              <w:ind w:left="1460"/>
              <w:spacing w:after="0" w:line="179" w:lineRule="exact"/>
              <w:rPr>
                <w:sz w:val="20"/>
                <w:szCs w:val="20"/>
                <w:color w:val="auto"/>
              </w:rPr>
            </w:pPr>
            <w:r>
              <w:rPr>
                <w:rFonts w:ascii="Arial" w:cs="Arial" w:eastAsia="Arial" w:hAnsi="Arial"/>
                <w:sz w:val="16"/>
                <w:szCs w:val="16"/>
                <w:color w:val="auto"/>
              </w:rPr>
              <w:t>filed on July 21, 2020.</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6680" w:type="dxa"/>
            <w:vAlign w:val="bottom"/>
            <w:gridSpan w:val="9"/>
          </w:tcPr>
          <w:p>
            <w:pPr>
              <w:ind w:left="20"/>
              <w:spacing w:after="0"/>
              <w:rPr>
                <w:rFonts w:ascii="Arial" w:cs="Arial" w:eastAsia="Arial" w:hAnsi="Arial"/>
                <w:sz w:val="16"/>
                <w:szCs w:val="16"/>
                <w:color w:val="0000FF"/>
              </w:rPr>
            </w:pPr>
            <w:hyperlink w:anchor="page58">
              <w:r>
                <w:rPr>
                  <w:rFonts w:ascii="Arial" w:cs="Arial" w:eastAsia="Arial" w:hAnsi="Arial"/>
                  <w:sz w:val="16"/>
                  <w:szCs w:val="16"/>
                  <w:color w:val="0000FF"/>
                </w:rPr>
                <w:t>Form of Employment Assignment Agreement</w:t>
              </w:r>
            </w:hyperlink>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80" w:type="dxa"/>
            <w:vAlign w:val="bottom"/>
            <w:vMerge w:val="restart"/>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line="20" w:lineRule="exact"/>
              <w:rPr>
                <w:sz w:val="1"/>
                <w:szCs w:val="1"/>
                <w:color w:val="auto"/>
              </w:rPr>
            </w:pPr>
          </w:p>
        </w:tc>
      </w:tr>
      <w:tr>
        <w:trPr>
          <w:trHeight w:val="277"/>
        </w:trPr>
        <w:tc>
          <w:tcPr>
            <w:tcW w:w="280" w:type="dxa"/>
            <w:vAlign w:val="bottom"/>
          </w:tcPr>
          <w:p>
            <w:pPr>
              <w:spacing w:after="0"/>
              <w:rPr>
                <w:sz w:val="24"/>
                <w:szCs w:val="24"/>
                <w:color w:val="auto"/>
              </w:rPr>
            </w:pPr>
          </w:p>
        </w:tc>
        <w:tc>
          <w:tcPr>
            <w:tcW w:w="6680" w:type="dxa"/>
            <w:vAlign w:val="bottom"/>
            <w:gridSpan w:val="9"/>
          </w:tcPr>
          <w:p>
            <w:pPr>
              <w:ind w:left="20"/>
              <w:spacing w:after="0"/>
              <w:rPr>
                <w:rFonts w:ascii="Arial" w:cs="Arial" w:eastAsia="Arial" w:hAnsi="Arial"/>
                <w:sz w:val="16"/>
                <w:szCs w:val="16"/>
                <w:color w:val="0000FF"/>
              </w:rPr>
            </w:pPr>
            <w:hyperlink w:anchor="page59">
              <w:r>
                <w:rPr>
                  <w:rFonts w:ascii="Arial" w:cs="Arial" w:eastAsia="Arial" w:hAnsi="Arial"/>
                  <w:sz w:val="16"/>
                  <w:szCs w:val="16"/>
                  <w:color w:val="0000FF"/>
                </w:rPr>
                <w:t>Certification of Thomas R. Reeg pursuant to Rule 13a-14a and Rule 15d-14(a)</w:t>
              </w:r>
            </w:hyperlink>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5100" w:type="dxa"/>
            <w:vAlign w:val="bottom"/>
            <w:tcBorders>
              <w:top w:val="single" w:sz="8" w:color="0000FF"/>
            </w:tcBorders>
            <w:gridSpan w:val="8"/>
          </w:tcPr>
          <w:p>
            <w:pPr>
              <w:ind w:left="20"/>
              <w:spacing w:after="0"/>
              <w:rPr>
                <w:rFonts w:ascii="Arial" w:cs="Arial" w:eastAsia="Arial" w:hAnsi="Arial"/>
                <w:sz w:val="16"/>
                <w:szCs w:val="16"/>
                <w:color w:val="0000FF"/>
                <w:w w:val="97"/>
              </w:rPr>
            </w:pPr>
            <w:hyperlink w:anchor="page60">
              <w:r>
                <w:rPr>
                  <w:rFonts w:ascii="Arial" w:cs="Arial" w:eastAsia="Arial" w:hAnsi="Arial"/>
                  <w:sz w:val="16"/>
                  <w:szCs w:val="16"/>
                  <w:color w:val="0000FF"/>
                  <w:w w:val="97"/>
                </w:rPr>
                <w:t>Certification of Bret Yunker pursuant to Rule 13a-14a and Rule 15d-14(a)</w:t>
              </w:r>
            </w:hyperlink>
          </w:p>
        </w:tc>
        <w:tc>
          <w:tcPr>
            <w:tcW w:w="1580" w:type="dxa"/>
            <w:vAlign w:val="bottom"/>
          </w:tcPr>
          <w:p>
            <w:pPr>
              <w:spacing w:after="0"/>
              <w:rPr>
                <w:sz w:val="24"/>
                <w:szCs w:val="24"/>
                <w:color w:val="auto"/>
              </w:rPr>
            </w:pP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380" w:type="dxa"/>
            <w:vAlign w:val="bottom"/>
            <w:vMerge w:val="restart"/>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line="20" w:lineRule="exact"/>
              <w:rPr>
                <w:sz w:val="1"/>
                <w:szCs w:val="1"/>
                <w:color w:val="auto"/>
              </w:rPr>
            </w:pPr>
          </w:p>
        </w:tc>
      </w:tr>
      <w:tr>
        <w:trPr>
          <w:trHeight w:val="277"/>
        </w:trPr>
        <w:tc>
          <w:tcPr>
            <w:tcW w:w="280" w:type="dxa"/>
            <w:vAlign w:val="bottom"/>
          </w:tcPr>
          <w:p>
            <w:pPr>
              <w:spacing w:after="0"/>
              <w:rPr>
                <w:sz w:val="24"/>
                <w:szCs w:val="24"/>
                <w:color w:val="auto"/>
              </w:rPr>
            </w:pPr>
          </w:p>
        </w:tc>
        <w:tc>
          <w:tcPr>
            <w:tcW w:w="6680" w:type="dxa"/>
            <w:vAlign w:val="bottom"/>
            <w:gridSpan w:val="9"/>
          </w:tcPr>
          <w:p>
            <w:pPr>
              <w:ind w:left="20"/>
              <w:spacing w:after="0"/>
              <w:rPr>
                <w:rFonts w:ascii="Arial" w:cs="Arial" w:eastAsia="Arial" w:hAnsi="Arial"/>
                <w:sz w:val="16"/>
                <w:szCs w:val="16"/>
                <w:color w:val="0000FF"/>
              </w:rPr>
            </w:pPr>
            <w:hyperlink w:anchor="page61">
              <w:r>
                <w:rPr>
                  <w:rFonts w:ascii="Arial" w:cs="Arial" w:eastAsia="Arial" w:hAnsi="Arial"/>
                  <w:sz w:val="16"/>
                  <w:szCs w:val="16"/>
                  <w:color w:val="0000FF"/>
                </w:rPr>
                <w:t>Certification of Thomas R. Reeg in accordance with 18 U.S.C. Section 1350</w:t>
              </w:r>
            </w:hyperlink>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4960" w:type="dxa"/>
            <w:vAlign w:val="bottom"/>
            <w:tcBorders>
              <w:top w:val="single" w:sz="8" w:color="0000FF"/>
            </w:tcBorders>
            <w:gridSpan w:val="7"/>
          </w:tcPr>
          <w:p>
            <w:pPr>
              <w:ind w:left="20"/>
              <w:spacing w:after="0"/>
              <w:rPr>
                <w:rFonts w:ascii="Arial" w:cs="Arial" w:eastAsia="Arial" w:hAnsi="Arial"/>
                <w:sz w:val="16"/>
                <w:szCs w:val="16"/>
                <w:color w:val="0000FF"/>
                <w:w w:val="98"/>
              </w:rPr>
            </w:pPr>
            <w:hyperlink w:anchor="page62">
              <w:r>
                <w:rPr>
                  <w:rFonts w:ascii="Arial" w:cs="Arial" w:eastAsia="Arial" w:hAnsi="Arial"/>
                  <w:sz w:val="16"/>
                  <w:szCs w:val="16"/>
                  <w:color w:val="0000FF"/>
                  <w:w w:val="98"/>
                </w:rPr>
                <w:t>Certification of Bret Yunker in accordance with 18 U.S.C. Section 1350</w:t>
              </w:r>
            </w:hyperlink>
          </w:p>
        </w:tc>
        <w:tc>
          <w:tcPr>
            <w:tcW w:w="1720" w:type="dxa"/>
            <w:vAlign w:val="bottom"/>
            <w:gridSpan w:val="2"/>
          </w:tcPr>
          <w:p>
            <w:pPr>
              <w:spacing w:after="0"/>
              <w:rPr>
                <w:sz w:val="24"/>
                <w:szCs w:val="24"/>
                <w:color w:val="auto"/>
              </w:rPr>
            </w:pP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3780" w:type="dxa"/>
            <w:vAlign w:val="bottom"/>
            <w:tcBorders>
              <w:top w:val="single" w:sz="8" w:color="0000FF"/>
              <w:bottom w:val="single" w:sz="8" w:color="0000FF"/>
            </w:tcBorders>
            <w:gridSpan w:val="3"/>
          </w:tcPr>
          <w:p>
            <w:pPr>
              <w:ind w:left="20"/>
              <w:spacing w:after="0"/>
              <w:rPr>
                <w:rFonts w:ascii="Arial" w:cs="Arial" w:eastAsia="Arial" w:hAnsi="Arial"/>
                <w:sz w:val="16"/>
                <w:szCs w:val="16"/>
                <w:color w:val="0000FF"/>
                <w:w w:val="92"/>
              </w:rPr>
            </w:pPr>
            <w:hyperlink w:anchor="page63">
              <w:r>
                <w:rPr>
                  <w:rFonts w:ascii="Arial" w:cs="Arial" w:eastAsia="Arial" w:hAnsi="Arial"/>
                  <w:sz w:val="16"/>
                  <w:szCs w:val="16"/>
                  <w:color w:val="0000FF"/>
                  <w:w w:val="92"/>
                </w:rPr>
                <w:t>Financial Information of Caesars Resorts Collection, LLC</w:t>
              </w:r>
            </w:hyperlink>
          </w:p>
        </w:tc>
        <w:tc>
          <w:tcPr>
            <w:tcW w:w="880" w:type="dxa"/>
            <w:vAlign w:val="bottom"/>
            <w:tcBorders>
              <w:top w:val="single" w:sz="8" w:color="0000FF"/>
            </w:tcBorders>
            <w:gridSpan w:val="2"/>
          </w:tcPr>
          <w:p>
            <w:pPr>
              <w:spacing w:after="0"/>
              <w:rPr>
                <w:sz w:val="24"/>
                <w:szCs w:val="24"/>
                <w:color w:val="auto"/>
              </w:rPr>
            </w:pPr>
          </w:p>
        </w:tc>
        <w:tc>
          <w:tcPr>
            <w:tcW w:w="2020" w:type="dxa"/>
            <w:vAlign w:val="bottom"/>
            <w:gridSpan w:val="4"/>
          </w:tcPr>
          <w:p>
            <w:pPr>
              <w:spacing w:after="0"/>
              <w:rPr>
                <w:sz w:val="24"/>
                <w:szCs w:val="24"/>
                <w:color w:val="auto"/>
              </w:rPr>
            </w:pP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312"/>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Inline XBRL Instance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80" w:type="dxa"/>
            <w:vAlign w:val="bottom"/>
            <w:gridSpan w:val="9"/>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3380" w:type="dxa"/>
            <w:vAlign w:val="bottom"/>
          </w:tcPr>
          <w:p>
            <w:pPr>
              <w:ind w:left="14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580"/>
        </w:trPr>
        <w:tc>
          <w:tcPr>
            <w:tcW w:w="6960" w:type="dxa"/>
            <w:vAlign w:val="bottom"/>
            <w:gridSpan w:val="10"/>
          </w:tcPr>
          <w:p>
            <w:pPr>
              <w:spacing w:after="0"/>
              <w:rPr>
                <w:sz w:val="20"/>
                <w:szCs w:val="20"/>
                <w:color w:val="auto"/>
              </w:rPr>
            </w:pPr>
            <w:r>
              <w:rPr>
                <w:rFonts w:ascii="Arial" w:cs="Arial" w:eastAsia="Arial" w:hAnsi="Arial"/>
                <w:sz w:val="16"/>
                <w:szCs w:val="16"/>
                <w:color w:val="auto"/>
              </w:rPr>
              <w:t>Denotes a management contract or compensatory plan or arrangement.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0" w:space="20"/>
            <w:col w:w="10340"/>
          </w:cols>
          <w:pgMar w:left="320" w:top="1260" w:right="639" w:bottom="1440" w:gutter="0" w:footer="0" w:header="0"/>
          <w:type w:val="continuous"/>
        </w:sectPr>
      </w:pPr>
    </w:p>
    <w:p>
      <w:pPr>
        <w:spacing w:after="0" w:line="26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60" w:right="639" w:bottom="1440" w:gutter="0" w:footer="0" w:header="0"/>
          <w:type w:val="continuous"/>
        </w:sectPr>
      </w:pPr>
    </w:p>
    <w:bookmarkStart w:id="56" w:name="page57"/>
    <w:bookmarkEnd w:id="56"/>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80"/>
          </w:cols>
          <w:pgMar w:left="320" w:top="1417" w:right="999" w:bottom="1440" w:gutter="0" w:footer="0" w:header="0"/>
        </w:sectPr>
      </w:pPr>
    </w:p>
    <w:bookmarkStart w:id="57" w:name="page58"/>
    <w:bookmarkEnd w:id="57"/>
    <w:p>
      <w:pPr>
        <w:ind w:left="10120"/>
        <w:spacing w:after="0"/>
        <w:rPr>
          <w:sz w:val="20"/>
          <w:szCs w:val="20"/>
          <w:color w:val="auto"/>
        </w:rPr>
      </w:pPr>
      <w:r>
        <w:rPr>
          <w:rFonts w:ascii="Arial" w:cs="Arial" w:eastAsia="Arial" w:hAnsi="Arial"/>
          <w:sz w:val="19"/>
          <w:szCs w:val="19"/>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ASSIGNMENT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Caesars Entertainment, Inc. (f/k/a Eldorado Resorts,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 (“</w:t>
      </w:r>
      <w:r>
        <w:rPr>
          <w:rFonts w:ascii="Arial" w:cs="Arial" w:eastAsia="Arial" w:hAnsi="Arial"/>
          <w:sz w:val="19"/>
          <w:szCs w:val="19"/>
          <w:u w:val="single" w:color="auto"/>
          <w:color w:val="auto"/>
        </w:rPr>
        <w:t>Employee</w:t>
      </w:r>
      <w:r>
        <w:rPr>
          <w:rFonts w:ascii="Arial" w:cs="Arial" w:eastAsia="Arial" w:hAnsi="Arial"/>
          <w:sz w:val="19"/>
          <w:szCs w:val="19"/>
          <w:color w:val="auto"/>
        </w:rPr>
        <w:t>”) are</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parties to that certain Executive Employment Agreement dated as of [________], (as amended from time to time,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effective as of January 1, 2021, the Company centralized its payroll operations by transferring such operations to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Caesars Entertainment Services (“</w:t>
      </w:r>
      <w:r>
        <w:rPr>
          <w:rFonts w:ascii="Arial" w:cs="Arial" w:eastAsia="Arial" w:hAnsi="Arial"/>
          <w:sz w:val="22"/>
          <w:szCs w:val="22"/>
          <w:u w:val="single" w:color="auto"/>
          <w:color w:val="auto"/>
        </w:rPr>
        <w:t>CES</w:t>
      </w:r>
      <w:r>
        <w:rPr>
          <w:rFonts w:ascii="Arial" w:cs="Arial" w:eastAsia="Arial" w:hAnsi="Arial"/>
          <w:sz w:val="22"/>
          <w:szCs w:val="22"/>
          <w:color w:val="auto"/>
        </w:rPr>
        <w:t>”), with CES becoming the new employer of record for impacted employees; and</w:t>
      </w:r>
    </w:p>
    <w:p>
      <w:pPr>
        <w:spacing w:after="0" w:line="176" w:lineRule="exact"/>
        <w:rPr>
          <w:sz w:val="20"/>
          <w:szCs w:val="20"/>
          <w:color w:val="auto"/>
        </w:rPr>
      </w:pPr>
    </w:p>
    <w:p>
      <w:pPr>
        <w:ind w:right="180"/>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foregoing, the parties to this Assignment Agreement (this “</w:t>
      </w:r>
      <w:r>
        <w:rPr>
          <w:rFonts w:ascii="Arial" w:cs="Arial" w:eastAsia="Arial" w:hAnsi="Arial"/>
          <w:sz w:val="19"/>
          <w:szCs w:val="19"/>
          <w:u w:val="single" w:color="auto"/>
          <w:color w:val="auto"/>
        </w:rPr>
        <w:t>Assignment</w:t>
      </w:r>
      <w:r>
        <w:rPr>
          <w:rFonts w:ascii="Arial" w:cs="Arial" w:eastAsia="Arial" w:hAnsi="Arial"/>
          <w:sz w:val="19"/>
          <w:szCs w:val="19"/>
          <w:color w:val="auto"/>
        </w:rPr>
        <w:t>”) wish to reflect (i)</w:t>
      </w:r>
      <w:r>
        <w:rPr>
          <w:rFonts w:ascii="Arial" w:cs="Arial" w:eastAsia="Arial" w:hAnsi="Arial"/>
          <w:sz w:val="19"/>
          <w:szCs w:val="19"/>
          <w:b w:val="1"/>
          <w:bCs w:val="1"/>
          <w:color w:val="auto"/>
        </w:rPr>
        <w:t xml:space="preserve"> </w:t>
      </w:r>
      <w:r>
        <w:rPr>
          <w:rFonts w:ascii="Arial" w:cs="Arial" w:eastAsia="Arial" w:hAnsi="Arial"/>
          <w:sz w:val="19"/>
          <w:szCs w:val="19"/>
          <w:color w:val="auto"/>
        </w:rPr>
        <w:t>the assignment of the Employment Agreement to CES, and (ii) the transfer of Employee’s employment thereunder to CES.</w:t>
      </w:r>
    </w:p>
    <w:p>
      <w:pPr>
        <w:spacing w:after="0" w:line="94" w:lineRule="exact"/>
        <w:rPr>
          <w:sz w:val="20"/>
          <w:szCs w:val="20"/>
          <w:color w:val="auto"/>
        </w:rPr>
      </w:pPr>
    </w:p>
    <w:p>
      <w:pPr>
        <w:ind w:right="440"/>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to this Assignment hereby agree that (i) the Employment Agreement has been assigned to</w:t>
      </w:r>
      <w:r>
        <w:rPr>
          <w:rFonts w:ascii="Arial" w:cs="Arial" w:eastAsia="Arial" w:hAnsi="Arial"/>
          <w:sz w:val="22"/>
          <w:szCs w:val="22"/>
          <w:b w:val="1"/>
          <w:bCs w:val="1"/>
          <w:color w:val="auto"/>
        </w:rPr>
        <w:t xml:space="preserve"> </w:t>
      </w:r>
      <w:r>
        <w:rPr>
          <w:rFonts w:ascii="Arial" w:cs="Arial" w:eastAsia="Arial" w:hAnsi="Arial"/>
          <w:sz w:val="22"/>
          <w:szCs w:val="22"/>
          <w:color w:val="auto"/>
        </w:rPr>
        <w:t>CES, and (ii) the Employee’s employment thereunder has been transferred to 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Caesars Entertainment,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Caesars Entertainment Services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FFFFFF"/>
        </w:rPr>
        <w:t>02012.00000</w:t>
      </w:r>
    </w:p>
    <w:p>
      <w:pPr>
        <w:sectPr>
          <w:pgSz w:w="11900" w:h="16838" w:orient="portrait"/>
          <w:cols w:equalWidth="0" w:num="1">
            <w:col w:w="11240"/>
          </w:cols>
          <w:pgMar w:left="320" w:top="14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64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2021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64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2021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present the balance sheets as of March 31, 2021 and December 31, 2020, statements of operations and cash flows for the three months ended March 31, 2021 and 2020, and Adjusted EBITDA for the three months ended March 31, 2021 of Caesars Resort Collection, LLC (“CRC”), as it consolidates into CEI as a wholly-owned subsidiary. “Other Operations, Eliminations” presents the operations of CEI’s other subsidiaries, including eliminations of intercompany transactions. CEI consolidated balances do not include CRC until the period starting from July 20,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March 31, 2021 and December 31, 2020 are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4"/>
              </w:rPr>
              <w:t>March 31, 2021</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rights and other intangibles,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80" w:type="dxa"/>
            <w:vAlign w:val="bottom"/>
            <w:gridSpan w:val="4"/>
            <w:shd w:val="clear" w:color="auto" w:fill="CCEEFF"/>
          </w:tcPr>
          <w:p>
            <w:pPr>
              <w:ind w:left="560"/>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March 31, 2021 and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w w:val="95"/>
              </w:rPr>
              <w:t>Three Months Ended March 31, 2021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Three Months Ended March 31, 2020</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(a)</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1,140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1,699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1,513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(loss) income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Net income (loss) attributable to noncontrolling</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interests</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43"/>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three months ended March 31, 2021 and 2020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b w:val="1"/>
                <w:bCs w:val="1"/>
                <w:color w:val="auto"/>
                <w:w w:val="95"/>
              </w:rPr>
              <w:t>Three Months Ended March 31, 2021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Three Months Ended March 31, 2020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(a)</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Proceeds from sale of businesses, property and</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equipment, net of cash sold</w:t>
            </w: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insurance</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CCEEFF"/>
            </w:tcBorders>
            <w:gridSpan w:val="2"/>
            <w:shd w:val="clear" w:color="auto" w:fill="CCEEFF"/>
          </w:tcPr>
          <w:p>
            <w:pPr>
              <w:ind w:left="460"/>
              <w:spacing w:after="0" w:line="148" w:lineRule="exact"/>
              <w:rPr>
                <w:sz w:val="20"/>
                <w:szCs w:val="20"/>
                <w:color w:val="auto"/>
              </w:rPr>
            </w:pPr>
            <w:r>
              <w:rPr>
                <w:rFonts w:ascii="Arial" w:cs="Arial" w:eastAsia="Arial" w:hAnsi="Arial"/>
                <w:sz w:val="16"/>
                <w:szCs w:val="16"/>
                <w:color w:val="auto"/>
              </w:rPr>
              <w:t>Net cash (used in) provided by investing</w:t>
            </w: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activities</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6"/>
              </w:rPr>
              <w:t>Proceeds from long-term debt and revolving credit</w:t>
            </w:r>
          </w:p>
        </w:tc>
        <w:tc>
          <w:tcPr>
            <w:tcW w:w="2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facilities</w:t>
            </w:r>
          </w:p>
        </w:tc>
        <w:tc>
          <w:tcPr>
            <w:tcW w:w="2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5"/>
              </w:rPr>
              <w:t>Repayments of long-term debt and revolving credit</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facilities</w:t>
            </w: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Financing obligation payments</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Transactions with parent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4"/>
              </w:rPr>
              <w:t>Taxes paid related to net share settlement of equity</w:t>
            </w:r>
          </w:p>
        </w:tc>
        <w:tc>
          <w:tcPr>
            <w:tcW w:w="2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awards</w:t>
            </w:r>
          </w:p>
        </w:tc>
        <w:tc>
          <w:tcPr>
            <w:tcW w:w="2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CCEEFF"/>
            </w:tcBorders>
            <w:gridSpan w:val="2"/>
            <w:shd w:val="clear" w:color="auto" w:fill="CCEEFF"/>
          </w:tcPr>
          <w:p>
            <w:pPr>
              <w:ind w:left="460"/>
              <w:spacing w:after="0" w:line="148" w:lineRule="exact"/>
              <w:rPr>
                <w:sz w:val="20"/>
                <w:szCs w:val="20"/>
                <w:color w:val="auto"/>
              </w:rPr>
            </w:pPr>
            <w:r>
              <w:rPr>
                <w:rFonts w:ascii="Arial" w:cs="Arial" w:eastAsia="Arial" w:hAnsi="Arial"/>
                <w:sz w:val="16"/>
                <w:szCs w:val="16"/>
                <w:color w:val="auto"/>
              </w:rPr>
              <w:t>Net cash (used in) provided by financing</w:t>
            </w: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activities</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rPr>
              <w:t>CASH FLOWS FROM DISCONTINUED OPERATIONS: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Net cash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w w:val="97"/>
              </w:rPr>
              <w:t>Effect of foreign currency exchange rates on cash</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6"/>
                <w:szCs w:val="16"/>
                <w:color w:val="auto"/>
                <w:w w:val="95"/>
              </w:rPr>
              <w:t>Increase (decrease) in cash, cash equivalents and</w:t>
            </w: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9"/>
              </w:rPr>
              <w:t>4,216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6"/>
                <w:szCs w:val="16"/>
                <w:color w:val="auto"/>
                <w:w w:val="95"/>
              </w:rPr>
              <w:t>Cash, cash equivalents and restricted cash, end of</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4,254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44"/>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the three months ended March 31, 2021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3"/>
              </w:rPr>
              <w:t>Three Months Ended March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Eliminations</w:t>
            </w:r>
          </w:p>
        </w:tc>
        <w:tc>
          <w:tcPr>
            <w:tcW w:w="140" w:type="dxa"/>
            <w:vAlign w:val="bottom"/>
          </w:tcPr>
          <w:p>
            <w:pPr>
              <w:spacing w:after="0"/>
              <w:rPr>
                <w:sz w:val="15"/>
                <w:szCs w:val="15"/>
                <w:color w:val="auto"/>
              </w:rPr>
            </w:pPr>
          </w:p>
        </w:tc>
        <w:tc>
          <w:tcPr>
            <w:tcW w:w="112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from discontinued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Income tax benefit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items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5"/>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3" Type="http://schemas.openxmlformats.org/officeDocument/2006/relationships/hyperlink" Target="https://www.sec.gov/Archives/edgar/data/1590895/000119312520196232/d940333dex31.htm" TargetMode="External"/><Relationship Id="rId74" Type="http://schemas.openxmlformats.org/officeDocument/2006/relationships/hyperlink" Target="https://www.sec.gov/Archives/edgar/data/1590895/000119312520196232/d94033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2021-05-05T05:23:01Z</dcterms:created>
  <dcterms:modified xsi:type="dcterms:W3CDTF">2021-05-05T05:23:01Z</dcterms:modified>
</cp:coreProperties>
</file>