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400" w:right="700" w:hanging="374"/>
        <w:spacing w:after="0" w:line="231" w:lineRule="auto"/>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00" w:right="680" w:hanging="374"/>
        <w:spacing w:after="0" w:line="231" w:lineRule="auto"/>
        <w:tabs>
          <w:tab w:leader="none" w:pos="4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46-3657681</w:t>
            </w:r>
          </w:p>
        </w:tc>
      </w:tr>
      <w:tr>
        <w:trPr>
          <w:trHeight w:val="144"/>
        </w:trPr>
        <w:tc>
          <w:tcPr>
            <w:tcW w:w="3920" w:type="dxa"/>
            <w:vAlign w:val="bottom"/>
          </w:tcPr>
          <w:p>
            <w:pPr>
              <w:jc w:val="center"/>
              <w:ind w:right="1962"/>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12th Floor, Reno, Nevada 89501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r>
      <w:tr>
        <w:trPr>
          <w:trHeight w:val="20"/>
        </w:trPr>
        <w:tc>
          <w:tcPr>
            <w:tcW w:w="394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4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Common Stock, $.00001 par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86" w:lineRule="exact"/>
        <w:rPr>
          <w:sz w:val="24"/>
          <w:szCs w:val="24"/>
          <w:color w:val="auto"/>
        </w:rPr>
      </w:pPr>
    </w:p>
    <w:p>
      <w:pPr>
        <w:jc w:val="both"/>
        <w:ind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81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8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67" w:lineRule="exact"/>
        <w:rPr>
          <w:sz w:val="24"/>
          <w:szCs w:val="24"/>
          <w:color w:val="auto"/>
        </w:rPr>
      </w:pPr>
    </w:p>
    <w:p>
      <w:pPr>
        <w:ind w:firstLine="810"/>
        <w:spacing w:after="0" w:line="233"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ind w:left="820"/>
        <w:spacing w:after="0" w:line="207" w:lineRule="exact"/>
        <w:tabs>
          <w:tab w:leader="none" w:pos="91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0"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April 28, 2022 was 214,366,139.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Item 1.</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Unaudited Financial Statements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Balance Sheets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Statements of Operations</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Condensed Statements of Comprehensive Income (Loss)</w:t>
              </w:r>
            </w:hyperlink>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Consolidated Condensed Statements of Stockholders’ Equity</w:t>
              </w:r>
            </w:hyperlink>
          </w:p>
        </w:tc>
        <w:tc>
          <w:tcPr>
            <w:tcW w:w="1400" w:type="dxa"/>
            <w:vAlign w:val="bottom"/>
          </w:tcPr>
          <w:p>
            <w:pPr>
              <w:jc w:val="center"/>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Condensed Statements of Cash Flows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Consolidated Condensed Financial Statements</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w:t>
              </w:r>
            </w:hyperlink>
          </w:p>
        </w:tc>
        <w:tc>
          <w:tcPr>
            <w:tcW w:w="6460" w:type="dxa"/>
            <w:vAlign w:val="bottom"/>
            <w:tcBorders>
              <w:bottom w:val="single" w:sz="8" w:color="0000FF"/>
            </w:tcBorders>
            <w:gridSpan w:val="19"/>
            <w:shd w:val="clear" w:color="auto" w:fill="CCEEFF"/>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Management’s Discussion and Analysis of Financial Condition and Results of Operations</w:t>
              </w:r>
            </w:hyperlink>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3.</w:t>
              </w:r>
            </w:hyperlink>
          </w:p>
        </w:tc>
        <w:tc>
          <w:tcPr>
            <w:tcW w:w="8920" w:type="dxa"/>
            <w:vAlign w:val="bottom"/>
            <w:gridSpan w:val="2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1400" w:type="dxa"/>
            <w:vAlign w:val="bottom"/>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4.</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Controls and Procedures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PART II. OTHER INFORMATION</w:t>
              </w:r>
            </w:hyperlink>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50</w:t>
              </w:r>
            </w:hyperlink>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Item 1.</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Legal Proceedings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Item 1A.</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Risk Factors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Item 2.</w:t>
              </w:r>
            </w:hyperlink>
          </w:p>
        </w:tc>
        <w:tc>
          <w:tcPr>
            <w:tcW w:w="8920" w:type="dxa"/>
            <w:vAlign w:val="bottom"/>
            <w:gridSpan w:val="20"/>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Unregistered Sales of Equity Securities and Use of Proceeds</w:t>
              </w:r>
            </w:hyperlink>
          </w:p>
        </w:tc>
        <w:tc>
          <w:tcPr>
            <w:tcW w:w="1400" w:type="dxa"/>
            <w:vAlign w:val="bottom"/>
          </w:tcPr>
          <w:p>
            <w:pPr>
              <w:jc w:val="center"/>
              <w:spacing w:after="0" w:line="20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Item 3.</w:t>
              </w:r>
            </w:hyperlink>
          </w:p>
        </w:tc>
        <w:tc>
          <w:tcPr>
            <w:tcW w:w="8920" w:type="dxa"/>
            <w:vAlign w:val="bottom"/>
            <w:gridSpan w:val="20"/>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Defaults Upon Senior Securities</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Item 4.</w:t>
              </w:r>
            </w:hyperlink>
          </w:p>
        </w:tc>
        <w:tc>
          <w:tcPr>
            <w:tcW w:w="2320" w:type="dxa"/>
            <w:vAlign w:val="bottom"/>
            <w:tcBorders>
              <w:top w:val="single" w:sz="8" w:color="0000FF"/>
            </w:tcBorders>
            <w:gridSpan w:val="10"/>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Mine Safety Disclosures</w:t>
              </w:r>
            </w:hyperlink>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Item 5.</w:t>
              </w:r>
            </w:hyperlink>
          </w:p>
        </w:tc>
        <w:tc>
          <w:tcPr>
            <w:tcW w:w="132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2"/>
              </w:rPr>
            </w:pPr>
            <w:hyperlink w:anchor="page52">
              <w:r>
                <w:rPr>
                  <w:rFonts w:ascii="Arial" w:cs="Arial" w:eastAsia="Arial" w:hAnsi="Arial"/>
                  <w:sz w:val="18"/>
                  <w:szCs w:val="18"/>
                  <w:color w:val="0000FF"/>
                  <w:w w:val="92"/>
                </w:rPr>
                <w:t>Other Information</w:t>
              </w:r>
            </w:hyperlink>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Item 6.</w:t>
              </w:r>
            </w:hyperlink>
          </w:p>
        </w:tc>
        <w:tc>
          <w:tcPr>
            <w:tcW w:w="8920" w:type="dxa"/>
            <w:vAlign w:val="bottom"/>
            <w:gridSpan w:val="20"/>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1400" w:type="dxa"/>
            <w:vAlign w:val="bottom"/>
          </w:tcPr>
          <w:p>
            <w:pPr>
              <w:jc w:val="center"/>
              <w:spacing w:after="0" w:line="189"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52</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rFonts w:ascii="Arial" w:cs="Arial" w:eastAsia="Arial" w:hAnsi="Arial"/>
                <w:sz w:val="18"/>
                <w:szCs w:val="18"/>
                <w:b w:val="1"/>
                <w:bCs w:val="1"/>
                <w:color w:val="0000FF"/>
                <w:w w:val="94"/>
              </w:rPr>
            </w:pPr>
            <w:hyperlink w:anchor="page53">
              <w:r>
                <w:rPr>
                  <w:rFonts w:ascii="Arial" w:cs="Arial" w:eastAsia="Arial" w:hAnsi="Arial"/>
                  <w:sz w:val="18"/>
                  <w:szCs w:val="18"/>
                  <w:b w:val="1"/>
                  <w:bCs w:val="1"/>
                  <w:color w:val="0000FF"/>
                  <w:w w:val="94"/>
                </w:rPr>
                <w:t>Signatures</w:t>
              </w:r>
            </w:hyperlink>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53</w:t>
              </w:r>
            </w:hyperlink>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w w:val="93"/>
              </w:rPr>
              <w:t>ASSETS</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Assets held for sale</w:t>
            </w: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14,637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Gaming rights and other intangibles, net</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11,082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37,073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6840" w:type="dxa"/>
            <w:vAlign w:val="bottom"/>
            <w:tcBorders>
              <w:top w:val="single" w:sz="8" w:color="CCEEFF"/>
              <w:bottom w:val="single" w:sz="8" w:color="CCEEFF"/>
            </w:tcBorders>
            <w:vMerge w:val="restart"/>
          </w:tcPr>
          <w:p>
            <w:pPr>
              <w:jc w:val="center"/>
              <w:ind w:right="679"/>
              <w:spacing w:after="0"/>
              <w:rPr>
                <w:sz w:val="20"/>
                <w:szCs w:val="20"/>
                <w:color w:val="auto"/>
              </w:rPr>
            </w:pPr>
            <w:r>
              <w:rPr>
                <w:rFonts w:ascii="Arial" w:cs="Arial" w:eastAsia="Arial" w:hAnsi="Arial"/>
                <w:sz w:val="16"/>
                <w:szCs w:val="16"/>
                <w:b w:val="1"/>
                <w:bCs w:val="1"/>
                <w:color w:val="auto"/>
              </w:rPr>
              <w:t>LIABILITIES AND STOCKHOLDERS’ EQUITY</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84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5"/>
              </w:rPr>
              <w:t>12,483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13,741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liabilities</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5"/>
              </w:rPr>
              <w:t>33,227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33,490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1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Caesars stockholders’ equity</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Noncontrolling interests</w:t>
            </w: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37,073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and other operating costs,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(loss)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Loss from continuing operations before income taxes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Net loss from continuing operations, net of income taxes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loss attributable to noncontrolling interests</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5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Net loss per share - basic and diluted:</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continuing operations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Basic loss per share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Diluted loss per share from continuing operations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600" w:type="dxa"/>
            <w:vAlign w:val="bottom"/>
            <w:gridSpan w:val="2"/>
            <w:vMerge w:val="continue"/>
          </w:tcPr>
          <w:p>
            <w:pPr>
              <w:spacing w:after="0"/>
              <w:rPr>
                <w:sz w:val="16"/>
                <w:szCs w:val="16"/>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6"/>
                <w:szCs w:val="16"/>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440"/>
              <w:spacing w:after="0"/>
              <w:rPr>
                <w:sz w:val="20"/>
                <w:szCs w:val="20"/>
                <w:color w:val="auto"/>
              </w:rPr>
            </w:pPr>
            <w:r>
              <w:rPr>
                <w:rFonts w:ascii="Arial" w:cs="Arial" w:eastAsia="Arial" w:hAnsi="Arial"/>
                <w:sz w:val="16"/>
                <w:szCs w:val="16"/>
                <w:color w:val="auto"/>
              </w:rPr>
              <w:t>Diluted loss per share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basic shares outstanding</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Weighted average diluted shares outstanding</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fair market value of interest rate swaps, net of tax</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Comprehensive loss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loss attributable to noncontrolling interests</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Comprehensive loss attributable to Caesars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8"/>
              </w:rPr>
              <w:t>(Accumulated</w:t>
            </w:r>
          </w:p>
        </w:tc>
        <w:tc>
          <w:tcPr>
            <w:tcW w:w="12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tcPr>
          <w:p>
            <w:pPr>
              <w:jc w:val="center"/>
              <w:ind w:right="60"/>
              <w:spacing w:after="0" w:line="175" w:lineRule="exact"/>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5"/>
                <w:szCs w:val="15"/>
                <w:color w:val="auto"/>
              </w:rPr>
            </w:pPr>
          </w:p>
        </w:tc>
        <w:tc>
          <w:tcPr>
            <w:tcW w:w="8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89"/>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center"/>
              <w:ind w:left="599"/>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left="599"/>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center"/>
              <w:ind w:left="679"/>
              <w:spacing w:after="0"/>
              <w:rPr>
                <w:sz w:val="20"/>
                <w:szCs w:val="20"/>
                <w:color w:val="auto"/>
              </w:rPr>
            </w:pPr>
            <w:r>
              <w:rPr>
                <w:rFonts w:ascii="Arial" w:cs="Arial" w:eastAsia="Arial" w:hAnsi="Arial"/>
                <w:sz w:val="16"/>
                <w:szCs w:val="16"/>
                <w:color w:val="auto"/>
                <w:w w:val="89"/>
              </w:rPr>
              <w:t>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gridSpan w:val="2"/>
          </w:tcPr>
          <w:p>
            <w:pPr>
              <w:spacing w:after="0" w:line="183" w:lineRule="exact"/>
              <w:rPr>
                <w:sz w:val="20"/>
                <w:szCs w:val="20"/>
                <w:color w:val="auto"/>
              </w:rPr>
            </w:pPr>
            <w:r>
              <w:rPr>
                <w:rFonts w:ascii="Arial" w:cs="Arial" w:eastAsia="Arial" w:hAnsi="Arial"/>
                <w:sz w:val="16"/>
                <w:szCs w:val="16"/>
                <w:color w:val="auto"/>
              </w:rPr>
              <w:t>Balance, March 31, 2021</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208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8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6,391</w:t>
            </w:r>
          </w:p>
        </w:tc>
        <w:tc>
          <w:tcPr>
            <w:tcW w:w="80" w:type="dxa"/>
            <w:vAlign w:val="bottom"/>
          </w:tcPr>
          <w:p>
            <w:pPr>
              <w:spacing w:after="0"/>
              <w:rPr>
                <w:sz w:val="15"/>
                <w:szCs w:val="15"/>
                <w:color w:val="auto"/>
              </w:rPr>
            </w:pPr>
          </w:p>
        </w:tc>
        <w:tc>
          <w:tcPr>
            <w:tcW w:w="14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(1,814)</w:t>
            </w:r>
          </w:p>
        </w:tc>
        <w:tc>
          <w:tcPr>
            <w:tcW w:w="8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jc w:val="center"/>
              <w:ind w:left="679"/>
              <w:spacing w:after="0" w:line="183" w:lineRule="exact"/>
              <w:rPr>
                <w:sz w:val="20"/>
                <w:szCs w:val="20"/>
                <w:color w:val="auto"/>
              </w:rPr>
            </w:pPr>
            <w:r>
              <w:rPr>
                <w:rFonts w:ascii="Arial" w:cs="Arial" w:eastAsia="Arial" w:hAnsi="Arial"/>
                <w:sz w:val="16"/>
                <w:szCs w:val="16"/>
                <w:color w:val="auto"/>
                <w:w w:val="89"/>
              </w:rPr>
              <w:t>45</w:t>
            </w:r>
          </w:p>
        </w:tc>
        <w:tc>
          <w:tcPr>
            <w:tcW w:w="8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(9)</w:t>
            </w:r>
          </w:p>
        </w:tc>
        <w:tc>
          <w:tcPr>
            <w:tcW w:w="8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Pr>
          <w:p>
            <w:pPr>
              <w:ind w:left="580"/>
              <w:spacing w:after="0" w:line="183" w:lineRule="exact"/>
              <w:rPr>
                <w:sz w:val="20"/>
                <w:szCs w:val="20"/>
                <w:color w:val="auto"/>
              </w:rPr>
            </w:pPr>
            <w:r>
              <w:rPr>
                <w:rFonts w:ascii="Arial" w:cs="Arial" w:eastAsia="Arial" w:hAnsi="Arial"/>
                <w:sz w:val="16"/>
                <w:szCs w:val="16"/>
                <w:color w:val="auto"/>
              </w:rPr>
              <w:t>17</w:t>
            </w:r>
          </w:p>
        </w:tc>
        <w:tc>
          <w:tcPr>
            <w:tcW w:w="80" w:type="dxa"/>
            <w:vAlign w:val="bottom"/>
          </w:tcPr>
          <w:p>
            <w:pPr>
              <w:spacing w:after="0"/>
              <w:rPr>
                <w:sz w:val="15"/>
                <w:szCs w:val="15"/>
                <w:color w:val="auto"/>
              </w:rPr>
            </w:pPr>
          </w:p>
        </w:tc>
        <w:tc>
          <w:tcPr>
            <w:tcW w:w="1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4,630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6"/>
                <w:szCs w:val="16"/>
                <w:color w:val="auto"/>
              </w:rPr>
              <w:t>Balance, December 31, 2021</w:t>
            </w:r>
          </w:p>
        </w:tc>
        <w:tc>
          <w:tcPr>
            <w:tcW w:w="7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6,877</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(2,410)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center"/>
              <w:ind w:left="679"/>
              <w:spacing w:after="0"/>
              <w:rPr>
                <w:sz w:val="20"/>
                <w:szCs w:val="20"/>
                <w:color w:val="auto"/>
              </w:rPr>
            </w:pPr>
            <w:r>
              <w:rPr>
                <w:rFonts w:ascii="Arial" w:cs="Arial" w:eastAsia="Arial" w:hAnsi="Arial"/>
                <w:sz w:val="16"/>
                <w:szCs w:val="16"/>
                <w:color w:val="auto"/>
                <w:w w:val="89"/>
              </w:rPr>
              <w:t>36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580"/>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left="599"/>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left="599"/>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comprehensive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w w:val="91"/>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Shares withheld related to net share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settlement of stock awards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March 31, 2022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89"/>
              </w:rPr>
              <w:t>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provided by (used in) operating activities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Acquisition of gaming rights and trademarks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the sale of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DISCONTINUED OPERATIONS: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Net cash from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Increase (decrease) in cash, cash equivalents and restricted cash</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w w:val="97"/>
              </w:rPr>
              <w:t>RECONCILIATION OF CASH, CASH EQUIVALENTS AND RESTRICTED CASH TO AMOUNTS REPORTED</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WITHIN THE CONSOLIDATED CONDENSED BALANCE SHEETS: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 included in restricted cash and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and cash equivalents and restricted cash held for sale - discontinued operations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4,303</w:t>
            </w:r>
          </w:p>
        </w:tc>
      </w:tr>
      <w:tr>
        <w:trPr>
          <w:trHeight w:val="193"/>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SUPPLEMENTAL DISCLOSURE OF CASH FLOW INFORMATION:</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paid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Income taxes (refunded) paid,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Payables for capital expenditures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Land contributed to joint venture</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This Form 10-Q should be read in conjunction with our Annual Report on Form 10-K for the year ended December 31, 2021 (“2021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but not defined in this Form 10-Q have the same meanings as in the 2021 Annual Report.</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Organization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(“Isle” or “Isle of Capri”) in 2017 and Tropicana Entertainment, Inc. in 2018. On July 20, 2020, the Company completed the merger with Caesars Entertainment Corporation (“Former Caesars”) pursuant to which Former Caesars became a wholly-owned subsidiary of the Company (the “Merger”) and the Company changed the Company’s ticker symbol on the NASDAQ Stock Market from “ERI” to “CZR”.</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the Company completed the acquisition of William Hill PLC for </w:t>
      </w:r>
      <w:r>
        <w:rPr>
          <w:rFonts w:ascii="Arial" w:cs="Arial" w:eastAsia="Arial" w:hAnsi="Arial"/>
          <w:sz w:val="18"/>
          <w:szCs w:val="18"/>
          <w:color w:val="212529"/>
        </w:rPr>
        <w:t>£2.9 billion, or approximately $3.9 billion (the “William Hill</w:t>
      </w:r>
      <w:r>
        <w:rPr>
          <w:rFonts w:ascii="Arial" w:cs="Arial" w:eastAsia="Arial" w:hAnsi="Arial"/>
          <w:sz w:val="18"/>
          <w:szCs w:val="18"/>
          <w:color w:val="auto"/>
        </w:rPr>
        <w:t xml:space="preserve"> </w:t>
      </w:r>
      <w:r>
        <w:rPr>
          <w:rFonts w:ascii="Arial" w:cs="Arial" w:eastAsia="Arial" w:hAnsi="Arial"/>
          <w:sz w:val="18"/>
          <w:szCs w:val="18"/>
          <w:color w:val="212529"/>
        </w:rPr>
        <w:t>Acquisition”). See below for further discussion of the William Hill Acquisition.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leases, brands or manages an aggregate of 52 domestic properties in 16 states with approximately 54,300 slot machines, video lottery terminals and e-tables, approximately 2,900 table games and approximately 47,700 hotel rooms as of March 31, 2022. The Company operates and conducts sports wagering across 23 states and domestic jurisdictions, 16 of which are mobile for sports betting, and operates regulated online real money gaming businesses in five states. In addition, we have other domestic and international properties that are authorized to use the brands and marks of Caesars Entertainment, Inc., as well as other non-gaming properties. The Company’s primary source of revenue is generated by its casino properties’ gaming operations, retail and online sports betting, as well as online gaming, and the Company utilizes its hotels, restaurants, bars, entertainment, racing, retail shops and other services to attract customers to its properties.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operations for retail and mobile sports betting, online casino, and online poker are included under the Caesars Digital segment. The Company has made significant investments into the interactive business with the completion of the Merger and the William Hill Acquisition. In addition, in connection with the launch and rebranding of the Caesars Sportsbook app, our Caesars Digital segment initiated a significant marketing campaign with distinguished actors, former athletes and other media personalities. As new states and jurisdictions have legalized sports betting, we have made significant upfront investment which has been executed through marketing campaigns and promotional incentives to establish ourselves as an industry leader. During active promotional periods, such as entering new jurisdictions with our Caesars Sportsbook app, such activity could result in negative net gaming revenue. The Company intends to limit the duration of active promotion periods and apply discretion to determine the level of investment for a particular jurisdiction. The Caesars Sportsbook app offers numerous pre-match and live markets, extensive odds and flexible limits, player props, and same-game parlays. Caesars Sportsbook has partnerships with the NFL, NBA, NHL and MLB and is the exclusive odds provider for ESPN and CBS Sports. The Company also intends to continue to create new partnerships among collegiate and professional sports teams and entered into the exclusive naming-rights partnership to rebrand the Superdome in New Orleans as the Caesars Superdome. The Company expects to continue to expand its operations in the Caesars Digital segment as new jurisdictions legalize retail and online sports betting.</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divested certain properties and other assets, including non-core properties and divestitures required by regulatory agencies. See Note 3 for a discussion of properties recently sold or currently held for sale and Note 15 for segment information.</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William Hill Acquisition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22, 2021, the Company completed the acquisition of William Hill PLC for </w:t>
      </w:r>
      <w:r>
        <w:rPr>
          <w:rFonts w:ascii="Arial" w:cs="Arial" w:eastAsia="Arial" w:hAnsi="Arial"/>
          <w:sz w:val="18"/>
          <w:szCs w:val="18"/>
          <w:color w:val="212529"/>
        </w:rPr>
        <w:t>£2.9 billion</w:t>
      </w:r>
      <w:r>
        <w:rPr>
          <w:rFonts w:ascii="Arial" w:cs="Arial" w:eastAsia="Arial" w:hAnsi="Arial"/>
          <w:sz w:val="18"/>
          <w:szCs w:val="18"/>
          <w:color w:val="auto"/>
        </w:rPr>
        <w:t xml:space="preserve">, or approximately </w:t>
      </w:r>
      <w:r>
        <w:rPr>
          <w:rFonts w:ascii="Arial" w:cs="Arial" w:eastAsia="Arial" w:hAnsi="Arial"/>
          <w:sz w:val="18"/>
          <w:szCs w:val="18"/>
          <w:color w:val="212529"/>
        </w:rPr>
        <w:t>$3.9 billion</w:t>
      </w:r>
      <w:r>
        <w:rPr>
          <w:rFonts w:ascii="Arial" w:cs="Arial" w:eastAsia="Arial" w:hAnsi="Arial"/>
          <w:sz w:val="18"/>
          <w:szCs w:val="18"/>
          <w:color w:val="auto"/>
        </w:rPr>
        <w:t>. See Note 2.</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we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Hill’s non-U.S. operations including the UK and international online divisions and the retail betting shops (collectively, “William Hill International”), all of which are held for sale as of the date of the closing of the William Hill Acquisition and are reflected within discontinued operations. See Note 3. Certain investments acquired have been excluded from the held for sale asset group. See Note 7 for investments in which the Company elected to apply the fair value option.</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September 8, 2021, the Company entered into an agreement to sell William Hill International to 888 Holdings Plc for approximately £2.2 billion. On April 7, 2022, the Company amended the agreement to sell the non-US assets of William Hill to 888 Holdings Plc for a revised enterprise value of approximately £2.0 billion. The amended agreement reflects a £250 million reduction in consideration payable at closing and up to £100 million as deferred consideration to be paid to the Company, subject to 888 Holdings Plc meeting certain 2023 financial targets. </w:t>
      </w:r>
      <w:r>
        <w:rPr>
          <w:rFonts w:ascii="Arial" w:cs="Arial" w:eastAsia="Arial" w:hAnsi="Arial"/>
          <w:sz w:val="17"/>
          <w:szCs w:val="17"/>
          <w:color w:val="212529"/>
        </w:rPr>
        <w:t>As a result of the reduction in sales price, the</w:t>
      </w:r>
      <w:r>
        <w:rPr>
          <w:rFonts w:ascii="Arial" w:cs="Arial" w:eastAsia="Arial" w:hAnsi="Arial"/>
          <w:sz w:val="17"/>
          <w:szCs w:val="17"/>
          <w:color w:val="auto"/>
        </w:rPr>
        <w:t xml:space="preserve"> </w:t>
      </w:r>
      <w:r>
        <w:rPr>
          <w:rFonts w:ascii="Arial" w:cs="Arial" w:eastAsia="Arial" w:hAnsi="Arial"/>
          <w:sz w:val="17"/>
          <w:szCs w:val="17"/>
          <w:color w:val="212529"/>
        </w:rPr>
        <w:t xml:space="preserve">Company recorded an impairment to assets held for sale of $329 million within discontinued operations during the three months ended March 31, 2022. </w:t>
      </w:r>
      <w:r>
        <w:rPr>
          <w:rFonts w:ascii="Arial" w:cs="Arial" w:eastAsia="Arial" w:hAnsi="Arial"/>
          <w:sz w:val="17"/>
          <w:szCs w:val="17"/>
          <w:color w:val="000000"/>
        </w:rPr>
        <w:t xml:space="preserve">After repayment of the outstanding debt under the Bridge Credit Agreement, described above, the Company expects to receive approximately £585 million, or $785 million, subject to any permitted leakage, which is customary for sale transactions in the UK. See Note 2. In order to </w:t>
      </w:r>
      <w:r>
        <w:rPr>
          <w:rFonts w:ascii="Arial" w:cs="Arial" w:eastAsia="Arial" w:hAnsi="Arial"/>
          <w:sz w:val="17"/>
          <w:szCs w:val="17"/>
          <w:color w:val="212529"/>
        </w:rPr>
        <w:t>manage the risk of changes in</w:t>
      </w:r>
      <w:r>
        <w:rPr>
          <w:rFonts w:ascii="Arial" w:cs="Arial" w:eastAsia="Arial" w:hAnsi="Arial"/>
          <w:sz w:val="17"/>
          <w:szCs w:val="17"/>
          <w:color w:val="000000"/>
        </w:rPr>
        <w:t xml:space="preserve"> </w:t>
      </w:r>
      <w:r>
        <w:rPr>
          <w:rFonts w:ascii="Arial" w:cs="Arial" w:eastAsia="Arial" w:hAnsi="Arial"/>
          <w:sz w:val="17"/>
          <w:szCs w:val="17"/>
          <w:color w:val="212529"/>
        </w:rPr>
        <w:t xml:space="preserve">the GBP denominated sales price and expected proceeds, the Company has entered into foreign exchange forward contracts. See </w:t>
      </w:r>
      <w:r>
        <w:rPr>
          <w:rFonts w:ascii="Arial" w:cs="Arial" w:eastAsia="Arial" w:hAnsi="Arial"/>
          <w:sz w:val="17"/>
          <w:szCs w:val="17"/>
          <w:color w:val="000000"/>
        </w:rPr>
        <w:t>Note 7. The sale is subject</w:t>
      </w:r>
      <w:r>
        <w:rPr>
          <w:rFonts w:ascii="Arial" w:cs="Arial" w:eastAsia="Arial" w:hAnsi="Arial"/>
          <w:sz w:val="17"/>
          <w:szCs w:val="17"/>
          <w:color w:val="212529"/>
        </w:rPr>
        <w:t xml:space="preserve"> </w:t>
      </w:r>
      <w:r>
        <w:rPr>
          <w:rFonts w:ascii="Arial" w:cs="Arial" w:eastAsia="Arial" w:hAnsi="Arial"/>
          <w:sz w:val="17"/>
          <w:szCs w:val="17"/>
          <w:color w:val="000000"/>
        </w:rPr>
        <w:t>to satisfaction of customary closing conditions, including receipt of the approval of shareholders of 888 Holdings Plc and regulatory approvals, and is expected to close in the second quarter of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 In June 2021, the Indiana Gaming Commission amended its order that previously required the Company to sell a third casino asset in the state. As a result, Horseshoe Hammond no longer met the held for sale criteria and the amounts previously presented in discontinued operations have been reclassified into continuing operations for all relevant periods presented.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Financial Statements of the Company and its subsidiaries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presentation of financial information herein for the periods after the Company’s acquisition of William Hill on April 22, 2021 and the acquisition of an additional interest in Horseshoe Baltimore on August 26, 2021 is not fully comparable to the periods prior to the respective acquisitions. In addition, the presentation of financial information herein for the periods after the</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Company’s sales of various properties is not fully comparable to the periods prior to their respective sale dates. See Note 2 for further discussion of the acquisitions and related transactions and Note 3 for properties recently sold or currently held for sale.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Subsidiaries and Variable Interest Entities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include the accounts of Caesars Entertainment, Inc. and its subsidiaries after elimination of all intercompany accounts and transactions.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no longer qualifies, as a VIE, there may be a material effect to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Related to COVID-19</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2020, an outbreak of a new strain of coronavirus (“COVID-19”) was identified and spread throughout much of the world, including the U.S. All of the Company’s casino properties were temporarily closed for the period from mid-March 2020 through mid-May 2020 due to orders issued by various government agencies and tribal bodies as part of certain precautionary measures intended to help slow the spread of COVID-19. The Company has resumed operations at all of its properties with the exception of Lake Charles which was severely damaged by Hurricane Laura. See Note 8. Although the resurgence of the Omicron variant of COVID-19 continued to impact the beginning of the quarter, most of our properties experienced positive trends during the three months ended March 31, 2022 including higher hotel occupancy, particularly in Las Vegas, and increased gaming and food and beverage volume as mandates and restrictions on maximum capacities and amenities available were eased. Future variants, mandates or restrictions imposed by various regulatory bodies are uncertain and could, once again, have a significant impact on our future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Pronouncements Implemented in 2022</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2022, we adopted Accounting Standards Updates (“ASU”) 2020-04 (amended through January 2021), Reference Rate Reform. We will apply this guidance to applicable contracts and instruments if, and when, they are modified. Such application is not expected to have a material effect on our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Acquisitions and Purchase Price Accounting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William Hill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22, 2021, we completed the acquisition of William Hill PLC for cash consideration of approximately </w:t>
      </w:r>
      <w:r>
        <w:rPr>
          <w:rFonts w:ascii="Arial" w:cs="Arial" w:eastAsia="Arial" w:hAnsi="Arial"/>
          <w:sz w:val="18"/>
          <w:szCs w:val="18"/>
          <w:color w:val="212529"/>
        </w:rPr>
        <w:t>£2.9 billion, or approximately $3.9 billion,</w:t>
      </w:r>
      <w:r>
        <w:rPr>
          <w:rFonts w:ascii="Arial" w:cs="Arial" w:eastAsia="Arial" w:hAnsi="Arial"/>
          <w:sz w:val="18"/>
          <w:szCs w:val="18"/>
          <w:color w:val="auto"/>
        </w:rPr>
        <w:t xml:space="preserve"> </w:t>
      </w:r>
      <w:r>
        <w:rPr>
          <w:rFonts w:ascii="Arial" w:cs="Arial" w:eastAsia="Arial" w:hAnsi="Arial"/>
          <w:sz w:val="18"/>
          <w:szCs w:val="18"/>
          <w:color w:val="212529"/>
        </w:rPr>
        <w:t>based on the GBP to USD exchange rate on the closing date</w:t>
      </w:r>
      <w:r>
        <w:rPr>
          <w:rFonts w:ascii="Arial" w:cs="Arial" w:eastAsia="Arial" w:hAnsi="Arial"/>
          <w:sz w:val="18"/>
          <w:szCs w:val="18"/>
          <w:color w:val="000000"/>
        </w:rPr>
        <w:t>.</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Prior to the acquisition, William Hill PLC’s U.S. subsidiary, William Hill U.S. Holdco (“William Hill US” and together with William Hill PLC, “William Hill”) operated 37 sportsbooks at our properties in eight states. Following the William Hill Acquisition, we conduct sports wagering in 23 states across the U.S. plus the District of Columbia. Additionally, we operate regulated online real money gaming businesses in five states and continue to leverage the World Series of Poker (“WSOP”) brand, and license the WSOP trademarks for a variety of products and services. Extensive usage of digital platforms, continued legalization in additional states, and growing bettor demand are driving the market for online sports betting platforms in the U.S. and the William Hill Acquisition positioned us to address this growing market. On September 8, 2021, the Company entered into an agreement to sell William Hill International to 888 Holdings Plc for approximately £2.2 billion. On April 7, 2022, the Company amended the agreement to sell the non-US assets of William Hill to 888 Holdings Plc for a revised enterprise value of approximately £2.0 billion. The amended agreement reflects a £250 million reduction in consideration payable at closing and up to £100 million as deferred consideration to be paid to the Company, subject to 888 Holdings Plc meeting certain 2023 financial targets. </w:t>
      </w:r>
      <w:r>
        <w:rPr>
          <w:rFonts w:ascii="Arial" w:cs="Arial" w:eastAsia="Arial" w:hAnsi="Arial"/>
          <w:sz w:val="17"/>
          <w:szCs w:val="17"/>
          <w:color w:val="212529"/>
        </w:rPr>
        <w:t>As a result of the reduction to the sales price, the Company recorded an impairment to assets held for sale of $329 million within</w:t>
      </w:r>
      <w:r>
        <w:rPr>
          <w:rFonts w:ascii="Arial" w:cs="Arial" w:eastAsia="Arial" w:hAnsi="Arial"/>
          <w:sz w:val="17"/>
          <w:szCs w:val="17"/>
          <w:color w:val="auto"/>
        </w:rPr>
        <w:t xml:space="preserve"> </w:t>
      </w:r>
      <w:r>
        <w:rPr>
          <w:rFonts w:ascii="Arial" w:cs="Arial" w:eastAsia="Arial" w:hAnsi="Arial"/>
          <w:sz w:val="17"/>
          <w:szCs w:val="17"/>
          <w:color w:val="212529"/>
        </w:rPr>
        <w:t xml:space="preserve">discontinued operations during the three months ended March 31, 2022. </w:t>
      </w:r>
      <w:r>
        <w:rPr>
          <w:rFonts w:ascii="Arial" w:cs="Arial" w:eastAsia="Arial" w:hAnsi="Arial"/>
          <w:sz w:val="17"/>
          <w:szCs w:val="17"/>
          <w:color w:val="000000"/>
        </w:rPr>
        <w:t>The sale is</w:t>
      </w:r>
    </w:p>
    <w:p>
      <w:pPr>
        <w:spacing w:after="0" w:line="34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satisfaction of customary closing conditions, including receipt of the approval of shareholders of 888 Holdings Plc and regulatory approvals, and is expected to close in the second quarter of 2022.</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previously held an equity interest in William Hill PLC and William Hill US (see Note 4). Accordingly, the acquisition is accounted for as a business combination achieved in stages, or a “step acquisition.”</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mentioned above, the total purchase consideration for William Hill was approximately </w:t>
      </w:r>
      <w:r>
        <w:rPr>
          <w:rFonts w:ascii="Arial" w:cs="Arial" w:eastAsia="Arial" w:hAnsi="Arial"/>
          <w:sz w:val="18"/>
          <w:szCs w:val="18"/>
          <w:color w:val="212529"/>
        </w:rPr>
        <w:t>$3.9 billion</w:t>
      </w:r>
      <w:r>
        <w:rPr>
          <w:rFonts w:ascii="Arial" w:cs="Arial" w:eastAsia="Arial" w:hAnsi="Arial"/>
          <w:sz w:val="18"/>
          <w:szCs w:val="18"/>
          <w:color w:val="auto"/>
        </w:rPr>
        <w:t>. The estimated purchase consideration in the acquisition was determined with reference to its acquisition date fair value.</w:t>
      </w:r>
    </w:p>
    <w:p>
      <w:pPr>
        <w:sectPr>
          <w:pgSz w:w="11900" w:h="16838" w:orient="portrait"/>
          <w:cols w:equalWidth="0" w:num="1">
            <w:col w:w="11240"/>
          </w:cols>
          <w:pgMar w:left="320" w:top="121" w:right="33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Cash for outstanding William Hill common stock </w:t>
      </w:r>
      <w:r>
        <w:rPr>
          <w:rFonts w:ascii="Arial" w:cs="Arial" w:eastAsia="Arial" w:hAnsi="Arial"/>
          <w:sz w:val="21"/>
          <w:szCs w:val="21"/>
          <w:i w:val="1"/>
          <w:iCs w:val="1"/>
          <w:color w:val="auto"/>
          <w:vertAlign w:val="superscript"/>
        </w:rPr>
        <w:t>(a)</w:t>
      </w:r>
    </w:p>
    <w:p>
      <w:pPr>
        <w:ind w:left="20"/>
        <w:spacing w:after="0"/>
        <w:rPr>
          <w:sz w:val="20"/>
          <w:szCs w:val="20"/>
          <w:color w:val="auto"/>
        </w:rPr>
      </w:pPr>
      <w:r>
        <w:rPr>
          <w:rFonts w:ascii="Arial" w:cs="Arial" w:eastAsia="Arial" w:hAnsi="Arial"/>
          <w:sz w:val="16"/>
          <w:szCs w:val="16"/>
          <w:color w:val="auto"/>
        </w:rPr>
        <w:t>Fair value of William Hill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Settlement of preexisting relationships (net of receivable/payable)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Settlement of preexisting relationships (net of previously held equity investment and off-market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purchase consideration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Consideration</w:t>
      </w:r>
    </w:p>
    <w:p>
      <w:pPr>
        <w:spacing w:after="0" w:line="50" w:lineRule="exact"/>
        <w:rPr>
          <w:sz w:val="20"/>
          <w:szCs w:val="20"/>
          <w:color w:val="auto"/>
        </w:rPr>
      </w:pPr>
    </w:p>
    <w:p>
      <w:pPr>
        <w:ind w:left="1320" w:hanging="1311"/>
        <w:spacing w:after="0"/>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3,909</w:t>
      </w:r>
    </w:p>
    <w:p>
      <w:pPr>
        <w:spacing w:after="0" w:line="32"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30</w:t>
      </w:r>
    </w:p>
    <w:p>
      <w:pPr>
        <w:spacing w:after="0" w:line="32"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(34)</w:t>
      </w:r>
    </w:p>
    <w:p>
      <w:pPr>
        <w:spacing w:after="0" w:line="46" w:lineRule="exact"/>
        <w:rPr>
          <w:sz w:val="20"/>
          <w:szCs w:val="20"/>
          <w:color w:val="auto"/>
        </w:rPr>
      </w:pPr>
    </w:p>
    <w:p>
      <w:pPr>
        <w:ind w:left="1320" w:hanging="1311"/>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3,912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122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8760" w:space="720"/>
            <w:col w:w="176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William Hill common stock of approximately 1.0 billion shares as of the acquisition date was paid at £2.72 per share, or approximately $3.77 per share using the GBP to USD exchange rate on the acquisition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Preliminary Purchase Price Allocation</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purchase price allocation for William Hill is preliminary as it relates to determining the fair value of certain assets and liabilities, including goodwill, and is subject to change. The fair values are based on management’s analysis including preliminary work performed by third-party valuation specialists, which are subject to finalization over the one-year measurement period. The following table summarizes the preliminary allocation of the purchase consideration to the identifiable assets acquired and liabilities assumed of William Hill, with the excess recorded as goodwill as of March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Assets held for sale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4,337</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1,154</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10"/>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6,592</w:t>
            </w: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20" w:type="dxa"/>
            <w:vAlign w:val="bottom"/>
          </w:tcPr>
          <w:p>
            <w:pPr>
              <w:spacing w:after="0"/>
              <w:rPr>
                <w:sz w:val="18"/>
                <w:szCs w:val="18"/>
                <w:color w:val="auto"/>
              </w:rPr>
            </w:pPr>
          </w:p>
        </w:tc>
        <w:tc>
          <w:tcPr>
            <w:tcW w:w="9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Liabilities related to assets held for sale </w:t>
            </w:r>
            <w:r>
              <w:rPr>
                <w:rFonts w:ascii="Arial" w:cs="Arial" w:eastAsia="Arial" w:hAnsi="Arial"/>
                <w:sz w:val="21"/>
                <w:szCs w:val="21"/>
                <w:i w:val="1"/>
                <w:iCs w:val="1"/>
                <w:color w:val="auto"/>
                <w:vertAlign w:val="superscript"/>
              </w:rPr>
              <w:t>(b)</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2,142</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73" w:lineRule="auto"/>
        <w:tabs>
          <w:tab w:leader="none" w:pos="327" w:val="left"/>
        </w:tabs>
        <w:numPr>
          <w:ilvl w:val="0"/>
          <w:numId w:val="6"/>
        </w:numPr>
        <w:rPr>
          <w:rFonts w:ascii="Arial" w:cs="Arial" w:eastAsia="Arial" w:hAnsi="Arial"/>
          <w:sz w:val="9"/>
          <w:szCs w:val="9"/>
          <w:i w:val="1"/>
          <w:iCs w:val="1"/>
          <w:color w:val="auto"/>
        </w:rPr>
      </w:pPr>
      <w:r>
        <w:rPr>
          <w:rFonts w:ascii="Arial" w:cs="Arial" w:eastAsia="Arial" w:hAnsi="Arial"/>
          <w:sz w:val="14"/>
          <w:szCs w:val="14"/>
          <w:i w:val="1"/>
          <w:iCs w:val="1"/>
          <w:color w:val="auto"/>
        </w:rPr>
        <w:t>Intangible assets consist of gaming rights valued at $80 million, trademarks valued at $27 million, developed technology valued at $110 million, reacquired rights valued at $280 million and user relationships valued at $68 million.</w:t>
      </w:r>
    </w:p>
    <w:p>
      <w:pPr>
        <w:spacing w:after="0" w:line="11" w:lineRule="exact"/>
        <w:rPr>
          <w:rFonts w:ascii="Arial" w:cs="Arial" w:eastAsia="Arial" w:hAnsi="Arial"/>
          <w:sz w:val="9"/>
          <w:szCs w:val="9"/>
          <w:i w:val="1"/>
          <w:iCs w:val="1"/>
          <w:color w:val="auto"/>
        </w:rPr>
      </w:pPr>
    </w:p>
    <w:p>
      <w:pPr>
        <w:ind w:left="320" w:hanging="312"/>
        <w:spacing w:after="0"/>
        <w:tabs>
          <w:tab w:leader="none" w:pos="320" w:val="left"/>
        </w:tabs>
        <w:numPr>
          <w:ilvl w:val="0"/>
          <w:numId w:val="6"/>
        </w:numPr>
        <w:rPr>
          <w:rFonts w:ascii="Arial" w:cs="Arial" w:eastAsia="Arial" w:hAnsi="Arial"/>
          <w:sz w:val="9"/>
          <w:szCs w:val="9"/>
          <w:i w:val="1"/>
          <w:iCs w:val="1"/>
          <w:color w:val="auto"/>
        </w:rPr>
      </w:pPr>
      <w:r>
        <w:rPr>
          <w:rFonts w:ascii="Arial" w:cs="Arial" w:eastAsia="Arial" w:hAnsi="Arial"/>
          <w:sz w:val="14"/>
          <w:szCs w:val="14"/>
          <w:i w:val="1"/>
          <w:iCs w:val="1"/>
          <w:color w:val="auto"/>
        </w:rPr>
        <w:t>Includes the fair value of debt of $1.1 billion related to William Hill International at the acquisition date.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preliminary purchase price allocation is subject to a measurement period and has since been revised. Assets and liabilities held for sale noted above are substantially all related to William Hill International. During the three months ended March 31, 2022, the Company revised the assumed deferred tax liabilities which resulted in an increase to goodwill of $6 million and an increase in deferred income taxes of $6 million. The effect of these revisions during the quarter did not have an impact on our Statements of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acquired in the William Hill acquisition make use of Level 3 inputs, such as expected cash flows and projected financial results. The market approach indicates value for a subject asset based on available market pricing for comparable assets.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Trade receivables and payables and other current and noncurrent assets and liabilities were valued at the existing carrying values as they represented the estimated fair value of those items at the William Hill acquisition date. Assets and liabilities held for sale substantially represent William Hill International which has been initially valued using a combination of approaches including a market approach based on valuation multiples and EBITDA, the relief from royalty method and the replacement cost method. In addition to the approaches described, our estimates have been updated to reflect the sale price of William Hill International in the proposed sale to 888 Holdings Plc, described above.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acquired net assets of William Hill included certain investments in common stock. Investments with a publicly available share price were valued using the share price on the acquisition date. Investments without publicly available share data were valued at their carrying value, which approximated fair value.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personal property assets such as furniture, equipment, computer hardware, and fixtures were valued using a cost approach which determined that the carrying values represented fair value of those items at the William Hill acquisition date.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developed technology were valued using the relief from royalty method, which presumes that without ownership of such trademarks or technology, the Company would have to make a series of payments to the assets’ owner in return for the right to use their brand or technology. By virtue of their ownership of the respective intangible assets, the Company avoids any such payments and records the related intangible value. The estimated useful lives of the trademarks and developed technology are approximately 15 years and six years, respectively, from the acquisition date.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Online user relationships are valued using a cost approach based on the estimated marketing and promotional cost to acquire the new active user base if the user relationships were not already in place and needed to be replaced. We estimate the useful life of the user relationships to be approximately three years from the acquisition date.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agreements with non-Caesars entities allowed William Hill to operate retail and online sportsbooks as well as online gaming within certain states. These agreements are valued using the excess earnings method, estimating the projected profits of the business attributable to the rights afforded through the agreements, adjusted for returns of other assets that contribute to the generation of this profit, such as working capital, fixed assets and other intangible assets. We estimate the useful life of these operating agreements to be approximately 20 years from the acquisition date and have included them within amortizing gaming rights.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reacquired rights intangible asset represents the estimated fair value of the Company’s share of the William Hill’s forecasted profits arising from the prior contractual arrangement with the Company to operate retail and online sportsbooks and online gaming. This fair value estimate was determined using the excess earnings method, an income-based approach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this valuation is adjusted for the settlement of the preexisting relationship noted previously in the calculation of the purchase consideration in order to avoid double counting of this settlement. Reacquired rights are amortizable over the remaining contractual period of the contract in which the rights were granted and estimated to be approximately 24 years from the acquisition date.</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future customer relationships including the brand names and strategic partner relationships of Caesars and the technology and assembled workforce of William Hill. The goodwill acquired will not generate amortization deductions for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assumed has been calculated based on market quotes.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acquisition-related transaction costs of less than $1 million and $5 million, respectively, for the three months ended March 31, 2022 and 2021, excluding additional transaction costs associated with sale of William Hill International. These costs were primarily associated with legal and professional services and were recorded in Transaction and other operating costs, net in our Statements of Operations.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January 1, 2022 through March 31, 2022, the operations of William Hill resulted in negative net revenues of $90 million, excluding discontinued operations (see Note 3), and a net loss of $894 million. See Note 1 for discussion on negative revenues.</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Horseshoe Baltimore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the Company increased its ownership interest in Horseshoe Baltimore, a property which it also manages, to approximately 75.8% for cash consideration of $55 million. Subsequent to the change in ownership, the Company was determined to have a controlling financial interest and has begun to consolidate the operations of Horseshoe Baltimore.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purchase, the Company held an interest in Horseshoe Baltimore of approximately 44.3% which was accounted for as an equity method investment.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for additional ownership 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Preexisting relationships (net of receivable/payable)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Preexisting relationships (previously held equity investment)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Total purchase consideration</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Preliminary Purchase Price Allocation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allocation for Horseshoe Baltimore is preliminary as it relates to determining the fair value of certain assets and liabilities, including goodwill, and is subject to change. The estimated fair values are based on management’s analysis, including preliminary work performed by a third-party valuation specialist, which is subject to finalization over the one-year measurement period. The following table summarizes the preliminary allocation of the purchase consideration to the identifiable assets and liabilities of Horseshoe Baltimore, with any potential excess recorded as goodwill as of March 31,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7"/>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06"/>
        </w:trPr>
        <w:tc>
          <w:tcPr>
            <w:tcW w:w="20" w:type="dxa"/>
            <w:vAlign w:val="bottom"/>
            <w:tcBorders>
              <w:bottom w:val="single" w:sz="8" w:color="CCEEFF"/>
            </w:tcBorders>
          </w:tcPr>
          <w:p>
            <w:pPr>
              <w:spacing w:after="0"/>
              <w:rPr>
                <w:sz w:val="17"/>
                <w:szCs w:val="17"/>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assets acquired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9"/>
          <w:szCs w:val="9"/>
          <w:i w:val="1"/>
          <w:iCs w:val="1"/>
          <w:color w:val="auto"/>
        </w:rPr>
      </w:pPr>
      <w:r>
        <w:rPr>
          <w:rFonts w:ascii="Arial" w:cs="Arial" w:eastAsia="Arial" w:hAnsi="Arial"/>
          <w:sz w:val="14"/>
          <w:szCs w:val="14"/>
          <w:i w:val="1"/>
          <w:iCs w:val="1"/>
          <w:color w:val="auto"/>
        </w:rPr>
        <w:t>Intangible assets consist of gaming rights valued at $43 million and customer relationships valued at $10 million.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Horseshoe Baltimore acquisition make use of Level 3 inputs, such as expected cash flows and projected financial results. The market approach indicates value for a subject asset based on available market pricing for comparable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receivables and payables and other current and noncurrent assets and liabilities were valued at the existing carrying values as they represented the estimated fair value of those items at the Horseshoe Baltimore acquisition date.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personal property assets such as furniture, equipment, computer hardware, and fixtures were valued at the existing carrying values as they closely represented the estimated fair value of those items at the Horseshoe Baltimore acquisition date. The fair value of the buildings and improvements were estimated via the income approach. The remaining estimated useful life of the buildings and improvements is 40 years.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right of use asset and operating lease liability related to a ground lease for the site on which Horseshoe Baltimore is located was recorded at fair value and will be amortized over the estimated remaining useful life due to changes in the underlying fair value and estimated remaining useful life of the building and improvements. Renewal options are considered to be reasonably</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The income approach was used to determine fair value, based on the estimated present value of the future lease payments over the lease term, including renewal options, using an incremental borrowing rate of approximately 7.6%.</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the gaming rights was determined using the excess earnings method, which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acquired gaming rights are considered to have an indefinite life.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goodwill acquired will generate amortization deductions for income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has been calculated based on market quotes.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of January 1, 2022 through March 31, 2022, the operations of Horseshoe Baltimore generated net revenues of $58 million, and net income of $2 million.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Assets Held for Sale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divests assets that it does not consider core to its business to raise capital or, in some cases, to comply with conditions, terms, obligations or restrictions imposed by antitrust, gaming and other regulatory entities. The carrying value of the net assets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 Continuing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Baton Rouge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1, 2020, the Company entered into a definitive agreement with CQ Holding Company, Inc. to sell the equity interests of Belle of Baton Rouge Casino &amp; Hotel (“Baton Rouge”). The transaction has received regulatory approvals and is expected to close in the second quarter of 2022, subject to other customary closing conditions. Baton Rouge met the requirements for presentation as assets held for sale as of March 31, 2022.</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assets and liabilities held for sale within continuing operations, accounted for at carrying value unless fair value is lower,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6"/>
                <w:szCs w:val="16"/>
                <w:b w:val="1"/>
                <w:bCs w:val="1"/>
                <w:color w:val="auto"/>
              </w:rPr>
              <w:t>Baton Rouge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66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4"/>
                <w:szCs w:val="14"/>
                <w:color w:val="auto"/>
              </w:rPr>
            </w:pPr>
          </w:p>
        </w:tc>
        <w:tc>
          <w:tcPr>
            <w:tcW w:w="1640" w:type="dxa"/>
            <w:vAlign w:val="bottom"/>
          </w:tcPr>
          <w:p>
            <w:pPr>
              <w:jc w:val="right"/>
              <w:ind w:right="179"/>
              <w:spacing w:after="0" w:line="172" w:lineRule="exact"/>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Cash</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5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presents the net revenues and net loss of our held for sale property, with operations included in continuing operations, that has not been sold: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6"/>
                <w:szCs w:val="16"/>
                <w:b w:val="1"/>
                <w:bCs w:val="1"/>
                <w:color w:val="auto"/>
                <w:w w:val="90"/>
              </w:rPr>
              <w:t>Baton Rouge</w:t>
            </w:r>
          </w:p>
        </w:tc>
        <w:tc>
          <w:tcPr>
            <w:tcW w:w="12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center"/>
              <w:ind w:right="31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17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136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jc w:val="right"/>
              <w:ind w:right="639"/>
              <w:spacing w:after="0" w:line="172"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 Sold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MontBleu and Evansville Divestitures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6, 2021, the Company consummated the sale of the equity interests of MontBleu Casino Resort &amp; Spa (“MontBleu”) to Bally’s Corporation for $15 million, subject to a customary working capital adjustment, resulting in a gain of less than $1 million. The Company received the payment in full on April 5, 2022. MontBleu was within the Regional segment.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 2021, the Company consummated the sale of the real property and equity interests of Tropicana Evansville (“Evansville”) to Gaming and Leisure Properties, Inc. (“GLPI”) and Bally’s Corporation (formerly Twin River Worldwide Holdings, Inc.), respectively, for $480 million, subject to a customary working capital adjustment, resulting in a gain of $12 million. Evansville was within the Regional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income of previously held for sale properties, which were recently sold: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 March 31, 2021</w:t>
            </w:r>
          </w:p>
        </w:tc>
      </w:tr>
      <w:tr>
        <w:trPr>
          <w:trHeight w:val="17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560" w:type="dxa"/>
            <w:vAlign w:val="bottom"/>
            <w:gridSpan w:val="2"/>
          </w:tcPr>
          <w:p>
            <w:pPr>
              <w:ind w:left="240"/>
              <w:spacing w:after="0" w:line="172" w:lineRule="exact"/>
              <w:rPr>
                <w:sz w:val="20"/>
                <w:szCs w:val="20"/>
                <w:color w:val="auto"/>
              </w:rPr>
            </w:pPr>
            <w:r>
              <w:rPr>
                <w:rFonts w:ascii="Arial" w:cs="Arial" w:eastAsia="Arial" w:hAnsi="Arial"/>
                <w:sz w:val="16"/>
                <w:szCs w:val="16"/>
                <w:b w:val="1"/>
                <w:bCs w:val="1"/>
                <w:color w:val="auto"/>
              </w:rPr>
              <w:t>MontBleu</w:t>
            </w:r>
          </w:p>
        </w:tc>
        <w:tc>
          <w:tcPr>
            <w:tcW w:w="300" w:type="dxa"/>
            <w:vAlign w:val="bottom"/>
          </w:tcPr>
          <w:p>
            <w:pPr>
              <w:spacing w:after="0"/>
              <w:rPr>
                <w:sz w:val="14"/>
                <w:szCs w:val="14"/>
                <w:color w:val="auto"/>
              </w:rPr>
            </w:pPr>
          </w:p>
        </w:tc>
        <w:tc>
          <w:tcPr>
            <w:tcW w:w="1460" w:type="dxa"/>
            <w:vAlign w:val="bottom"/>
          </w:tcPr>
          <w:p>
            <w:pPr>
              <w:jc w:val="right"/>
              <w:ind w:right="439"/>
              <w:spacing w:after="0" w:line="172" w:lineRule="exact"/>
              <w:rPr>
                <w:sz w:val="20"/>
                <w:szCs w:val="20"/>
                <w:color w:val="auto"/>
              </w:rPr>
            </w:pPr>
            <w:r>
              <w:rPr>
                <w:rFonts w:ascii="Arial" w:cs="Arial" w:eastAsia="Arial" w:hAnsi="Arial"/>
                <w:sz w:val="16"/>
                <w:szCs w:val="16"/>
                <w:b w:val="1"/>
                <w:bCs w:val="1"/>
                <w:color w:val="auto"/>
              </w:rPr>
              <w:t>Evansville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 for sale - Discontinued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closing date of the Merger, Harrah’s Louisiana Downs, Caesars UK Group, which includes Emerald Resorts &amp; Casino, and Caesars Southern Indiana met held for sale criteria. The operations of these properties have been presented within discontinued operations.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Properties L.P., a Delaware limited partnership (“VICI”) entered into an agreement to sell the equity interests of Harrah’s Louisiana Downs to Rubico Acquisition Corp. for $22 million, subject to a customary working capital adjustment, which proceeds will be split between the Company and VICI. On November 1, 2021, the sale of Harrah’s Louisiana Downs was completed. The annual base rent payments under the Regional Master Lease between Caesars and VICI remained unchanged.</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24, 2020, the Company entered into an agreement to sell the equity interests of Caesars Southern Indiana to the Eastern Band of Cherokee Indians (“EBCI”) for $250 million, subject to customary purchase price adjustments. On September 3, 2021, the Company completed the sale of Caesars Southern Indiana, resulting in a gain of $12 million. In connection with this transaction, the Company’s annual base rent payments to VICI Properties under the Regional Master Lease were reduced by $33 million. Additionally, the Company and EBCI entered into a 10-year brand license agreement for the continued use of the Caesars brand and Caesars Rewards loyalty program at Caesars Southern Indiana. The agreement contains cancellation rights in exchange for a termination fee at the buyer’s discretion following the fifth anniversary of the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16, 2021, the Company completed the sale of Caesars UK Group, in which the buyer assumed all liabilities associated with the Caesars UK Group, and recorded an impairment of $14 million within discontinued operations.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time that the William Hill Acquisition was consummated, the Company’s intent was to divest William Hill International. Accordingly, the assets and liabilities of William Hill International are classified as held for sale with operations presented within discontinued operations. See Note 1 and Note 2.</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information presents the net revenues and net income (loss) for the Company’s properties that are part of discontinued operations for the three months ended March 31, 2022 and 2021:</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20" w:type="dxa"/>
            <w:vAlign w:val="bottom"/>
            <w:gridSpan w:val="4"/>
          </w:tcPr>
          <w:p>
            <w:pPr>
              <w:jc w:val="center"/>
              <w:ind w:left="2292"/>
              <w:spacing w:after="0"/>
              <w:rPr>
                <w:sz w:val="20"/>
                <w:szCs w:val="20"/>
                <w:color w:val="auto"/>
              </w:rPr>
            </w:pPr>
            <w:r>
              <w:rPr>
                <w:rFonts w:ascii="Arial" w:cs="Arial" w:eastAsia="Arial" w:hAnsi="Arial"/>
                <w:sz w:val="18"/>
                <w:szCs w:val="18"/>
                <w:b w:val="1"/>
                <w:bCs w:val="1"/>
                <w:color w:val="auto"/>
                <w:w w:val="99"/>
              </w:rPr>
              <w:t>CAESARS ENTERTAINMENT, INC.</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60" w:type="dxa"/>
            <w:vAlign w:val="bottom"/>
            <w:gridSpan w:val="9"/>
          </w:tcPr>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tc>
        <w:tc>
          <w:tcPr>
            <w:tcW w:w="15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40" w:type="dxa"/>
            <w:vAlign w:val="bottom"/>
            <w:gridSpan w:val="2"/>
          </w:tcPr>
          <w:p>
            <w:pPr>
              <w:jc w:val="center"/>
              <w:ind w:left="2972"/>
              <w:spacing w:after="0"/>
              <w:rPr>
                <w:sz w:val="20"/>
                <w:szCs w:val="20"/>
                <w:color w:val="auto"/>
              </w:rPr>
            </w:pPr>
            <w:r>
              <w:rPr>
                <w:rFonts w:ascii="Arial" w:cs="Arial" w:eastAsia="Arial" w:hAnsi="Arial"/>
                <w:sz w:val="18"/>
                <w:szCs w:val="18"/>
                <w:b w:val="1"/>
                <w:bCs w:val="1"/>
                <w:color w:val="auto"/>
              </w:rPr>
              <w:t>(UNAUDITED)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7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779"/>
              <w:spacing w:after="0"/>
              <w:rPr>
                <w:sz w:val="20"/>
                <w:szCs w:val="20"/>
                <w:color w:val="auto"/>
              </w:rPr>
            </w:pPr>
            <w:r>
              <w:rPr>
                <w:rFonts w:ascii="Arial" w:cs="Arial" w:eastAsia="Arial" w:hAnsi="Arial"/>
                <w:sz w:val="16"/>
                <w:szCs w:val="16"/>
                <w:b w:val="1"/>
                <w:bCs w:val="1"/>
                <w:color w:val="auto"/>
                <w:w w:val="95"/>
              </w:rPr>
              <w:t>2022</w:t>
            </w:r>
          </w:p>
        </w:tc>
      </w:tr>
      <w:tr>
        <w:trPr>
          <w:trHeight w:val="172"/>
        </w:trPr>
        <w:tc>
          <w:tcPr>
            <w:tcW w:w="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center"/>
              <w:ind w:right="19"/>
              <w:spacing w:after="0" w:line="172" w:lineRule="exact"/>
              <w:rPr>
                <w:sz w:val="20"/>
                <w:szCs w:val="20"/>
                <w:color w:val="auto"/>
              </w:rPr>
            </w:pPr>
            <w:r>
              <w:rPr>
                <w:rFonts w:ascii="Arial" w:cs="Arial" w:eastAsia="Arial" w:hAnsi="Arial"/>
                <w:sz w:val="16"/>
                <w:szCs w:val="16"/>
                <w:b w:val="1"/>
                <w:bCs w:val="1"/>
                <w:color w:val="auto"/>
                <w:w w:val="97"/>
              </w:rPr>
              <w:t>William Hill International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10"/>
        </w:trPr>
        <w:tc>
          <w:tcPr>
            <w:tcW w:w="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3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50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center"/>
              <w:ind w:left="99"/>
              <w:spacing w:after="0"/>
              <w:rPr>
                <w:sz w:val="20"/>
                <w:szCs w:val="20"/>
                <w:color w:val="auto"/>
              </w:rPr>
            </w:pPr>
            <w:r>
              <w:rPr>
                <w:rFonts w:ascii="Arial" w:cs="Arial" w:eastAsia="Arial" w:hAnsi="Arial"/>
                <w:sz w:val="16"/>
                <w:szCs w:val="16"/>
                <w:b w:val="1"/>
                <w:bCs w:val="1"/>
                <w:color w:val="auto"/>
                <w:w w:val="93"/>
              </w:rPr>
              <w:t>Three Months Ended March 31, 2021</w:t>
            </w:r>
          </w:p>
        </w:tc>
        <w:tc>
          <w:tcPr>
            <w:tcW w:w="1560" w:type="dxa"/>
            <w:vAlign w:val="bottom"/>
            <w:tcBorders>
              <w:bottom w:val="single" w:sz="8" w:color="auto"/>
            </w:tcBorders>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580" w:type="dxa"/>
            <w:vAlign w:val="bottom"/>
          </w:tcPr>
          <w:p>
            <w:pPr>
              <w:spacing w:after="0"/>
              <w:rPr>
                <w:sz w:val="14"/>
                <w:szCs w:val="14"/>
                <w:color w:val="auto"/>
              </w:rPr>
            </w:pPr>
          </w:p>
        </w:tc>
        <w:tc>
          <w:tcPr>
            <w:tcW w:w="2040" w:type="dxa"/>
            <w:vAlign w:val="bottom"/>
            <w:gridSpan w:val="3"/>
          </w:tcPr>
          <w:p>
            <w:pPr>
              <w:ind w:left="40"/>
              <w:spacing w:after="0" w:line="172" w:lineRule="exact"/>
              <w:rPr>
                <w:sz w:val="20"/>
                <w:szCs w:val="20"/>
                <w:color w:val="auto"/>
              </w:rPr>
            </w:pPr>
            <w:r>
              <w:rPr>
                <w:rFonts w:ascii="Arial" w:cs="Arial" w:eastAsia="Arial" w:hAnsi="Arial"/>
                <w:sz w:val="16"/>
                <w:szCs w:val="16"/>
                <w:b w:val="1"/>
                <w:bCs w:val="1"/>
                <w:color w:val="auto"/>
                <w:w w:val="98"/>
              </w:rPr>
              <w:t>Harrah’s Louisiana Downs</w:t>
            </w:r>
          </w:p>
        </w:tc>
        <w:tc>
          <w:tcPr>
            <w:tcW w:w="1680" w:type="dxa"/>
            <w:vAlign w:val="bottom"/>
            <w:gridSpan w:val="2"/>
          </w:tcPr>
          <w:p>
            <w:pPr>
              <w:jc w:val="center"/>
              <w:ind w:left="181"/>
              <w:spacing w:after="0" w:line="172" w:lineRule="exact"/>
              <w:rPr>
                <w:sz w:val="20"/>
                <w:szCs w:val="20"/>
                <w:color w:val="auto"/>
              </w:rPr>
            </w:pPr>
            <w:r>
              <w:rPr>
                <w:rFonts w:ascii="Arial" w:cs="Arial" w:eastAsia="Arial" w:hAnsi="Arial"/>
                <w:sz w:val="16"/>
                <w:szCs w:val="16"/>
                <w:b w:val="1"/>
                <w:bCs w:val="1"/>
                <w:color w:val="auto"/>
                <w:w w:val="94"/>
              </w:rPr>
              <w:t>Caesars UK Group</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spacing w:after="0" w:line="172" w:lineRule="exact"/>
              <w:rPr>
                <w:sz w:val="20"/>
                <w:szCs w:val="20"/>
                <w:color w:val="auto"/>
              </w:rPr>
            </w:pPr>
            <w:r>
              <w:rPr>
                <w:rFonts w:ascii="Arial" w:cs="Arial" w:eastAsia="Arial" w:hAnsi="Arial"/>
                <w:sz w:val="16"/>
                <w:szCs w:val="16"/>
                <w:b w:val="1"/>
                <w:bCs w:val="1"/>
                <w:color w:val="auto"/>
                <w:w w:val="94"/>
              </w:rPr>
              <w:t>Caesars Southern Indiana</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940" w:type="dxa"/>
            <w:vAlign w:val="bottom"/>
            <w:gridSpan w:val="2"/>
            <w:shd w:val="clear" w:color="auto" w:fill="CCEEFF"/>
          </w:tcPr>
          <w:p>
            <w:pPr>
              <w:ind w:left="36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42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10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0"/>
        </w:trPr>
        <w:tc>
          <w:tcPr>
            <w:tcW w:w="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6"/>
                <w:szCs w:val="16"/>
                <w:color w:val="auto"/>
                <w:w w:val="91"/>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 included in tables are assets and liabilities held for sale of $3.3 billion and $2.6 billion, respectively, as of March 31, 2022 and $3.8 billion and $2.7 billion, respectively, as of December 31, 2021, related to William Hill International. Liabilities held for sale as of March 31, 2022 and December 31, 2021 include $601 million and $617 million, respectively, of debt related to the asset sale bridge facility and the revolving credit facility, which are expected to be repaid upon the sale of William Hill International, as described in Note 1. The Bridge Credit Agreement includes a financial covenant, of which the Company was in compliance as of March 31, 2022, requiring the Bridge Facility Borrower to maintain a maximum total net leverage ratio of 10.50 to 1.00. The borrowings under the Bridge Credit Agreement are guaranteed by the Bridge Facility Borrower and its material wholly-owned subsidiaries (subject to exceptions), and are secured by a pledge of substantially all of the existing and future property and assets of the Bridge Facility Borrower and the guarantors (subject to exceptions). In addition, $918 million of debt is held for sale related to two trust deeds assumed in the William Hill Acquisition. One trust deed relates to £350 million aggregate principal amount of 4.750% Senior Notes due 2026, and the other trust deed relates to £350 million aggregate principal amount of 4.875% Senior Notes due 2023. Each of the trust deeds contain a put option due to a change in control which allowed noteholders to require the Company to purchase the notes at 101% of the principal amount with interest accrued. The put period expired on July 26, 2021, and approximately £1 million of debt was repurchased. No financial covenants were noted related to the two trust deeds assumed in the William Hill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Investments in and Advances to Unconsolidated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Hill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entered into a 25-year agreement which granted William Hill the right to conduct betting activities, including operating our sportsbooks, and conduct certain real money online gaming activities. On April 22, 2021, the Company consummated its previously announced acquisition of William Hill PLC in an all-cash transaction. Prior to the acquisition, the Company accounted for its investment in William Hill PLC as an investment in equity securities and William Hill US as an equity method investment. See Note 2 for further detail on the consideration transferred and the allocation of the purchase price.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NeoGames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acquired net assets of William Hill included an investment in publicly traded common stock of NeoGames S.A. (“NeoGames”), a global leader of iLottery solutions and services to national and state-regulated lotteries, and other investments. On September 16, 2021, the Company sold a portion of its shares of NeoGames common stock for $136 million which decreased Company’s ownership interest from 24.5% to 8.4%. Additionally, on March 14, 2022 the Company sold its remaining 2 million shares at fair value for $26 million and recorded a loss on the change in fair value of $34 million during the three months ended March 31, 2022, which is included within Other income (loss) on the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Pompano Joint Venture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In June 2021, the joint venture issued a capital call and we contributed $3 million. The Company has made cash contributions totaling $4 million and has contributed land. On February 12, 2021, the Company contributed 186 acres to the joint venture with a fair value of $61 million. Total contributions of approximately 206 acres of land have been made with a fair value of approximately $69 million, and the Company has no further obligation to</w:t>
      </w:r>
    </w:p>
    <w:p>
      <w:pPr>
        <w:spacing w:after="0" w:line="35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contribute additional real estate or cash as of March 31, 2022. We entered into a short-term lease agreement in February 2021, which we can cancel at any time, to lease back a portion of the land from the joint venture.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and other operating costs, net on the Statements of Operations. As of March 31, 2022 and December 31, 2021, the Company’s investment in the joint venture is recorded in Investment in and advances to unconsolidated affiliates on the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Property and Equipment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6"/>
                <w:szCs w:val="16"/>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r>
      <w:tr>
        <w:trPr>
          <w:trHeight w:val="213"/>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Buildings, riverboats, and leasehold and land improvements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12,589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12,433</w:t>
            </w:r>
          </w:p>
        </w:tc>
      </w:tr>
      <w:tr>
        <w:trPr>
          <w:trHeight w:val="21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13"/>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16,603</w:t>
            </w:r>
          </w:p>
        </w:tc>
      </w:tr>
      <w:tr>
        <w:trPr>
          <w:trHeight w:val="213"/>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property and equipment are subject to various operating leases for which we are the lessor. We lease our property and equipment related to our hotel rooms, convention space and retail space through various short-term and long-term operating leases.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Goodwill and Intangible Assets, net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ectPr>
          <w:pgSz w:w="11900" w:h="16838" w:orient="portrait"/>
          <w:cols w:equalWidth="0" w:num="1">
            <w:col w:w="11240"/>
          </w:cols>
          <w:pgMar w:left="320" w:top="121" w:right="339" w:bottom="1440" w:gutter="0" w:footer="0" w:header="0"/>
        </w:sectPr>
      </w:pP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Changes in Carrying Value of Goodwill and Other Intangible Assets</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December 31, 2021</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i w:val="1"/>
          <w:iCs w:val="1"/>
          <w:color w:val="auto"/>
          <w:vertAlign w:val="superscript"/>
        </w:rPr>
        <w:t>(a)</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Purchase price adjustment related to William Hill Acquisition. See Note 2 for additional information.</w:t>
      </w:r>
    </w:p>
    <w:p>
      <w:pPr>
        <w:spacing w:after="0" w:line="36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8"/>
        </w:trPr>
        <w:tc>
          <w:tcPr>
            <w:tcW w:w="168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11,076</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11,082</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4"/>
        </w:trPr>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2">
            <w:col w:w="6140" w:space="140"/>
            <w:col w:w="496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3"/>
              </w:rPr>
              <w:t>March 31, 2022</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Useful Life</w:t>
            </w:r>
          </w:p>
        </w:tc>
        <w:tc>
          <w:tcPr>
            <w:tcW w:w="12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5"/>
                <w:szCs w:val="15"/>
                <w:color w:val="auto"/>
              </w:rPr>
            </w:pPr>
          </w:p>
        </w:tc>
        <w:tc>
          <w:tcPr>
            <w:tcW w:w="128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5"/>
                <w:szCs w:val="15"/>
                <w:color w:val="auto"/>
              </w:rPr>
            </w:pPr>
          </w:p>
        </w:tc>
        <w:tc>
          <w:tcPr>
            <w:tcW w:w="10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5"/>
                <w:szCs w:val="15"/>
                <w:color w:val="auto"/>
              </w:rPr>
            </w:pPr>
          </w:p>
        </w:tc>
        <w:tc>
          <w:tcPr>
            <w:tcW w:w="1040" w:type="dxa"/>
            <w:vAlign w:val="bottom"/>
          </w:tcPr>
          <w:p>
            <w:pPr>
              <w:jc w:val="right"/>
              <w:ind w:right="219"/>
              <w:spacing w:after="0" w:line="175"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Amortizing intangible 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3 - 7 years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377</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20 - 34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Reacquired rights</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Technology</w:t>
            </w:r>
          </w:p>
        </w:tc>
        <w:tc>
          <w:tcPr>
            <w:tcW w:w="12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7"/>
              </w:rPr>
              <w:t>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Non-amortizing intangible assets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Caesars Rewards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7"/>
          </w:tcPr>
          <w:p>
            <w:pPr>
              <w:ind w:left="220"/>
              <w:spacing w:after="0"/>
              <w:rPr>
                <w:sz w:val="20"/>
                <w:szCs w:val="20"/>
                <w:color w:val="auto"/>
              </w:rPr>
            </w:pPr>
            <w:r>
              <w:rPr>
                <w:rFonts w:ascii="Arial" w:cs="Arial" w:eastAsia="Arial" w:hAnsi="Arial"/>
                <w:sz w:val="16"/>
                <w:szCs w:val="16"/>
                <w:color w:val="auto"/>
              </w:rPr>
              <w:t>Total amortizing and non-amortizing intangible assets, net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with respect to intangible assets for the three months ended March 31, 2022 and 2021 totaled $57 million and $20 million, respectively, which is included in depreciation and amortization in the Statements of Operations.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Remaining 2022</w:t>
            </w:r>
          </w:p>
        </w:tc>
        <w:tc>
          <w:tcPr>
            <w:tcW w:w="24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Fair Value Measurements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assets and liabilities measured at fair value on a recurring basis, by input level, in the Balance Sheets at March 31, 2022 and December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March 31, 2022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20" w:type="dxa"/>
            <w:vAlign w:val="bottom"/>
          </w:tcPr>
          <w:p>
            <w:pPr>
              <w:spacing w:after="0"/>
              <w:rPr>
                <w:sz w:val="18"/>
                <w:szCs w:val="18"/>
                <w:color w:val="auto"/>
              </w:rPr>
            </w:pPr>
          </w:p>
        </w:tc>
        <w:tc>
          <w:tcPr>
            <w:tcW w:w="5700" w:type="dxa"/>
            <w:vAlign w:val="bottom"/>
            <w:gridSpan w:val="2"/>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3"/>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4"/>
                <w:szCs w:val="14"/>
                <w:color w:val="auto"/>
              </w:rPr>
            </w:pPr>
          </w:p>
        </w:tc>
        <w:tc>
          <w:tcPr>
            <w:tcW w:w="1140" w:type="dxa"/>
            <w:vAlign w:val="bottom"/>
            <w:gridSpan w:val="2"/>
          </w:tcPr>
          <w:p>
            <w:pPr>
              <w:ind w:left="140"/>
              <w:spacing w:after="0" w:line="17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4"/>
                <w:szCs w:val="14"/>
                <w:color w:val="auto"/>
              </w:rPr>
            </w:pPr>
          </w:p>
        </w:tc>
        <w:tc>
          <w:tcPr>
            <w:tcW w:w="116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4"/>
                <w:szCs w:val="14"/>
                <w:color w:val="auto"/>
              </w:rPr>
            </w:pPr>
          </w:p>
        </w:tc>
        <w:tc>
          <w:tcPr>
            <w:tcW w:w="102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interest rate swaps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Derivative instruments - FX forward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the Company’s restricted cash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the Company would expect to receive if the Company sold the restricted cash. Restricted cash classified as Level 1 includes cash equivalents held in short-term certificate of deposit accounts or money market type funds. Restricted cash that is not subject to remeasurement on a recurring basis is not included in the table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Marketable securities consist primarily of trading securities held by the Company’s captive insurance subsidiary and investments acquired in the William Hill Acquisition. See Note 4. These investments also include collateral for several escrow and trust agreements with third-party beneficiaries.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w:t>
      </w:r>
      <w:r>
        <w:rPr>
          <w:rFonts w:ascii="Arial" w:cs="Arial" w:eastAsia="Arial" w:hAnsi="Arial"/>
          <w:sz w:val="18"/>
          <w:szCs w:val="18"/>
          <w:color w:val="212529"/>
        </w:rPr>
        <w:t>he Company has entered into several foreign exchange forward contracts with third parties to hedge the risk of fluctuations in the foreign exchange rates</w:t>
      </w:r>
      <w:r>
        <w:rPr>
          <w:rFonts w:ascii="Arial" w:cs="Arial" w:eastAsia="Arial" w:hAnsi="Arial"/>
          <w:sz w:val="18"/>
          <w:szCs w:val="18"/>
          <w:color w:val="auto"/>
        </w:rPr>
        <w:t xml:space="preserve"> </w:t>
      </w:r>
      <w:r>
        <w:rPr>
          <w:rFonts w:ascii="Arial" w:cs="Arial" w:eastAsia="Arial" w:hAnsi="Arial"/>
          <w:sz w:val="18"/>
          <w:szCs w:val="18"/>
          <w:color w:val="212529"/>
        </w:rPr>
        <w:t xml:space="preserve">between USD and GBP and to fix the exchange rate for a portion of the funds used in the William Hill Acquisition, repayment of related debt, and expected proceeds of the sale of the international operations. During the three months ended </w:t>
      </w:r>
      <w:r>
        <w:rPr>
          <w:rFonts w:ascii="Arial" w:cs="Arial" w:eastAsia="Arial" w:hAnsi="Arial"/>
          <w:sz w:val="18"/>
          <w:szCs w:val="18"/>
          <w:color w:val="000000"/>
        </w:rPr>
        <w:t>March 31, 2022 and 2021, the Company</w:t>
      </w:r>
      <w:r>
        <w:rPr>
          <w:rFonts w:ascii="Arial" w:cs="Arial" w:eastAsia="Arial" w:hAnsi="Arial"/>
          <w:sz w:val="18"/>
          <w:szCs w:val="18"/>
          <w:color w:val="212529"/>
        </w:rPr>
        <w:t xml:space="preserve"> recorded total gains of $21 million and $1 million, respectively, </w:t>
      </w:r>
      <w:r>
        <w:rPr>
          <w:rFonts w:ascii="Arial" w:cs="Arial" w:eastAsia="Arial" w:hAnsi="Arial"/>
          <w:sz w:val="18"/>
          <w:szCs w:val="18"/>
          <w:color w:val="000000"/>
        </w:rPr>
        <w:t>related to these forward contracts, which was recorded in the Other income (loss) on the Statements of Operations.</w:t>
      </w:r>
      <w:r>
        <w:rPr>
          <w:rFonts w:ascii="Arial" w:cs="Arial" w:eastAsia="Arial" w:hAnsi="Arial"/>
          <w:sz w:val="18"/>
          <w:szCs w:val="18"/>
          <w:color w:val="212529"/>
        </w:rPr>
        <w:t xml:space="preserve"> The forward term of these contracts ends in June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assumed Former Caesars’ interest rate swaps to manage the mix of assumed debt between fixed and variable rate instruments. As of March 31, 2022, we have four interest rate swap agreements to fix the interest rate on $1.3 billion of variable rate debt related to the CRC Credit Agreement. The interest rate swaps are designated as cash flow hedging instruments. The difference to be paid or received under the terms of the interest rate swap agreements is accrued as interest rates change and recognized as an adjustment to interest expense at settlement. Changes in the variable interest rates to be received pursuant to the terms of the interest rate swap agreements will have a corresponding effect on future cash flows.</w:t>
      </w:r>
    </w:p>
    <w:p>
      <w:pPr>
        <w:spacing w:after="0" w:line="32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major terms of the interest rate swap agreements as of March 31,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Effective Date</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Notional Amount</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Fixed Rate Paid</w:t>
            </w:r>
          </w:p>
        </w:tc>
        <w:tc>
          <w:tcPr>
            <w:tcW w:w="2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Variable Rate Received as of</w:t>
            </w:r>
          </w:p>
        </w:tc>
        <w:tc>
          <w:tcPr>
            <w:tcW w:w="2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30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93"/>
              </w:rPr>
              <w:t>(In millions)</w:t>
            </w:r>
          </w:p>
        </w:tc>
        <w:tc>
          <w:tcPr>
            <w:tcW w:w="2260" w:type="dxa"/>
            <w:vAlign w:val="bottom"/>
            <w:gridSpan w:val="2"/>
            <w:vMerge w:val="continue"/>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March 31, 2022</w:t>
            </w: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2.274%</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0.2086%</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200" w:type="dxa"/>
            <w:vAlign w:val="bottom"/>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0.2086%</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0.2086%</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0"/>
        </w:trPr>
        <w:tc>
          <w:tcPr>
            <w:tcW w:w="2200" w:type="dxa"/>
            <w:vAlign w:val="bottom"/>
          </w:tcPr>
          <w:p>
            <w:pPr>
              <w:jc w:val="center"/>
              <w:spacing w:after="0"/>
              <w:rPr>
                <w:sz w:val="20"/>
                <w:szCs w:val="20"/>
                <w:color w:val="auto"/>
              </w:rPr>
            </w:pPr>
            <w:r>
              <w:rPr>
                <w:rFonts w:ascii="Arial" w:cs="Arial" w:eastAsia="Arial" w:hAnsi="Arial"/>
                <w:sz w:val="16"/>
                <w:szCs w:val="16"/>
                <w:color w:val="auto"/>
                <w:w w:val="93"/>
              </w:rPr>
              <w:t>1/1/2019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600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2.739%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1"/>
              </w:rPr>
              <w:t>0.2086%</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 to terminate the contracts. The interest rate swap derivative instruments are included in either Other assets, net or Other long-term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derivative instruments designated as hedging instruments on the Balance Sheets for amounts transferred into Accumulated other comprehensive income (loss) (“AOCI”) before tax was a gain of $17 million and $15 million during the three months ended March 31, 2022 and 2021, respectively. AOCI reclassified to Interest expense on the Statements of Operations was $8 million and $14 million for the three months ended March 31, 2022 and 2021, respectively. As of March 31, 2022 and December 31, 2021, the interest rate swaps derivative liability of $11 million and $28 million, respectively, was recorded in Other long-term liabilities. Net settlement of these interest rate swaps results in the reclassification of deferred gains and losses within AOCI to be reclassified to the income statement as a component of interest expense as settlements occur. The estimated amount of existing gains or losses that are reported in AOCI at the reporting date that are expected to be reclassified into earnings within the next 12 months is approximately $11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AOCI by component, net of tax, for the periods through March 31, 2022 and 2021 are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Foreign Currency</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34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4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93"/>
              </w:rPr>
              <w:t>Instruments</w:t>
            </w:r>
          </w:p>
        </w:tc>
        <w:tc>
          <w:tcPr>
            <w:tcW w:w="120" w:type="dxa"/>
            <w:vAlign w:val="bottom"/>
          </w:tcPr>
          <w:p>
            <w:pPr>
              <w:spacing w:after="0"/>
              <w:rPr>
                <w:sz w:val="15"/>
                <w:szCs w:val="15"/>
                <w:color w:val="auto"/>
              </w:rPr>
            </w:pPr>
          </w:p>
        </w:tc>
        <w:tc>
          <w:tcPr>
            <w:tcW w:w="150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2"/>
              </w:rPr>
              <w:t>Adjustments</w:t>
            </w:r>
          </w:p>
        </w:tc>
        <w:tc>
          <w:tcPr>
            <w:tcW w:w="3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2020</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ind w:left="9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2021</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2021</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2022</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Litigation,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Insurance Claims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are expected to exceed $2 billion. The insurance carriers under the Company’s insurance policies have asserted that the policies do not cover losses incurred by the Company as a result of the COVID-19 public health emergency and have refused to make payments under the applicable policies. Therefore, on March 19, 2021, the Company filed a lawsuit against its insurance carriers in the state court in Clark County, Nevada. On June 8, 2021, the Company filed an amended complaint. Litigation is proceeding and there can be no assurance as to the outcome of the litigation.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contractual commitments were assumed by the Company associated with Former Caesars as result of the consummation of the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New Orleans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(the “Ground Lease”). Based on these amendments related to Harrah’s New Orleans, the Company is required to make certain payments and to make a capital investment of $325 million on or around Harrah’s New Orleans by July 15, 2024. The capital investment will include a renovation and full interior and exterior redesign, updated casino floor, new culinary experiences and a new 340 room hotel tower as we are also in the process of rebranding the property as Caesars New Orleans. Renovations are expected to be substantially complete during the second half of 2024.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the New Jersey Gaming Control Board in connection with its approval of the Merger, we have funded $400 million in escrow to provide funds for a three year capital expenditure plan in the state of New Jersey. This amount is currently included in restricted cash in Other assets, net. As of March 31, 2022 and December 31, 2021, our restricted cash balance in the escrow account was $240 million and $297 million, respectively, for future capital expenditures in New Jersey.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22222"/>
        </w:rPr>
        <w:t xml:space="preserve">We have agreements with certain professional sports leagues and teams, sporting event facilities and media companies for tickets, suites, and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w:t>
      </w:r>
      <w:r>
        <w:rPr>
          <w:rFonts w:ascii="Arial" w:cs="Arial" w:eastAsia="Arial" w:hAnsi="Arial"/>
          <w:sz w:val="17"/>
          <w:szCs w:val="17"/>
          <w:color w:val="000000"/>
        </w:rPr>
        <w:t>In connection with the</w:t>
      </w:r>
      <w:r>
        <w:rPr>
          <w:rFonts w:ascii="Arial" w:cs="Arial" w:eastAsia="Arial" w:hAnsi="Arial"/>
          <w:sz w:val="17"/>
          <w:szCs w:val="17"/>
          <w:color w:val="222222"/>
        </w:rPr>
        <w:t xml:space="preserve"> </w:t>
      </w:r>
      <w:r>
        <w:rPr>
          <w:rFonts w:ascii="Arial" w:cs="Arial" w:eastAsia="Arial" w:hAnsi="Arial"/>
          <w:sz w:val="17"/>
          <w:szCs w:val="17"/>
          <w:color w:val="000000"/>
        </w:rPr>
        <w:t xml:space="preserve">launch of the Caesars Sportsbook app, we entered into a significant marketing campaign with distinguished actors, former athletes and other media personalities. </w:t>
      </w:r>
      <w:r>
        <w:rPr>
          <w:rFonts w:ascii="Arial" w:cs="Arial" w:eastAsia="Arial" w:hAnsi="Arial"/>
          <w:sz w:val="17"/>
          <w:szCs w:val="17"/>
          <w:color w:val="222222"/>
        </w:rPr>
        <w:t>As of</w:t>
      </w:r>
      <w:r>
        <w:rPr>
          <w:rFonts w:ascii="Arial" w:cs="Arial" w:eastAsia="Arial" w:hAnsi="Arial"/>
          <w:sz w:val="17"/>
          <w:szCs w:val="17"/>
          <w:color w:val="000000"/>
        </w:rPr>
        <w:t xml:space="preserve"> March 31, 2022 and December 31, 2021</w:t>
      </w:r>
      <w:r>
        <w:rPr>
          <w:rFonts w:ascii="Arial" w:cs="Arial" w:eastAsia="Arial" w:hAnsi="Arial"/>
          <w:sz w:val="17"/>
          <w:szCs w:val="17"/>
          <w:color w:val="222222"/>
        </w:rPr>
        <w:t>, obligations related to these agreements were $978 million and $997 million, respectively,</w:t>
      </w:r>
      <w:r>
        <w:rPr>
          <w:rFonts w:ascii="Arial" w:cs="Arial" w:eastAsia="Arial" w:hAnsi="Arial"/>
          <w:sz w:val="17"/>
          <w:szCs w:val="17"/>
          <w:color w:val="000000"/>
        </w:rPr>
        <w:t xml:space="preserve"> </w:t>
      </w:r>
      <w:r>
        <w:rPr>
          <w:rFonts w:ascii="Arial" w:cs="Arial" w:eastAsia="Arial" w:hAnsi="Arial"/>
          <w:sz w:val="17"/>
          <w:szCs w:val="17"/>
          <w:color w:val="222222"/>
        </w:rPr>
        <w:t>which include obligations assumed in the William Hill Acquisition, with contracts extending through 2040. These</w:t>
      </w:r>
    </w:p>
    <w:p>
      <w:pPr>
        <w:spacing w:after="0" w:line="3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22222"/>
        </w:rPr>
        <w:t>obligations include leasing of event suites that are generally considered short 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self-insured for workers compensation and other risk insurance, as well as health insurance and general liability. Our total estimated self-insurance liability as of March 31, 2022 and December 31, 2021, was $222 million and $221 million, respectively, which is included in Accrued other liabilities in our Balance Sheets.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The assumptions, including those related to the COVID-19 public health emergency,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On August 27, 2020, Hurricane Laura made landfall on Lake Charles as a Category 4 storm severely damaging the Isle of Capri Casino Lake Charles. During the three months ended </w:t>
      </w:r>
      <w:r>
        <w:rPr>
          <w:rFonts w:ascii="Arial" w:cs="Arial" w:eastAsia="Arial" w:hAnsi="Arial"/>
          <w:sz w:val="18"/>
          <w:szCs w:val="18"/>
          <w:color w:val="000000"/>
        </w:rPr>
        <w:t>March 31, 2022</w:t>
      </w:r>
      <w:r>
        <w:rPr>
          <w:rFonts w:ascii="Arial" w:cs="Arial" w:eastAsia="Arial" w:hAnsi="Arial"/>
          <w:sz w:val="18"/>
          <w:szCs w:val="18"/>
          <w:color w:val="212529"/>
        </w:rPr>
        <w:t xml:space="preserve">, the Company reached a final settlement agreement with the insurance carriers for a total amount of $128 million, before our insurance deductible of $25 million. The Company has received $94 million related to damaged fixed assets, remediation costs and business interruption. We expect to receive an additional $9 million in the second quarter of 2022, which is included in Accounts receivable, net. During the three months ended </w:t>
      </w:r>
      <w:r>
        <w:rPr>
          <w:rFonts w:ascii="Arial" w:cs="Arial" w:eastAsia="Arial" w:hAnsi="Arial"/>
          <w:sz w:val="18"/>
          <w:szCs w:val="18"/>
          <w:color w:val="000000"/>
        </w:rPr>
        <w:t>March 31, 2022</w:t>
      </w:r>
      <w:r>
        <w:rPr>
          <w:rFonts w:ascii="Arial" w:cs="Arial" w:eastAsia="Arial" w:hAnsi="Arial"/>
          <w:sz w:val="18"/>
          <w:szCs w:val="18"/>
          <w:color w:val="212529"/>
        </w:rPr>
        <w:t xml:space="preserve"> and 2021, the Company also recorded gains of $38 million and $8 million, respectively, which are included in Transaction and other operating costs, net in our Statements of Operations, as proceeds received for the cost to replace damaged property were in excess of the respective carrying value of the assets. The property will remain closed u</w:t>
      </w:r>
      <w:r>
        <w:rPr>
          <w:rFonts w:ascii="Arial" w:cs="Arial" w:eastAsia="Arial" w:hAnsi="Arial"/>
          <w:sz w:val="18"/>
          <w:szCs w:val="18"/>
          <w:color w:val="000000"/>
        </w:rPr>
        <w:t>ntil the fourth quarter of 2022 w</w:t>
      </w:r>
      <w:r>
        <w:rPr>
          <w:rFonts w:ascii="Arial" w:cs="Arial" w:eastAsia="Arial" w:hAnsi="Arial"/>
          <w:sz w:val="18"/>
          <w:szCs w:val="18"/>
          <w:color w:val="212529"/>
        </w:rPr>
        <w:t>hen construction of a new land-based casino is expected to be complete.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Long-Term Debt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8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6"/>
              </w:rPr>
              <w:t>Final</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Rates</w:t>
            </w:r>
          </w:p>
        </w:tc>
        <w:tc>
          <w:tcPr>
            <w:tcW w:w="120" w:type="dxa"/>
            <w:vAlign w:val="bottom"/>
          </w:tcPr>
          <w:p>
            <w:pPr>
              <w:spacing w:after="0"/>
              <w:rPr>
                <w:sz w:val="13"/>
                <w:szCs w:val="13"/>
                <w:color w:val="auto"/>
              </w:rPr>
            </w:pPr>
          </w:p>
        </w:tc>
        <w:tc>
          <w:tcPr>
            <w:tcW w:w="170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Book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9"/>
              </w:rPr>
              <w:t>Maturity</w:t>
            </w: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Baltimore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Revolving Credit Facility</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2022</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Baltimore Term Loan</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2024</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Revolving Credit Facility</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CRC Incremental Term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CRC Senior Secured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CEI Senior 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Convention Center Mortgage Loan</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7.85%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CEI Senior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Special Improvement District Bonds</w:t>
            </w:r>
          </w:p>
        </w:tc>
        <w:tc>
          <w:tcPr>
            <w:tcW w:w="980" w:type="dxa"/>
            <w:vAlign w:val="bottom"/>
          </w:tcPr>
          <w:p>
            <w:pPr>
              <w:jc w:val="center"/>
              <w:spacing w:after="0"/>
              <w:rPr>
                <w:sz w:val="20"/>
                <w:szCs w:val="20"/>
                <w:color w:val="auto"/>
              </w:rPr>
            </w:pPr>
            <w:r>
              <w:rPr>
                <w:rFonts w:ascii="Arial" w:cs="Arial" w:eastAsia="Arial" w:hAnsi="Arial"/>
                <w:sz w:val="16"/>
                <w:szCs w:val="16"/>
                <w:color w:val="auto"/>
                <w:w w:val="95"/>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Long-term notes and other payables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80" w:type="dxa"/>
            <w:vAlign w:val="bottom"/>
            <w:gridSpan w:val="2"/>
          </w:tcPr>
          <w:p>
            <w:pPr>
              <w:ind w:left="320"/>
              <w:spacing w:after="0"/>
              <w:rPr>
                <w:sz w:val="20"/>
                <w:szCs w:val="20"/>
                <w:color w:val="auto"/>
              </w:rPr>
            </w:pPr>
            <w:r>
              <w:rPr>
                <w:rFonts w:ascii="Arial" w:cs="Arial" w:eastAsia="Arial" w:hAnsi="Arial"/>
                <w:sz w:val="16"/>
                <w:szCs w:val="16"/>
                <w:color w:val="auto"/>
              </w:rPr>
              <w:t>Total debt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14,306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13,825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6"/>
          </w:tcPr>
          <w:p>
            <w:pPr>
              <w:ind w:left="4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5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Long-term debt</w:t>
            </w: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6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w w:val="96"/>
              </w:rPr>
              <w:t>Unamortized premiums, discounts and deferred finance charges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tcPr>
          <w:p>
            <w:pPr>
              <w:ind w:left="460"/>
              <w:spacing w:after="0"/>
              <w:rPr>
                <w:sz w:val="20"/>
                <w:szCs w:val="20"/>
                <w:color w:val="auto"/>
              </w:rPr>
            </w:pPr>
            <w:r>
              <w:rPr>
                <w:rFonts w:ascii="Arial" w:cs="Arial" w:eastAsia="Arial" w:hAnsi="Arial"/>
                <w:sz w:val="16"/>
                <w:szCs w:val="16"/>
                <w:color w:val="auto"/>
              </w:rPr>
              <w:t>Fair value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14,472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March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0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5"/>
                <w:szCs w:val="15"/>
                <w:color w:val="auto"/>
              </w:rPr>
            </w:pPr>
          </w:p>
        </w:tc>
        <w:tc>
          <w:tcPr>
            <w:tcW w:w="82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14,306</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39" w:lineRule="auto"/>
        <w:tabs>
          <w:tab w:leader="none" w:pos="327" w:val="left"/>
        </w:tabs>
        <w:numPr>
          <w:ilvl w:val="0"/>
          <w:numId w:val="9"/>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Debt principal payments are estimated amounts based on contractual maturity and repayment dates. Interest payments are estimated based on the forward-looking LIBOR curve, where applicable, and include the estimated impact of the four interest rate swap agreements related to our CRC Credit Facility (see Note 7). Actual payments may differ from these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long-term debt as of March 31, 2022 includes the principal payments on the term loans, other unsecured borrowings, and special improvement district bonds that are contractually due within 12 months. The Company may, from time to time, seek to repurchase its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March 31, 2022 and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Baltimore Term Loan and Baltimore Revolving Credit Facility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increased ownership interest in Horseshoe Baltimore, we began to consolidate the aggregate principal amount of Horseshoe Baltimore’s senior secured term loan facility (the “Baltimore Term Loan”) and amount outstanding, if any, under Horseshoe Baltimore’s senior secured revolving credit facility (the “Baltimore Revolving Credit Facility”). The Baltimore Term Loan matures in 2024 and is subject to a variable rate of interest calculated as LIBOR plus 4.00%. The Baltimore Revolving Credit Facility has borrowing capacity of up to $10 million available and matures in 2022, subject to a variable rate of interest calculated as LIBOR plus 6.00%. As of March 31, 2022, there was $10 million of available borrowing capacity under the Baltimore Revolving Credit Facility.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CRC is party to a credit agreement, dated as of December 22, 2017 (as amended, the “CRC Credit Agreement”), which included a $1.0 billion five-year revolving credit facility (the “CRC Revolving Credit Facility”) and an initial $4.7 billion seven-year first lien term loan (the “CRC Term Loan”), which was increased by $1.8 billion pursuant to an incremental agreement executed in connection with the Merger (the “CRC Incremental Term Loan”).</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CRC Term Loan matures in December 2024 and the CRC Incremental Term Loan matures in July 2025. The CRC Revolving Credit Facility matures in December 2022 and includes a $400 million letter of credit sub-facility. The CRC Term Loan and the CRC Incremental Term Loan require scheduled quarterly principal payments in amounts equal to 0.25% of the original aggregate principal amount, with the balance due at maturity. The CRC Credit Agreement also includes customary voluntary and mandatory prepayment provisions, subject to certain exceptions.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CRC Credit Agreement bear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margin shall be (a) with respect to the CRC Term Loan, 2.75% per annum in the case of any LIBOR loan or 1.75% per annum in the case of any base rate loan, (b) with respect to the CRC Incremental Term Loan, 4.50% per annum in the case of any LIBOR loan or 3.50% in the case of any base rate loan and</w:t>
      </w:r>
    </w:p>
    <w:p>
      <w:pPr>
        <w:jc w:val="both"/>
        <w:ind w:firstLine="8"/>
        <w:spacing w:after="0" w:line="270" w:lineRule="auto"/>
        <w:tabs>
          <w:tab w:leader="none" w:pos="2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case of the CRC Revolving Credit Facility, 2.25% per annum in the case of any LIBOR loan and 1.25% per annum in the case of any base rate loan, subject in the case of the CRC Revolving Credit Facility to two 0.125% step-downs based on CRC’s senior secured leverage ratio (“SSLR”), the ratio of first lien senior secured net debt to adjusted earnings before interest, taxes, depreciation and amortization. The CRC Revolving Credit Facility is subject to a financial covenant discussed below. On September 21, 2021, CRC entered into a second amendment related to the CRC Incremental Term Loan to reduce the interest rate margins to 3.50% per annum in the case of any LIBOR loan or 2.50% per annum in the case of any base rate loan. The CRC Term Loan and the CRC Incremental Term Loan are LIBOR based loans as of March 31, 2022.</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the Company utilized and fully repaid on the CRC Revolving Credit Facility. Such activity is presented in the financing section in the Statements of Cash Flows. As of March 31, 2022, the Company had $960 million of available borrowing capacity, after consideration of $65 million in outstanding letters of credit under the CRC Revolving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Revolving Credit Facility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20, 2020, the Escrow Issuer entered into a new credit agreement with JPMorgan Chase Bank, N.A., as administrative agent, U.S. Bank National Association, as collateral agent, and certain banks and other financial institutions and lenders party thereto, which provide for a five-year CEI Revolving Credit Facility in an aggregate principal amount of $1.2 billion (the “CEI Revolving Credit Facility”). On November 10, 2021, the Company amended the CEI Revolving Credit Facility to establish reserves in the total amount of $190 million which are available only for permitted use. The CEI Revolving Credit Facility matures in July 2025 and includes a letter of credit sub-facility of $250 million.</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Company is required to pay a commitment fee in respect of any unused commitments under the CEI Revolving Credit Facility in the amount of 0.50% of principal amount of the commitments of all lenders, subject to a step-down to 0.375% based upon the Company’s total leverage ratio. The Company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 Company had $922 million of available borrowing capacity under the CEI Revolving Credit Facility, after consideration of $25 million in outstanding letters of credit, $48 million committed for regulatory purposes and the reserves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Company issued $1.0 billion in aggregate principal amount of 5.75% Senior Secured Notes due 2025 pursuant to an indenture, dated July 6, 2020 (the “CRC Senior Secured Notes”), by and among the Escrow Issuer, U.S. Bank National Association, as trustee and Credit Suisse AG, Cayman Islands Branch, as collateral agent. In connection with the consummation of the Merger, CRC assumed the rights and obligations under the CRC Senior Secured Notes and the indenture governing such notes. The CRC Senior Secured Notes will mature on July 1, 2025 with interest payable semi-annually in cash in arrears on January 1 and July 1 of each year.</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by and among the Escrow Issuer, U.S. Bank National Association, as trustee, and U.S. Bank National Association, as collateral agent. The Company assumed the rights and obligations under the CEI Senior Secured Notes and the indenture governing such notes on July 20, 2020. The CEI Senior Secured Notes will mature on July 1, 2025 with interest payable semi-annually in cash in arrears on January 1 and July 1 of each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18, 2020, the Company entered into a loan agreement with VICI to borrow a 5-year, $400 million Forum Convention Center mortgage loan (the “Mortgage Loan”). The Mortgage Loan bears interest at a rate of, initially, 7.7% per annum, which escalates annually to a maximum interest rate of 8.3% per annum. Beginning October 1, 2021, the Mortgage Loan is subject to an interest rate of 7.854% for the next twelve months.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6, 2020, the Escrow Issuer issued $1.8 billion in aggregate principal amount of 8.125% Senior Notes due 2027 pursuant to an indenture, dated July 6, 2020 (the “CEI Senior Notes”), by and between the Escrow Issuer and U.S. Bank National Association, as trustee. The Company assumed the rights and obligations under the CEI Senior Notes and the indenture governing such notes on July 20, 2020. The CEI Senior Notes will mature on July 1, 2027 with interest payable semi-annually in cash in arrears on January 1 and July 1 of each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 due 2029</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24, 2021, the Company issued $1.2 billion in aggregate principal amount of 4.625% Senior Notes due 2029 (the “Senior Notes”) pursuant to an indenture dated as of September 24, 2021 between the Company and U.S. Bank National Association, as Trustee. The Senior Notes will mature on October 15, 2029 with interest payable on April 15 and October 15 of each year, commencing April 15,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Covenant Compliance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CRC Credit Agreement, the CEI Revolving Credit Facility, the Baltimore Term Loan and the indentures governing the CEI Senior Secured Notes, the CEI Senior Notes, the CRC Senior Secured Notes and the Senior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Revolving Credit Facility and the CEI Revolving Credit Facility include a maximum first-priority net senior secured leverage ratio financial covenant of 6.35:1, which is applicable solely to the extent that certain testing conditions are satisfied. The Baltimore Revolving Credit Facility includes a senior secured leverage ratio financial covenant of 5.0:1. Failure to comply with such covenants could result in an acceleration of the maturity of indebtedness outstanding under the relevant debt document.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Company was in compliance with all of the applicable financial covenants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CEI Revolving Credit Facility and the CEI Senior Secured Notes are guaranteed on a senior secured basis by each existing and future material wholly-owned domestic subsidiary of CEI (subject to certain exceptions) and are secured by substantially all of the existing and future property and assets of CEI and its subsidiary guarantors (subject to certain exceptions). The CEI Senior Notes and the Senior Notes are guaranteed on a senior unsecured basis by such subsidiaries.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Credit Agreement and 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Credit Agreement and the CRC Senior Secured Notes are also guaranteed on a senior unsecured basis by CEI.</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Revenue Recognition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Statements of Operations presents net revenue disaggregated by type or nature of the good or service. A summary of net revenues disaggregated by type of revenue and reportable segment is presented below. We recast previously reported segment amounts to conform to the way management assesses results and allocates resources following the William Hill Acquisition. Refer to Note 15 for additional information on the Company’s reportable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7"/>
              </w:rPr>
              <w:t>Three Months Ended March 31, 2022</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3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 xml:space="preserve">Caesars Digital </w:t>
            </w:r>
            <w:r>
              <w:rPr>
                <w:rFonts w:ascii="Arial" w:cs="Arial" w:eastAsia="Arial" w:hAnsi="Arial"/>
                <w:sz w:val="21"/>
                <w:szCs w:val="21"/>
                <w:b w:val="1"/>
                <w:bCs w:val="1"/>
                <w:color w:val="auto"/>
                <w:vertAlign w:val="superscript"/>
              </w:rPr>
              <w:t>*</w:t>
            </w:r>
          </w:p>
        </w:tc>
        <w:tc>
          <w:tcPr>
            <w:tcW w:w="12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220"/>
              <w:spacing w:after="0" w:line="175" w:lineRule="exact"/>
              <w:rPr>
                <w:sz w:val="20"/>
                <w:szCs w:val="20"/>
                <w:color w:val="auto"/>
              </w:rPr>
            </w:pPr>
            <w:r>
              <w:rPr>
                <w:rFonts w:ascii="Arial" w:cs="Arial" w:eastAsia="Arial" w:hAnsi="Arial"/>
                <w:sz w:val="16"/>
                <w:szCs w:val="16"/>
                <w:b w:val="1"/>
                <w:bCs w:val="1"/>
                <w:color w:val="auto"/>
              </w:rPr>
              <w:t>Branded</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89"/>
              </w:rPr>
              <w:t>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ind w:left="320" w:hanging="312"/>
        <w:spacing w:after="0" w:line="184" w:lineRule="auto"/>
        <w:tabs>
          <w:tab w:leader="none" w:pos="320" w:val="left"/>
        </w:tabs>
        <w:numPr>
          <w:ilvl w:val="0"/>
          <w:numId w:val="11"/>
        </w:numPr>
        <w:rPr>
          <w:rFonts w:ascii="Arial" w:cs="Arial" w:eastAsia="Arial" w:hAnsi="Arial"/>
          <w:sz w:val="28"/>
          <w:szCs w:val="28"/>
          <w:b w:val="1"/>
          <w:bCs w:val="1"/>
          <w:i w:val="1"/>
          <w:iCs w:val="1"/>
          <w:color w:val="auto"/>
          <w:vertAlign w:val="superscript"/>
        </w:rPr>
      </w:pPr>
      <w:r>
        <w:rPr>
          <w:rFonts w:ascii="Arial" w:cs="Arial" w:eastAsia="Arial" w:hAnsi="Arial"/>
          <w:sz w:val="14"/>
          <w:szCs w:val="14"/>
          <w:i w:val="1"/>
          <w:iCs w:val="1"/>
          <w:color w:val="auto"/>
        </w:rPr>
        <w:t>See discussion of negative revenues in Note 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7"/>
              </w:rPr>
              <w:t>Three Months Ended March 31, 2021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Branded</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Accounts Receivable, Net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tcPr>
          <w:p>
            <w:pPr>
              <w:spacing w:after="0"/>
              <w:rPr>
                <w:sz w:val="16"/>
                <w:szCs w:val="16"/>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auto"/>
              </w:rPr>
              <w:t>Food and beverage and hotel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6"/>
        </w:trPr>
        <w:tc>
          <w:tcPr>
            <w:tcW w:w="20" w:type="dxa"/>
            <w:vAlign w:val="bottom"/>
            <w:shd w:val="clear" w:color="auto" w:fill="CCEEFF"/>
          </w:tcPr>
          <w:p>
            <w:pPr>
              <w:spacing w:after="0"/>
              <w:rPr>
                <w:sz w:val="21"/>
                <w:szCs w:val="21"/>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07"/>
        </w:trPr>
        <w:tc>
          <w:tcPr>
            <w:tcW w:w="20" w:type="dxa"/>
            <w:vAlign w:val="bottom"/>
          </w:tcPr>
          <w:p>
            <w:pPr>
              <w:spacing w:after="0"/>
              <w:rPr>
                <w:sz w:val="17"/>
                <w:szCs w:val="17"/>
                <w:color w:val="auto"/>
              </w:rPr>
            </w:pPr>
          </w:p>
        </w:tc>
        <w:tc>
          <w:tcPr>
            <w:tcW w:w="754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and Contract Related Liabilities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 (2) Caesars Rewards player loyalty program obligations, which represent the deferred allocation of revenue relating to reward credits granted to Caesars Rewards members based on on-property spending, including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Outstanding Chip Liability</w:t>
            </w:r>
          </w:p>
        </w:tc>
        <w:tc>
          <w:tcPr>
            <w:tcW w:w="280" w:type="dxa"/>
            <w:vAlign w:val="bottom"/>
          </w:tcPr>
          <w:p>
            <w:pPr>
              <w:spacing w:after="0"/>
              <w:rPr>
                <w:sz w:val="16"/>
                <w:szCs w:val="16"/>
                <w:color w:val="auto"/>
              </w:rPr>
            </w:pPr>
          </w:p>
        </w:tc>
        <w:tc>
          <w:tcPr>
            <w:tcW w:w="2060" w:type="dxa"/>
            <w:vAlign w:val="bottom"/>
            <w:gridSpan w:val="3"/>
            <w:vMerge w:val="restart"/>
          </w:tcPr>
          <w:p>
            <w:pPr>
              <w:jc w:val="right"/>
              <w:ind w:right="319"/>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6"/>
                <w:szCs w:val="16"/>
                <w:b w:val="1"/>
                <w:bCs w:val="1"/>
                <w:color w:val="auto"/>
              </w:rPr>
              <w:t>Customer Deposits and Other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Deferred Revenue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9"/>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59"/>
              <w:spacing w:after="0" w:line="172" w:lineRule="exact"/>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jc w:val="right"/>
              <w:ind w:right="19"/>
              <w:spacing w:after="0" w:line="172" w:lineRule="exact"/>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180"/>
              <w:spacing w:after="0" w:line="172" w:lineRule="exact"/>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760" w:type="dxa"/>
            <w:vAlign w:val="bottom"/>
            <w:tcBorders>
              <w:top w:val="single" w:sz="8" w:color="auto"/>
              <w:bottom w:val="single" w:sz="8" w:color="CFF0FC"/>
            </w:tcBorders>
          </w:tcPr>
          <w:p>
            <w:pPr>
              <w:spacing w:after="0" w:line="20" w:lineRule="exact"/>
              <w:rPr>
                <w:sz w:val="1"/>
                <w:szCs w:val="1"/>
                <w:color w:val="auto"/>
              </w:rPr>
            </w:pPr>
          </w:p>
        </w:tc>
        <w:tc>
          <w:tcPr>
            <w:tcW w:w="21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January 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89"/>
              </w:rPr>
              <w:t>48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8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at March 31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89"/>
              </w:rPr>
              <w:t>37</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325</w:t>
            </w:r>
          </w:p>
        </w:tc>
        <w:tc>
          <w:tcPr>
            <w:tcW w:w="0" w:type="dxa"/>
            <w:vAlign w:val="bottom"/>
          </w:tcPr>
          <w:p>
            <w:pPr>
              <w:spacing w:after="0"/>
              <w:rPr>
                <w:sz w:val="1"/>
                <w:szCs w:val="1"/>
                <w:color w:val="auto"/>
              </w:rPr>
            </w:pPr>
          </w:p>
        </w:tc>
      </w:tr>
      <w:tr>
        <w:trPr>
          <w:trHeight w:val="233"/>
        </w:trPr>
        <w:tc>
          <w:tcPr>
            <w:tcW w:w="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Increase / (decrease)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w w:val="91"/>
              </w:rPr>
              <w:t>(11)</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8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March 31, 2022 balances exclude liabilities related to assets held for sale recorded in 2022 and 2021. See Note 3. The significant change in customer deposits and other deferred revenue during the period ended March 31, 2022 was primarily due to expansion of the Caesars Digital segment from the legalization of retail and online sports betting in new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March 31, 2022 and 2021, we recognized approximately $383 million and $215 million, respectively, which is included in Hotel revenues in the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Statements of Operations, and during the three months ended March 31, 2022 lease revenue related to conventions was approximately $6 million. Lease revenue related to conventions for the three months ended March 31, 2021 was not material.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lease revenue is included in Other revenue in the Statements of Operations. During the three months ended March 31, 2022 and 2021, we recognized approximately $36 million and $21 million, respectively, of real estate lease revenue.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Real estate lease revenue includes $12 million and $7 million of variable rental income for the three months ended March 31, 2022 and 2021,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Earnings per Share</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loss per share computations for the three months ended March 31, 2022 and 2021:</w:t>
      </w:r>
    </w:p>
    <w:p>
      <w:pPr>
        <w:spacing w:after="0" w:line="157"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from continuing operations attributable to Caesars, net of income taxes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loss attributable to Caesars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Shares outstanding:</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6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 average shares outstanding – basic</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Weighted average shares outstanding – diluted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5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Basic loss per share from continuing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loss per common share attributable to common stockholders – basic:</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5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Diluted loss per share from continuing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loss per common share attributable to common stockholders – diluted: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period in which the Company generated a net loss, the weighted average shares outstanding - basic was used in calculating diluted loss per share because using diluted shares would have been anti-dilutive to loss per share.</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Weighted-Average Number of Anti-Dilutive Shares Excluded from Calculation of EPS</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7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67"/>
        </w:trPr>
        <w:tc>
          <w:tcPr>
            <w:tcW w:w="2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5% Convertible Notes</w:t>
            </w: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6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anti-dilutive common stock</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Stock-Based Compensation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performance-based and incentive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stock-based compensation expense in the accompanying Statements of Operations totaled $25 million and $23 million during the three months ended March 31, 2022 and 2021, respectively. These amounts are included in Corporate expense in the Company’s Statements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 (“2015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as part of the annual incentive program, the Company granted 706 thousand RSUs to employees of the Company with an aggregate fair value of $52 million and a ratable vesting period of one to three years. Each RSU represents the right to receive payment in respect of one share of the Company’s Common Stock.</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March 31, 2022, the Company also granted 81 thousand PSUs that are scheduled to vest over a period of one to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$6 million as of March 31, 2022.</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during the three months ended March 31, 2022, the Company granted 428 thousand MSUs that are scheduled to cliff vest over a period of one to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three months ended March 31, 2022 was $36 million. Included in the MSUs granted during the period is an award for the Company’s CEO in the amount of 225,000 MSUs, with a grant date fair value of $16 million which is eligible to be earned based on the achievement of certain stock prices over a three-year period. The stock-based compensation expense associated with this award is expected to be recognized over the derived service period ending December 31, 2022. These awards will be settled in February 2025.</w:t>
      </w:r>
    </w:p>
    <w:p>
      <w:pPr>
        <w:spacing w:after="0" w:line="11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three months ended March 31, 2022, there were no grants of stock options and 14 thousand stock options were exercised. In addition, during the three months ended March 31, 2022, 556 thousand, 162 thousand and 22 thousand of RSUs, PSUs and MSUs, respectively, vested under the 2015 plan.</w:t>
      </w:r>
    </w:p>
    <w:p>
      <w:pPr>
        <w:spacing w:after="0" w:line="27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at End of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220" w:type="dxa"/>
            <w:vAlign w:val="bottom"/>
            <w:gridSpan w:val="5"/>
          </w:tcPr>
          <w:p>
            <w:pPr>
              <w:ind w:left="1020"/>
              <w:spacing w:after="0"/>
              <w:rPr>
                <w:sz w:val="20"/>
                <w:szCs w:val="20"/>
                <w:color w:val="auto"/>
              </w:rPr>
            </w:pPr>
            <w:r>
              <w:rPr>
                <w:rFonts w:ascii="Arial" w:cs="Arial" w:eastAsia="Arial" w:hAnsi="Arial"/>
                <w:sz w:val="16"/>
                <w:szCs w:val="16"/>
                <w:b w:val="1"/>
                <w:bCs w:val="1"/>
                <w:color w:val="auto"/>
              </w:rPr>
              <w:t>March 31, 2022</w:t>
            </w:r>
          </w:p>
        </w:tc>
        <w:tc>
          <w:tcPr>
            <w:tcW w:w="31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2021</w:t>
            </w:r>
          </w:p>
        </w:tc>
      </w:tr>
      <w:tr>
        <w:trPr>
          <w:trHeight w:val="212"/>
        </w:trPr>
        <w:tc>
          <w:tcPr>
            <w:tcW w:w="4860" w:type="dxa"/>
            <w:vAlign w:val="bottom"/>
          </w:tcPr>
          <w:p>
            <w:pPr>
              <w:spacing w:after="0"/>
              <w:rPr>
                <w:sz w:val="18"/>
                <w:szCs w:val="18"/>
                <w:color w:val="auto"/>
              </w:rPr>
            </w:pPr>
          </w:p>
        </w:tc>
        <w:tc>
          <w:tcPr>
            <w:tcW w:w="1620" w:type="dxa"/>
            <w:vAlign w:val="bottom"/>
            <w:tcBorders>
              <w:top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Quantity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7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c>
          <w:tcPr>
            <w:tcW w:w="100" w:type="dxa"/>
            <w:vAlign w:val="bottom"/>
          </w:tcPr>
          <w:p>
            <w:pPr>
              <w:spacing w:after="0"/>
              <w:rPr>
                <w:sz w:val="18"/>
                <w:szCs w:val="18"/>
                <w:color w:val="auto"/>
              </w:rPr>
            </w:pPr>
          </w:p>
        </w:tc>
        <w:tc>
          <w:tcPr>
            <w:tcW w:w="1620" w:type="dxa"/>
            <w:vAlign w:val="bottom"/>
            <w:tcBorders>
              <w:top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Quantity</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9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2,238,306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67.69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2,090,607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61.47</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Market-based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788,085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81.44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381,923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77.09</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4" w:lineRule="auto"/>
        <w:tabs>
          <w:tab w:leader="none" w:pos="327" w:val="left"/>
        </w:tabs>
        <w:numPr>
          <w:ilvl w:val="0"/>
          <w:numId w:val="1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weighted-average exercise price for stock options, weighted-average grant date fair value for RSUs, weighted-average grant date fair value for PSUs where the grant date has been achieved, the price of CEI common stock as of the balance sheet date for PSUs where a grant date has not been achieved, and the fair value of the MSUs determined using the Monte-Carlo simulation model.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2022, the Company has acquired 223,823 shares of common stock under the Share Repurchase Program at an aggregate value of $9 million and an average of $40.80 per share. No shares were repurchased during the three months ended March 31, 2022 and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the Authorized Shares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June 17, 2021, following receipt of required shareholder approvals, the Company amended its Certificate of Incorporation to increase the number of authorized shares of common stock from 300 million to 500 million, and authorize the issuance of up to 150 million shares of preferred stock.</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Income Taxes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Income Tax Allocation</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67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679"/>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(496)</w:t>
            </w: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6"/>
                <w:szCs w:val="16"/>
                <w:color w:val="auto"/>
              </w:rPr>
              <w:t>Benefit for income taxes</w:t>
            </w: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76</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15.3 %</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use the existing deferred tax assets. We have provided a valuation allowance on certain federal, state and foreign deferred tax assets that were not deemed realizable based upon estimates of future taxable income.</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William Hill Acquisition, the Company assumed $381 million of additional net deferred tax liabilities net of necessary valuation allowances, plus $34 million in additional accruals for uncertain tax positions. $132 million of the additional deferred tax liabilities and $34 million of the accruals for uncertain tax positions relating to the William Hill Acquisition are presented in Liabilities related to assets held for sale.</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income tax benefit for the three months ended March 31, 2022 differed from the expected income tax benefit based on the federal tax rate of 21% primarily due to nondeductible expenses and state income taxes.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income tax benefit for the three months ended March 31, 2021 differed from the expected income tax benefit based on the federal tax rate of 21% primarily due to nondeductible expenses related to the convertible notes liability.</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2018, and it is possible that the amount of the liability for unrecognized tax benefits could change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Related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2022, Recreational Enterprises, Inc. (“REI”) owned approximately 4.0%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During the three months ended March 31, 2022 and 2021, there were no related party transactions between the Company and the Carano family other than compensation, including salary and equity incentives, and the CSY Lease listed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 &amp; Y. Associates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quarterly. Annual rent is subject to periodic rent escalations through the term of the lease. As of March 31, 2022 and December 31, 2021, there were no amounts due to or from CSY.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Horseshoe Baltimore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held an interest in Horseshoe Baltimore of approximately 44.3%, which was accounted for as an equity method investment, prior to our acquisition of an additional interest and subsequent consolidation on August 26, 2021. Related party transactions include items such as casino management fees, reimbursement of various costs incurred on behalf of Horseshoe Baltimore, and the allocation of other general corporate expenses. Following our consolidation of Horseshoe Baltimore, these transactions are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15. Segment Information</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William Hill Acquisition, our principal operating activities occurred in three regionally-focused reportable segments: Las Vegas, Regional, and Managed, International, CIE, in addition to Corporate and Other. Following the William Hill Acquisition,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Note 3 and Note 6 for a discussion of any impairment of intangibles or long-lived assets related to certain segments.</w:t>
      </w:r>
    </w:p>
    <w:p>
      <w:pPr>
        <w:spacing w:after="0" w:line="33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March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Las Vegas</w:t>
            </w:r>
          </w:p>
        </w:tc>
        <w:tc>
          <w:tcPr>
            <w:tcW w:w="8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Managed and Branded</w:t>
            </w: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Bally’s Las Vegas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Caesars Atlantic City</w:t>
            </w:r>
          </w:p>
        </w:tc>
        <w:tc>
          <w:tcPr>
            <w:tcW w:w="460" w:type="dxa"/>
            <w:vAlign w:val="bottom"/>
            <w:shd w:val="clear" w:color="auto" w:fill="CCEEFF"/>
          </w:tcPr>
          <w:p>
            <w:pPr>
              <w:spacing w:after="0"/>
              <w:rPr>
                <w:sz w:val="14"/>
                <w:szCs w:val="14"/>
                <w:color w:val="auto"/>
              </w:rPr>
            </w:pPr>
          </w:p>
        </w:tc>
        <w:tc>
          <w:tcPr>
            <w:tcW w:w="2940" w:type="dxa"/>
            <w:vAlign w:val="bottom"/>
            <w:gridSpan w:val="2"/>
            <w:shd w:val="clear" w:color="auto" w:fill="CCEEFF"/>
          </w:tcPr>
          <w:p>
            <w:pPr>
              <w:ind w:left="160"/>
              <w:spacing w:after="0" w:line="172" w:lineRule="exact"/>
              <w:rPr>
                <w:sz w:val="20"/>
                <w:szCs w:val="20"/>
                <w:color w:val="auto"/>
              </w:rPr>
            </w:pPr>
            <w:r>
              <w:rPr>
                <w:rFonts w:ascii="Arial" w:cs="Arial" w:eastAsia="Arial" w:hAnsi="Arial"/>
                <w:sz w:val="16"/>
                <w:szCs w:val="16"/>
                <w:color w:val="auto"/>
              </w:rPr>
              <w:t>Horseshoe Bossier City</w:t>
            </w:r>
          </w:p>
        </w:tc>
        <w:tc>
          <w:tcPr>
            <w:tcW w:w="20" w:type="dxa"/>
            <w:vAlign w:val="bottom"/>
            <w:shd w:val="clear" w:color="auto" w:fill="CCEEFF"/>
          </w:tcPr>
          <w:p>
            <w:pPr>
              <w:spacing w:after="0"/>
              <w:rPr>
                <w:sz w:val="14"/>
                <w:szCs w:val="14"/>
                <w:color w:val="auto"/>
              </w:rPr>
            </w:pPr>
          </w:p>
        </w:tc>
        <w:tc>
          <w:tcPr>
            <w:tcW w:w="2760" w:type="dxa"/>
            <w:vAlign w:val="bottom"/>
            <w:gridSpan w:val="3"/>
            <w:shd w:val="clear" w:color="auto" w:fill="CCEEFF"/>
          </w:tcPr>
          <w:p>
            <w:pPr>
              <w:spacing w:after="0" w:line="172" w:lineRule="exact"/>
              <w:rPr>
                <w:sz w:val="20"/>
                <w:szCs w:val="20"/>
                <w:color w:val="auto"/>
              </w:rPr>
            </w:pPr>
            <w:r>
              <w:rPr>
                <w:rFonts w:ascii="Arial" w:cs="Arial" w:eastAsia="Arial" w:hAnsi="Arial"/>
                <w:sz w:val="16"/>
                <w:szCs w:val="16"/>
                <w:i w:val="1"/>
                <w:iCs w:val="1"/>
                <w:color w:val="auto"/>
              </w:rPr>
              <w:t>Managed</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Caesars Palace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Circus Circus Reno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Council Bluffs</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Ak-Chin</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Cromwell</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Eldorado Gaming Scioto Downs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Hammond</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Cherokee</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Flamingo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Eldorado Resort Casino Reno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Indianapolis</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Cherokee Valley River</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Grand Victoria Casino</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Tunica</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Resort Southern California</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The LINQ Hotel &amp; Casino</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Atlantic City</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Casino Bettendorf</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Caesars Windsor</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Paris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Council Bluffs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of Capri Casino Boonville</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Caesars Dubai</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line="162" w:lineRule="exact"/>
              <w:rPr>
                <w:sz w:val="20"/>
                <w:szCs w:val="20"/>
                <w:color w:val="auto"/>
              </w:rPr>
            </w:pPr>
            <w:r>
              <w:rPr>
                <w:rFonts w:ascii="Arial" w:cs="Arial" w:eastAsia="Arial" w:hAnsi="Arial"/>
                <w:sz w:val="16"/>
                <w:szCs w:val="16"/>
                <w:color w:val="auto"/>
              </w:rPr>
              <w:t>Planet Hollywood Resort &amp; Casino</w:t>
            </w:r>
          </w:p>
        </w:tc>
        <w:tc>
          <w:tcPr>
            <w:tcW w:w="80" w:type="dxa"/>
            <w:vAlign w:val="bottom"/>
          </w:tcPr>
          <w:p>
            <w:pPr>
              <w:spacing w:after="0"/>
              <w:rPr>
                <w:sz w:val="14"/>
                <w:szCs w:val="14"/>
                <w:color w:val="auto"/>
              </w:rPr>
            </w:pPr>
          </w:p>
        </w:tc>
        <w:tc>
          <w:tcPr>
            <w:tcW w:w="2320" w:type="dxa"/>
            <w:vAlign w:val="bottom"/>
          </w:tcPr>
          <w:p>
            <w:pPr>
              <w:ind w:left="20"/>
              <w:spacing w:after="0" w:line="162" w:lineRule="exact"/>
              <w:rPr>
                <w:sz w:val="20"/>
                <w:szCs w:val="20"/>
                <w:color w:val="auto"/>
              </w:rPr>
            </w:pPr>
            <w:r>
              <w:rPr>
                <w:rFonts w:ascii="Arial" w:cs="Arial" w:eastAsia="Arial" w:hAnsi="Arial"/>
                <w:sz w:val="16"/>
                <w:szCs w:val="16"/>
                <w:color w:val="auto"/>
              </w:rPr>
              <w:t>Harrah’s Gulf Coast</w:t>
            </w:r>
          </w:p>
        </w:tc>
        <w:tc>
          <w:tcPr>
            <w:tcW w:w="460" w:type="dxa"/>
            <w:vAlign w:val="bottom"/>
          </w:tcPr>
          <w:p>
            <w:pPr>
              <w:spacing w:after="0"/>
              <w:rPr>
                <w:sz w:val="14"/>
                <w:szCs w:val="14"/>
                <w:color w:val="auto"/>
              </w:rPr>
            </w:pPr>
          </w:p>
        </w:tc>
        <w:tc>
          <w:tcPr>
            <w:tcW w:w="2940" w:type="dxa"/>
            <w:vAlign w:val="bottom"/>
            <w:gridSpan w:val="2"/>
          </w:tcPr>
          <w:p>
            <w:pPr>
              <w:ind w:left="160"/>
              <w:spacing w:after="0" w:line="162" w:lineRule="exact"/>
              <w:rPr>
                <w:sz w:val="20"/>
                <w:szCs w:val="20"/>
                <w:color w:val="auto"/>
              </w:rPr>
            </w:pPr>
            <w:r>
              <w:rPr>
                <w:rFonts w:ascii="Arial" w:cs="Arial" w:eastAsia="Arial" w:hAnsi="Arial"/>
                <w:sz w:val="16"/>
                <w:szCs w:val="16"/>
                <w:color w:val="auto"/>
                <w:w w:val="98"/>
              </w:rPr>
              <w:t>Isle of Capri Casino Hotel Lake Charles</w:t>
            </w:r>
          </w:p>
        </w:tc>
        <w:tc>
          <w:tcPr>
            <w:tcW w:w="20" w:type="dxa"/>
            <w:vAlign w:val="bottom"/>
          </w:tcPr>
          <w:p>
            <w:pPr>
              <w:spacing w:after="0"/>
              <w:rPr>
                <w:sz w:val="14"/>
                <w:szCs w:val="14"/>
                <w:color w:val="auto"/>
              </w:rPr>
            </w:pPr>
          </w:p>
        </w:tc>
        <w:tc>
          <w:tcPr>
            <w:tcW w:w="276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Branded</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940" w:type="dxa"/>
            <w:vAlign w:val="bottom"/>
            <w:gridSpan w:val="2"/>
          </w:tcPr>
          <w:p>
            <w:pPr>
              <w:ind w:left="160"/>
              <w:spacing w:after="0" w:line="108" w:lineRule="exact"/>
              <w:rPr>
                <w:sz w:val="20"/>
                <w:szCs w:val="20"/>
                <w:color w:val="auto"/>
              </w:rPr>
            </w:pPr>
            <w:r>
              <w:rPr>
                <w:rFonts w:ascii="Arial" w:cs="Arial" w:eastAsia="Arial" w:hAnsi="Arial"/>
                <w:sz w:val="11"/>
                <w:szCs w:val="11"/>
                <w:i w:val="1"/>
                <w:iCs w:val="1"/>
                <w:color w:val="auto"/>
              </w:rPr>
              <w:t>(b)</w:t>
            </w:r>
          </w:p>
        </w:tc>
        <w:tc>
          <w:tcPr>
            <w:tcW w:w="20" w:type="dxa"/>
            <w:vAlign w:val="bottom"/>
          </w:tcPr>
          <w:p>
            <w:pPr>
              <w:spacing w:after="0"/>
              <w:rPr>
                <w:sz w:val="9"/>
                <w:szCs w:val="9"/>
                <w:color w:val="auto"/>
              </w:rPr>
            </w:pPr>
          </w:p>
        </w:tc>
        <w:tc>
          <w:tcPr>
            <w:tcW w:w="27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Rio All-Suite Hotel &amp; Casino</w:t>
            </w: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Joliet</w:t>
            </w:r>
          </w:p>
        </w:tc>
        <w:tc>
          <w:tcPr>
            <w:tcW w:w="4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of Capri Casino Lula</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 xml:space="preserve">Caesars Southern Indiana </w:t>
            </w:r>
            <w:r>
              <w:rPr>
                <w:rFonts w:ascii="Arial" w:cs="Arial" w:eastAsia="Arial" w:hAnsi="Arial"/>
                <w:sz w:val="21"/>
                <w:szCs w:val="21"/>
                <w:i w:val="1"/>
                <w:iCs w:val="1"/>
                <w:color w:val="auto"/>
                <w:vertAlign w:val="superscript"/>
              </w:rPr>
              <w:t>(c)</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Lake Tahoe</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Casino Hotel - Blackhawk</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Northern California</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Caesars Digital</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Laughlin</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Casino Racing Pompano Park</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80" w:type="dxa"/>
            <w:vAlign w:val="bottom"/>
          </w:tcPr>
          <w:p>
            <w:pPr>
              <w:spacing w:after="0"/>
              <w:rPr>
                <w:sz w:val="17"/>
                <w:szCs w:val="17"/>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Metropolis</w:t>
            </w:r>
          </w:p>
        </w:tc>
        <w:tc>
          <w:tcPr>
            <w:tcW w:w="46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Casino Waterloo</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New Orleans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Lady Luck Casino - Black Hawk</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North Kansas City</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Lumière Place Casino</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Philadelphia</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Silver Legacy Resort Casino</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Harveys Lake Tahoe</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Trop Casino Greenville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Harrah’s Hoosier Park Racing &amp; Casino</w:t>
            </w: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Tropicana Atlantic City</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 xml:space="preserve">Horseshoe Baltimore </w:t>
            </w:r>
            <w:r>
              <w:rPr>
                <w:rFonts w:ascii="Arial" w:cs="Arial" w:eastAsia="Arial" w:hAnsi="Arial"/>
                <w:sz w:val="21"/>
                <w:szCs w:val="21"/>
                <w:i w:val="1"/>
                <w:iCs w:val="1"/>
                <w:color w:val="auto"/>
                <w:vertAlign w:val="superscript"/>
              </w:rPr>
              <w:t>(a)</w:t>
            </w:r>
          </w:p>
        </w:tc>
        <w:tc>
          <w:tcPr>
            <w:tcW w:w="460" w:type="dxa"/>
            <w:vAlign w:val="bottom"/>
          </w:tcPr>
          <w:p>
            <w:pPr>
              <w:spacing w:after="0"/>
              <w:rPr>
                <w:sz w:val="24"/>
                <w:szCs w:val="24"/>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Tropicana Laughlin Hotel &amp; Casino</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August 26, 2021, the Company increased its ownership interest in Horseshoe Baltimore to 75.8% and began to consolidate the property in our Regional segment following the change in ownership. Management fees prior to the consolidation of Horseshoe Baltimore have been reflected in the Managed and Branded segment.</w:t>
      </w:r>
    </w:p>
    <w:p>
      <w:pPr>
        <w:spacing w:after="0" w:line="34" w:lineRule="exact"/>
        <w:rPr>
          <w:rFonts w:ascii="Arial" w:cs="Arial" w:eastAsia="Arial" w:hAnsi="Arial"/>
          <w:sz w:val="19"/>
          <w:szCs w:val="19"/>
          <w:i w:val="1"/>
          <w:iCs w:val="1"/>
          <w:color w:val="auto"/>
          <w:vertAlign w:val="superscript"/>
        </w:rPr>
      </w:pPr>
    </w:p>
    <w:p>
      <w:pPr>
        <w:ind w:left="340" w:right="20" w:hanging="332"/>
        <w:spacing w:after="0" w:line="217" w:lineRule="auto"/>
        <w:tabs>
          <w:tab w:leader="none" w:pos="327" w:val="left"/>
        </w:tabs>
        <w:numPr>
          <w:ilvl w:val="0"/>
          <w:numId w:val="13"/>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Lake Charles has been temporarily closed since the end of August 2020 due to damage from Hurricane Laura and will remain closed until the fourth quarter of 2022 when construction of a new land-based casino is expected to be complete.</w:t>
      </w:r>
    </w:p>
    <w:p>
      <w:pPr>
        <w:spacing w:after="0" w:line="34" w:lineRule="exact"/>
        <w:rPr>
          <w:rFonts w:ascii="Arial" w:cs="Arial" w:eastAsia="Arial" w:hAnsi="Arial"/>
          <w:sz w:val="19"/>
          <w:szCs w:val="19"/>
          <w:i w:val="1"/>
          <w:iCs w:val="1"/>
          <w:color w:val="212529"/>
          <w:vertAlign w:val="superscript"/>
        </w:rPr>
      </w:pPr>
    </w:p>
    <w:p>
      <w:pPr>
        <w:jc w:val="both"/>
        <w:ind w:left="340" w:hanging="332"/>
        <w:spacing w:after="0" w:line="228" w:lineRule="auto"/>
        <w:tabs>
          <w:tab w:leader="none" w:pos="336"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 sale of Caesars Southern Indiana closed on September 3, 2021 and the Company entered into a license agreement with the Eastern Band of Cherokee Indians for the continued use of the Caesars brand and the Caesars Rewards loyalty program at Caesars Southern Indiana. Caesars Southern Indiana was previously reported within the Regional segment and subsequent to the sale, as a result of the license agreement relating to the continued use of the Caesars brand and Caesars Rewards loyalty program at Caesars Southern Indiana, is reported within the Managed and Branded segment.</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properties listed above exclude the discontinued operations, including previous international properties which have been sold, or we have entered into agreements to sell. The sale of Caesars UK Group closed on July 16, 2021, in which the buyer assumed all liabilities associated with the Caesars UK Group. Additionally, on September 8, 2021, the Company entered into an agreement to sell William Hill International, which is expected to close in the second quarter of 2022.</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properties operate off-track betting locations, including Hoosier Park, which operates Winner’s Circle Indianapolis and Winner’s Circle New Haven, and Horseshoe Indianapolis (formerly “Indiana Grand”),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conference center, which is a 550,000 square feet conference center with 300,000 square feet of flexible meeting space, two of the largest pillarless ballrooms in the world and direct access to the LINQ.</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operating data for the Company’s four reportable segments. We recast previously reported segment amounts to conform to the way management assesses results and allocates resources for the current year.</w:t>
      </w:r>
    </w:p>
    <w:p>
      <w:pPr>
        <w:spacing w:after="0" w:line="157"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Caesars Digital:</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i w:val="1"/>
                <w:iCs w:val="1"/>
                <w:color w:val="auto"/>
              </w:rPr>
              <w:t>Managed and Branded:</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Corporate and 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EBITDA - By Segment to Net Income (Loss) Attributable to Caesars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4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19"/>
              <w:spacing w:after="0" w:line="175"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by Segment: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2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Corporate and Other</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2"/>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r>
      <w:tr>
        <w:trPr>
          <w:trHeight w:val="193"/>
        </w:trPr>
        <w:tc>
          <w:tcPr>
            <w:tcW w:w="20" w:type="dxa"/>
            <w:vAlign w:val="bottom"/>
          </w:tcPr>
          <w:p>
            <w:pPr>
              <w:spacing w:after="0"/>
              <w:rPr>
                <w:sz w:val="16"/>
                <w:szCs w:val="16"/>
                <w:color w:val="auto"/>
              </w:rPr>
            </w:pPr>
          </w:p>
        </w:tc>
        <w:tc>
          <w:tcPr>
            <w:tcW w:w="7640" w:type="dxa"/>
            <w:vAlign w:val="bottom"/>
            <w:gridSpan w:val="2"/>
          </w:tcPr>
          <w:p>
            <w:pPr>
              <w:spacing w:after="0"/>
              <w:rPr>
                <w:sz w:val="20"/>
                <w:szCs w:val="20"/>
                <w:color w:val="auto"/>
              </w:rPr>
            </w:pPr>
            <w:r>
              <w:rPr>
                <w:rFonts w:ascii="Arial" w:cs="Arial" w:eastAsia="Arial" w:hAnsi="Arial"/>
                <w:sz w:val="16"/>
                <w:szCs w:val="16"/>
                <w:color w:val="auto"/>
              </w:rPr>
              <w:t>Reconciliation to net loss attributable to Caesars: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loss attributable to noncontrolling interests</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20"/>
              <w:spacing w:after="0"/>
              <w:rPr>
                <w:sz w:val="20"/>
                <w:szCs w:val="20"/>
                <w:color w:val="auto"/>
              </w:rPr>
            </w:pPr>
            <w:r>
              <w:rPr>
                <w:rFonts w:ascii="Arial" w:cs="Arial" w:eastAsia="Arial" w:hAnsi="Arial"/>
                <w:sz w:val="16"/>
                <w:szCs w:val="16"/>
                <w:color w:val="auto"/>
              </w:rPr>
              <w:t>Net loss from discontinued operations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Benefit for income taxes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20" w:type="dxa"/>
            <w:vAlign w:val="bottom"/>
          </w:tcPr>
          <w:p>
            <w:pPr>
              <w:spacing w:after="0"/>
              <w:rPr>
                <w:sz w:val="18"/>
                <w:szCs w:val="18"/>
                <w:color w:val="auto"/>
              </w:rPr>
            </w:pPr>
          </w:p>
        </w:tc>
        <w:tc>
          <w:tcPr>
            <w:tcW w:w="76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Transaction and other operating costs, net </w:t>
            </w:r>
            <w:r>
              <w:rPr>
                <w:rFonts w:ascii="Arial" w:cs="Arial" w:eastAsia="Arial" w:hAnsi="Arial"/>
                <w:sz w:val="21"/>
                <w:szCs w:val="21"/>
                <w:i w:val="1"/>
                <w:iCs w:val="1"/>
                <w:color w:val="auto"/>
                <w:vertAlign w:val="superscript"/>
              </w:rPr>
              <w:t>(b)</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48" w:lineRule="auto"/>
        <w:tabs>
          <w:tab w:leader="none" w:pos="327" w:val="left"/>
        </w:tabs>
        <w:numPr>
          <w:ilvl w:val="0"/>
          <w:numId w:val="14"/>
        </w:numPr>
        <w:rPr>
          <w:rFonts w:ascii="Arial" w:cs="Arial" w:eastAsia="Arial" w:hAnsi="Arial"/>
          <w:sz w:val="17"/>
          <w:szCs w:val="17"/>
          <w:i w:val="1"/>
          <w:iCs w:val="1"/>
          <w:color w:val="212529"/>
          <w:vertAlign w:val="superscript"/>
        </w:rPr>
      </w:pPr>
      <w:r>
        <w:rPr>
          <w:rFonts w:ascii="Arial" w:cs="Arial" w:eastAsia="Arial" w:hAnsi="Arial"/>
          <w:sz w:val="13"/>
          <w:szCs w:val="13"/>
          <w:i w:val="1"/>
          <w:iCs w:val="1"/>
          <w:color w:val="auto"/>
        </w:rPr>
        <w:t>Other income for the three months ended March 31, 2022 primarily represents the net change in fair value of investments held by the Company, foreign exchange forward contracts, and the changes in the disputed claims liability related to Former Caesars’ bankruptcy. Other loss for the three months ended March 31, 2021 primarily represents a loss on the change in fair value of the derivative liability related to the 5% Convertible Notes offset by gains on foreign currency exchange and investments held by the Company.</w:t>
      </w:r>
    </w:p>
    <w:p>
      <w:pPr>
        <w:spacing w:after="0" w:line="29" w:lineRule="exact"/>
        <w:rPr>
          <w:rFonts w:ascii="Arial" w:cs="Arial" w:eastAsia="Arial" w:hAnsi="Arial"/>
          <w:sz w:val="17"/>
          <w:szCs w:val="17"/>
          <w:i w:val="1"/>
          <w:iCs w:val="1"/>
          <w:color w:val="212529"/>
          <w:vertAlign w:val="superscript"/>
        </w:rPr>
      </w:pPr>
    </w:p>
    <w:p>
      <w:pPr>
        <w:jc w:val="both"/>
        <w:ind w:left="340" w:hanging="332"/>
        <w:spacing w:after="0" w:line="224" w:lineRule="auto"/>
        <w:tabs>
          <w:tab w:leader="none" w:pos="327" w:val="left"/>
        </w:tabs>
        <w:numPr>
          <w:ilvl w:val="0"/>
          <w:numId w:val="14"/>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Transaction and other operating costs, net for the three months ended March 31, 2022 primarily represents a gain resulting from insurance proceeds received in excess of the respective carrying value of the assets at Lake Charles. Transaction and other operating costs, net for the three months ended March 31, 2021 primarily represents costs related to the William Hill Acquisition and the Merger, various contract or license termination exit costs, professional services, other acquisition costs and severance costs.</w:t>
      </w:r>
    </w:p>
    <w:p>
      <w:pPr>
        <w:spacing w:after="0" w:line="1" w:lineRule="exact"/>
        <w:rPr>
          <w:rFonts w:ascii="Arial" w:cs="Arial" w:eastAsia="Arial" w:hAnsi="Arial"/>
          <w:sz w:val="19"/>
          <w:szCs w:val="19"/>
          <w:i w:val="1"/>
          <w:iCs w:val="1"/>
          <w:color w:val="212529"/>
          <w:vertAlign w:val="superscript"/>
        </w:rPr>
      </w:pPr>
    </w:p>
    <w:p>
      <w:pPr>
        <w:ind w:left="320" w:hanging="312"/>
        <w:spacing w:after="0" w:line="237" w:lineRule="auto"/>
        <w:tabs>
          <w:tab w:leader="none" w:pos="320"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Total Assets - By Segment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Las Vegas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Caesars Digital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Managed and Branded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Total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8"/>
          <w:szCs w:val="8"/>
          <w:i w:val="1"/>
          <w:iCs w:val="1"/>
          <w:color w:val="auto"/>
        </w:rPr>
      </w:pPr>
      <w:r>
        <w:rPr>
          <w:rFonts w:ascii="Arial" w:cs="Arial" w:eastAsia="Arial" w:hAnsi="Arial"/>
          <w:sz w:val="12"/>
          <w:szCs w:val="12"/>
          <w:i w:val="1"/>
          <w:iCs w:val="1"/>
          <w:color w:val="auto"/>
        </w:rPr>
        <w:t>Includes eliminations of transactions among segments, to reconcile to the Company’s consolidated results.</w:t>
      </w:r>
    </w:p>
    <w:p>
      <w:pPr>
        <w:spacing w:after="0" w:line="200" w:lineRule="exact"/>
        <w:rPr>
          <w:sz w:val="20"/>
          <w:szCs w:val="20"/>
          <w:color w:val="auto"/>
        </w:rPr>
      </w:pPr>
    </w:p>
    <w:p>
      <w:pPr>
        <w:spacing w:after="0" w:line="211"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r>
      <w:tr>
        <w:trPr>
          <w:trHeight w:val="220"/>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22,550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22,374</w:t>
            </w:r>
          </w:p>
        </w:tc>
      </w:tr>
      <w:tr>
        <w:trPr>
          <w:trHeight w:val="243"/>
        </w:trPr>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14,419</w:t>
            </w:r>
          </w:p>
        </w:tc>
      </w:tr>
      <w:tr>
        <w:trPr>
          <w:trHeight w:val="243"/>
        </w:trPr>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1,878</w:t>
            </w:r>
          </w:p>
        </w:tc>
      </w:tr>
      <w:tr>
        <w:trPr>
          <w:trHeight w:val="243"/>
        </w:trPr>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3,527</w:t>
            </w:r>
          </w:p>
        </w:tc>
      </w:tr>
      <w:tr>
        <w:trPr>
          <w:trHeight w:val="219"/>
        </w:trPr>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(4,167)</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38,031</w:t>
            </w:r>
          </w:p>
        </w:tc>
      </w:tr>
      <w:tr>
        <w:trPr>
          <w:trHeight w:val="23"/>
        </w:trPr>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ectPr>
          <w:pgSz w:w="11900" w:h="16838" w:orient="portrait"/>
          <w:cols w:equalWidth="0" w:num="2">
            <w:col w:w="6900" w:space="720"/>
            <w:col w:w="362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b w:val="1"/>
          <w:bCs w:val="1"/>
          <w:color w:val="BF2115"/>
        </w:rPr>
        <w:t>Item 2. Management’s Discussion and Analysis of Financial Condition and Results of Operations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discussion and analysis of the financial position and operating results of Caesars Entertainment, Inc., a Delaware corporation, and its consolidated subsidiaries, which may be referred to as the “Company,” “CEI,” “Caesars,” “we,” “our,” or “us,” for the three months ended March 31, 2022 and 2021 should be read in conjunction with the unaudited consolidated condensed financial statements and the notes thereto and other financial information included elsewhere in this Form 10-Q as well as our Annual Report on Form 10-K for the fiscal year ended December 31, 2021 (“2021 Annual Report”). Capitalized terms used but not defined in this Form 10-Q have the same meanings as in the 2021 Annual Report.</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STATEMENTS”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(“Isle” or “Isle of Capri”) in 2017 and Tropicana Entertainment, Inc. in 2018. On July 20, 2020, we completed the merger with Caesars Entertainment Corporation (“Former Caesars”) pursuant to which Former Caesars became our wholly-owned subsidiary (the “Merger”) and our ticker symbol on the NASDAQ Stock Market changed from “ERI” to “CZR”. On April 22, 2021, we completed the acquisition of William Hill PLC for </w:t>
      </w:r>
      <w:r>
        <w:rPr>
          <w:rFonts w:ascii="Arial" w:cs="Arial" w:eastAsia="Arial" w:hAnsi="Arial"/>
          <w:sz w:val="18"/>
          <w:szCs w:val="18"/>
          <w:color w:val="212529"/>
        </w:rPr>
        <w:t>£2.9 billion, or approximately $3.9 billion (the “William Hill Acquisition”).</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own, lease or manage an aggregate of 52 domestic properties in 16 states with approximately 54,300 slot machines, video lottery terminals and e-tables, approximately 2,900 table games and approximately 47,700 hotel rooms as of March 31, 2022. In addition, we have other domestic and international properties that are authorized to use the brands and marks of Caesars Entertainment, Inc., as well as other non-gaming properties. Our primary source of revenue is generated by our casino properties’ gaming operations, our retail and online sports betting, as well as our online gaming, and we utilize our hotels, restaurants, bars, entertainment, racing, retail shops and other services to attract customers to our properties.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March 31, 2022, we owned 20 of our casinos and leased 26 casinos in the U.S. We lease 18 casinos from VICI Properties L.P., a Delaware limited partnership (“VICI”) pursuant to a regional lease, a Las Vegas lease and a Joliet lease. In addition, we lease seven casinos from GLP Capital, L.P., the operating partnership of Gaming and Leisure Properties, Inc. (“GLPI”) pursuant to a Master Lease (as amended, the “GLPI Master Lease”) and a Lumière lease (together with the GLPI Master Lease, the “GLPI Leases”). Additionally, we lease the Rio All-Suite Hotel &amp; Casino from a separate third party.</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operate and conduct sports wagering across 23 states and domestic jurisdictions, 16 of which are mobile for sports betting, and operate regulated online real money gaming in five states. Our recently launched Caesars Sportsbook app operates on the Liberty platform, which we acquired in the William Hill Acquisition, along with other technology platforms that we</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intend to migrate to the Liberty platform in the future, subject to required approvals. The map below illustrates Caesars Digital’s presence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83185</wp:posOffset>
            </wp:positionV>
            <wp:extent cx="5863590" cy="41744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3590"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March 31, 2022, we launched mobile sports betting and iGaming on our Liberty platform in Ontario, Canada on April 4, 2022. We are also in the process of expanding our Caesars Digital footprint into other states in the near term.</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periodically divest of assets in order to raise capital or as a result of a determination that the assets are not core to our business. We also divested certain assets in connection with obtaining regulatory approvals related to the closing of the Merger. A summary of recently completed and planned divestitures of our properties as of March 31, 2022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4660" w:type="dxa"/>
            <w:vAlign w:val="bottom"/>
            <w:tcBorders>
              <w:bottom w:val="single" w:sz="8" w:color="auto"/>
            </w:tcBorders>
          </w:tcPr>
          <w:p>
            <w:pPr>
              <w:ind w:left="2020"/>
              <w:spacing w:after="0"/>
              <w:rPr>
                <w:sz w:val="20"/>
                <w:szCs w:val="20"/>
                <w:color w:val="auto"/>
              </w:rPr>
            </w:pPr>
            <w:r>
              <w:rPr>
                <w:rFonts w:ascii="Arial" w:cs="Arial" w:eastAsia="Arial" w:hAnsi="Arial"/>
                <w:sz w:val="16"/>
                <w:szCs w:val="16"/>
                <w:b w:val="1"/>
                <w:bCs w:val="1"/>
                <w:color w:val="auto"/>
              </w:rPr>
              <w:t>Property</w:t>
            </w:r>
          </w:p>
        </w:tc>
        <w:tc>
          <w:tcPr>
            <w:tcW w:w="24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 Sold</w:t>
            </w:r>
          </w:p>
        </w:tc>
        <w:tc>
          <w:tcPr>
            <w:tcW w:w="2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Sales Price</w:t>
            </w:r>
          </w:p>
        </w:tc>
      </w:tr>
      <w:tr>
        <w:trPr>
          <w:trHeight w:val="213"/>
        </w:trPr>
        <w:tc>
          <w:tcPr>
            <w:tcW w:w="2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2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7"/>
              </w:rPr>
              <w:t>April 6, 2021</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 million</w:t>
            </w:r>
          </w:p>
        </w:tc>
      </w:tr>
      <w:tr>
        <w:trPr>
          <w:trHeight w:val="375"/>
        </w:trPr>
        <w:tc>
          <w:tcPr>
            <w:tcW w:w="2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Tropicana Evansville (“Evansville”)</w:t>
            </w:r>
          </w:p>
        </w:tc>
        <w:tc>
          <w:tcPr>
            <w:tcW w:w="216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June 3, 2021</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$480 million</w:t>
            </w:r>
          </w:p>
        </w:tc>
      </w:tr>
      <w:tr>
        <w:trPr>
          <w:trHeight w:val="219"/>
        </w:trPr>
        <w:tc>
          <w:tcPr>
            <w:tcW w:w="20" w:type="dxa"/>
            <w:vAlign w:val="bottom"/>
            <w:shd w:val="clear" w:color="auto" w:fill="CCEEFF"/>
          </w:tcPr>
          <w:p>
            <w:pPr>
              <w:spacing w:after="0"/>
              <w:rPr>
                <w:sz w:val="19"/>
                <w:szCs w:val="19"/>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Belle of Baton Rouge Casino &amp; Hotel (“Baton Rouge”)</w:t>
            </w:r>
          </w:p>
        </w:tc>
        <w:tc>
          <w:tcPr>
            <w:tcW w:w="2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93"/>
              </w:rPr>
              <w:t>Discontinued operations:</w:t>
            </w:r>
          </w:p>
        </w:tc>
        <w:tc>
          <w:tcPr>
            <w:tcW w:w="900" w:type="dxa"/>
            <w:vAlign w:val="bottom"/>
            <w:tcBorders>
              <w:bottom w:val="single" w:sz="8" w:color="CCEEFF"/>
            </w:tcBorders>
            <w:gridSpan w:val="2"/>
            <w:shd w:val="clear" w:color="auto" w:fill="CCEEFF"/>
          </w:tcPr>
          <w:p>
            <w:pPr>
              <w:spacing w:after="0"/>
              <w:rPr>
                <w:sz w:val="17"/>
                <w:szCs w:val="17"/>
                <w:color w:val="auto"/>
              </w:rPr>
            </w:pPr>
          </w:p>
        </w:tc>
        <w:tc>
          <w:tcPr>
            <w:tcW w:w="4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375"/>
        </w:trPr>
        <w:tc>
          <w:tcPr>
            <w:tcW w:w="2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Harrah’s Louisiana Downs</w:t>
            </w:r>
          </w:p>
        </w:tc>
        <w:tc>
          <w:tcPr>
            <w:tcW w:w="21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November 1, 2021</w:t>
            </w:r>
          </w:p>
        </w:tc>
        <w:tc>
          <w:tcPr>
            <w:tcW w:w="1600" w:type="dxa"/>
            <w:vAlign w:val="bottom"/>
          </w:tcPr>
          <w:p>
            <w:pPr>
              <w:jc w:val="center"/>
              <w:spacing w:after="0"/>
              <w:rPr>
                <w:sz w:val="20"/>
                <w:szCs w:val="20"/>
                <w:color w:val="auto"/>
              </w:rPr>
            </w:pPr>
            <w:r>
              <w:rPr>
                <w:rFonts w:ascii="Arial" w:cs="Arial" w:eastAsia="Arial" w:hAnsi="Arial"/>
                <w:sz w:val="16"/>
                <w:szCs w:val="16"/>
                <w:color w:val="auto"/>
                <w:w w:val="95"/>
              </w:rPr>
              <w:t>$22 million (a)</w:t>
            </w:r>
          </w:p>
        </w:tc>
      </w:tr>
      <w:tr>
        <w:trPr>
          <w:trHeight w:val="381"/>
        </w:trPr>
        <w:tc>
          <w:tcPr>
            <w:tcW w:w="20" w:type="dxa"/>
            <w:vAlign w:val="bottom"/>
            <w:shd w:val="clear" w:color="auto" w:fill="CCEEFF"/>
          </w:tcPr>
          <w:p>
            <w:pPr>
              <w:spacing w:after="0"/>
              <w:rPr>
                <w:sz w:val="24"/>
                <w:szCs w:val="24"/>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Caesars Southern Indiana</w:t>
            </w:r>
          </w:p>
        </w:tc>
        <w:tc>
          <w:tcPr>
            <w:tcW w:w="21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89"/>
              </w:rPr>
              <w:t>September 3, 2021</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$250 million</w:t>
            </w:r>
          </w:p>
        </w:tc>
      </w:tr>
      <w:tr>
        <w:trPr>
          <w:trHeight w:val="213"/>
        </w:trPr>
        <w:tc>
          <w:tcPr>
            <w:tcW w:w="2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Emerald Resort &amp; Casino</w:t>
            </w:r>
          </w:p>
        </w:tc>
        <w:tc>
          <w:tcPr>
            <w:tcW w:w="21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July 16, 2021</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Caesars Entertainment UK</w:t>
            </w:r>
          </w:p>
        </w:tc>
        <w:tc>
          <w:tcPr>
            <w:tcW w:w="2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2"/>
              </w:rPr>
              <w:t>July 16, 2021</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372"/>
        </w:trPr>
        <w:tc>
          <w:tcPr>
            <w:tcW w:w="2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William Hill International</w:t>
            </w:r>
          </w:p>
        </w:tc>
        <w:tc>
          <w:tcPr>
            <w:tcW w:w="216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£2.0 billion</w:t>
            </w:r>
          </w:p>
        </w:tc>
      </w:tr>
      <w:tr>
        <w:trPr>
          <w:trHeight w:val="251"/>
        </w:trPr>
        <w:tc>
          <w:tcPr>
            <w:tcW w:w="1680" w:type="dxa"/>
            <w:vAlign w:val="bottom"/>
            <w:gridSpan w:val="2"/>
          </w:tcPr>
          <w:p>
            <w:pPr>
              <w:spacing w:after="0"/>
              <w:rPr>
                <w:sz w:val="20"/>
                <w:szCs w:val="20"/>
                <w:color w:val="auto"/>
              </w:rPr>
            </w:pPr>
            <w:r>
              <w:rPr>
                <w:rFonts w:ascii="Arial" w:cs="Arial" w:eastAsia="Arial" w:hAnsi="Arial"/>
                <w:sz w:val="14"/>
                <w:szCs w:val="14"/>
                <w:color w:val="auto"/>
              </w:rPr>
              <w:t>___________________</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2580" w:type="dxa"/>
            <w:vAlign w:val="bottom"/>
            <w:gridSpan w:val="4"/>
          </w:tcPr>
          <w:p>
            <w:pPr>
              <w:spacing w:after="0"/>
              <w:rPr>
                <w:sz w:val="20"/>
                <w:szCs w:val="20"/>
                <w:color w:val="auto"/>
              </w:rPr>
            </w:pPr>
            <w:r>
              <w:rPr>
                <w:rFonts w:ascii="Arial" w:cs="Arial" w:eastAsia="Arial" w:hAnsi="Arial"/>
                <w:sz w:val="14"/>
                <w:szCs w:val="14"/>
                <w:color w:val="auto"/>
              </w:rPr>
              <w:t>*    Not meaningful.</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34"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proceeds of this sale were split between the Company and VICI.</w:t>
      </w:r>
    </w:p>
    <w:p>
      <w:pPr>
        <w:spacing w:after="0" w:line="38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313"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Merger and Acquisitions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William Hill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On April 22, 2021, the Company completed the acquisition for </w:t>
      </w:r>
      <w:r>
        <w:rPr>
          <w:rFonts w:ascii="Arial" w:cs="Arial" w:eastAsia="Arial" w:hAnsi="Arial"/>
          <w:sz w:val="17"/>
          <w:szCs w:val="17"/>
          <w:color w:val="212529"/>
        </w:rPr>
        <w:t>£2.9 billion</w:t>
      </w:r>
      <w:r>
        <w:rPr>
          <w:rFonts w:ascii="Arial" w:cs="Arial" w:eastAsia="Arial" w:hAnsi="Arial"/>
          <w:sz w:val="17"/>
          <w:szCs w:val="17"/>
          <w:color w:val="auto"/>
        </w:rPr>
        <w:t xml:space="preserve">, or approximately </w:t>
      </w:r>
      <w:r>
        <w:rPr>
          <w:rFonts w:ascii="Arial" w:cs="Arial" w:eastAsia="Arial" w:hAnsi="Arial"/>
          <w:sz w:val="17"/>
          <w:szCs w:val="17"/>
          <w:color w:val="212529"/>
        </w:rPr>
        <w:t>$3.9 billion</w:t>
      </w:r>
      <w:r>
        <w:rPr>
          <w:rFonts w:ascii="Arial" w:cs="Arial" w:eastAsia="Arial" w:hAnsi="Arial"/>
          <w:sz w:val="17"/>
          <w:szCs w:val="17"/>
          <w:color w:val="auto"/>
        </w:rPr>
        <w:t>.</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William Hill Acquisition, on April 22, 2021, a newly formed subsidiary of the Company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(“Interim Facilities Agreement”) entered into on October 6, 2020 with Deutsche Bank AG, London Branch and JPMorgan Chase Bank, N.A., and amended on December 11, 2020, was terminated upon the execution of the Bridge Credit Agreement. On May 12, 2021, the Company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 Credit Agreement are expected to be repaid upon the sale of William Hill’s non-U.S. operations including the UK and international online divisions and the retail betting shops (collectively, “William Hill International”), all of which are held for sale and reflected within discontinued operations. Certain investments acquired have been excluded from the held for sale group.</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September 8, 2021, we entered into an agreement to sell William Hill International to 888 Holdings Plc for approximately £2.2 billion. On April 7, 2022, the Company amended the agreement to sell the non-US assets of William Hill to 888 Holdings Plc for a revised enterprise value of approximately £2.0 billion. The amended agreement reflects a £250 million reduction in consideration payable at closing and up to £100 million as deferred consideration to be paid to the Company, subject to 888 Holdings Plc meeting certain 2023 financial targets. </w:t>
      </w:r>
      <w:r>
        <w:rPr>
          <w:rFonts w:ascii="Arial" w:cs="Arial" w:eastAsia="Arial" w:hAnsi="Arial"/>
          <w:sz w:val="17"/>
          <w:szCs w:val="17"/>
          <w:color w:val="212529"/>
        </w:rPr>
        <w:t>As a result of the revised sales agreement, the Company</w:t>
      </w:r>
      <w:r>
        <w:rPr>
          <w:rFonts w:ascii="Arial" w:cs="Arial" w:eastAsia="Arial" w:hAnsi="Arial"/>
          <w:sz w:val="17"/>
          <w:szCs w:val="17"/>
          <w:color w:val="auto"/>
        </w:rPr>
        <w:t xml:space="preserve"> </w:t>
      </w:r>
      <w:r>
        <w:rPr>
          <w:rFonts w:ascii="Arial" w:cs="Arial" w:eastAsia="Arial" w:hAnsi="Arial"/>
          <w:sz w:val="17"/>
          <w:szCs w:val="17"/>
          <w:color w:val="212529"/>
        </w:rPr>
        <w:t xml:space="preserve">recorded an impairment to assets held for sale of $329 million within discontinued operations during the three months ended March 31, 2022. </w:t>
      </w:r>
      <w:r>
        <w:rPr>
          <w:rFonts w:ascii="Arial" w:cs="Arial" w:eastAsia="Arial" w:hAnsi="Arial"/>
          <w:sz w:val="17"/>
          <w:szCs w:val="17"/>
          <w:color w:val="000000"/>
        </w:rPr>
        <w:t>After</w:t>
      </w:r>
      <w:r>
        <w:rPr>
          <w:rFonts w:ascii="Arial" w:cs="Arial" w:eastAsia="Arial" w:hAnsi="Arial"/>
          <w:sz w:val="17"/>
          <w:szCs w:val="17"/>
          <w:color w:val="212529"/>
        </w:rPr>
        <w:t xml:space="preserve"> </w:t>
      </w:r>
      <w:r>
        <w:rPr>
          <w:rFonts w:ascii="Arial" w:cs="Arial" w:eastAsia="Arial" w:hAnsi="Arial"/>
          <w:sz w:val="17"/>
          <w:szCs w:val="17"/>
          <w:color w:val="000000"/>
        </w:rPr>
        <w:t xml:space="preserve">repayment of the outstanding debt under the Bridge Credit Agreement, described above, and other working capital adjustments, the Company expects to receive approximately £585 million, or $785 million, subject to any permitted leakage, which is customary for sale transactions in the UK. In order to </w:t>
      </w:r>
      <w:r>
        <w:rPr>
          <w:rFonts w:ascii="Arial" w:cs="Arial" w:eastAsia="Arial" w:hAnsi="Arial"/>
          <w:sz w:val="17"/>
          <w:szCs w:val="17"/>
          <w:color w:val="212529"/>
        </w:rPr>
        <w:t xml:space="preserve">manage the risk of changes in the GBP denominated sales price and expected proceeds, the Company has entered into foreign exchange forward contracts. </w:t>
      </w:r>
      <w:r>
        <w:rPr>
          <w:rFonts w:ascii="Arial" w:cs="Arial" w:eastAsia="Arial" w:hAnsi="Arial"/>
          <w:sz w:val="17"/>
          <w:szCs w:val="17"/>
          <w:color w:val="000000"/>
        </w:rPr>
        <w:t>The sale is subject to satisfaction of customary closing conditions, including receipt of the approval of shareholders of 888 Holdings Plc and regulatory approvals, and is expected to close in the second quarter of 2022.</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acquisition-related transaction costs of less than $1 million and $5 million for the three months ended March 31, 2022 and 2021, respectively, excluding additional transaction cost associated with sale of William Hill International. These costs were associated with legal and professional services and were recorded in Transaction and other operating costs, net in our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 of Baltimore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26, 2021, we increased our ownership interest in CBAC Borrower, LLC (“Horseshoe Baltimore”), a property which we also manage, to approximately 75.8% for cash consideration of $55 million. We were subsequently determined to have a controlling financial interest in Horseshoe Baltimore and have consolidated the results of operations of the property following our change in ownership.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Partnerships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NeoGames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acquired net assets of William Hill included an investment in publicly traded common stock of NeoGames S.A. (“NeoGames”), a global leader of iLottery solutions and services to national and state-regulated lotteries, and other investments. On September 16, 2021, the Company sold a portion of its shares of NeoGames common stock for $136 million which decreased its ownership interest from 24.5% to approximately 8.4%. Additionally, on March 14, 2022, the Company sold its</w:t>
      </w:r>
    </w:p>
    <w:p>
      <w:pPr>
        <w:spacing w:after="0" w:line="35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remaining 2 million shares at fair value for $26 million and recorded a loss on the change in fair value of $34 million during the three months ended March 31, 2022, which is included within Other income (loss) on the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Pompano Joint Venture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In June 2021, the joint venture issued a capital call and we contributed $3 million, for a total of $4 million in cash since inception of the joint venture. On February 12, 2021, the Company contributed 186 acres to the joint venture with a fair value of $61 million. Total contributions of approximately 206 acres of land have been made with a fair value of approximately $69 million and the Company has no further obligation to contribute additional real estate or cash as of March 31, 2022. We entered into a short-term lease agreement in February 2021, which we can cancel at any time, to lease back a portion of the land from the joint venture.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and other operating costs, net on the Statements of Operations. Our investment in the joint venture is recorded in Investment in and advances to unconsolidated affiliates on the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William Hill Acquisition, our principal operating activities occurred in three regionally-focused reportable segments: Las Vegas, Regional, and Managed, International, CIE, in addition to Corporate and Other.</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William Hill Acquisition and rebranding of our interactive business (formerly, Caesars Interactive Entertainment “CIE” and now, inclusive of William Hill US, “Caesars Digital”) expanded our access to conduct sports wagering and iGaming operations. As a result, the Company has made a change to the composition of its reportable segments. The Las Vegas and Regional segments are substantially unchanged, while the former Managed, International and CIE reportable segment has been recast for all periods presented into two segments: Caesars Digital and Managed and Branded. Accordingly, our principal operating activities occur in four reportable segments: (1) Las Vegas, (2) Regional, (3) Caesars Digital, and (4) Managed and Branded, in addition to Corporate and Other. See Item 2. “Properties” for listing of properties by segment.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financial information included in this Item 2 for the periods after our acquisition of William Hill on April 22, 2021 and the increase in our ownership percentage and subsequent consolidation of Horseshoe Baltimore on August 26, 2021, is not fully comparable to the periods prior to the acquisitions. In addition, the presentation of financial information herein for the periods after the Company’s sales of various properties is not fully comparable to the periods prior to their respective sale dates. See “Reportable Segments” above for a discussion of changes to the Company’s reportable segments.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 In June 2021, the Indiana Gaming Commission amended its order that previously required the Company to sell a third casino asset in the state</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of Indiana. As a result, Horseshoe Hammond no longer met the held for sale criteria and the amounts previously presented in discontinued operations have been reclassified into continuing operations for all relevant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Performance Metrics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revenue is generated by our gaming operations, our retail and online sports betting, as well as our online gaming. Additionally we utilize our hotels, restaurants, bars, entertainment venues, retail shops, racing and other services to attract customers to our properties. Our operating results are highly dependent on the volume and quality of customers visiting and staying at our properties and using our sports betting and iGaming applications.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14% to 23% of table game drop in the Las Vegas segment and 18% to 21% of table game drop in the Regional segment. Sports betting hold is typically in the range of 5% to 9% and iGaming hold typically ranges from 3% to 4%. In addition, hotel occupancy, which is the average percentage of available hotel rooms occupied during a period, is a key indicator for our hotel business in the Las Vegas segment. See “Results of Operations” section below. Complimentary rooms are treated as occupied rooms in our calculation of hotel occupancy. The key metrics we utilize to measure our profitability and performance are Adjusted EBITDA and Adjusted EBITDA margin.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highlights the significant factors impacting our financial results for the three months ended March 31, 2022 and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 and Transaction Costs</w:t>
      </w:r>
    </w:p>
    <w:p>
      <w:pPr>
        <w:spacing w:after="0" w:line="171" w:lineRule="exact"/>
        <w:rPr>
          <w:sz w:val="20"/>
          <w:szCs w:val="20"/>
          <w:color w:val="auto"/>
        </w:rPr>
      </w:pPr>
    </w:p>
    <w:p>
      <w:pPr>
        <w:jc w:val="both"/>
        <w:ind w:left="660" w:hanging="328"/>
        <w:spacing w:after="0" w:line="301" w:lineRule="auto"/>
        <w:tabs>
          <w:tab w:leader="none" w:pos="655"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Acquisition of William Hill – </w:t>
      </w:r>
      <w:r>
        <w:rPr>
          <w:rFonts w:ascii="Arial" w:cs="Arial" w:eastAsia="Arial" w:hAnsi="Arial"/>
          <w:sz w:val="16"/>
          <w:szCs w:val="16"/>
          <w:color w:val="auto"/>
        </w:rPr>
        <w:t>On April 22, 2021, the Company consummated its previously announced acquisition of the entire issued and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share capital (other than shares owned by the Company or held in treasury) of William Hill PLC, in an all-cash transaction of £2.9 billion or approximately $3.9 billion. We recognized acquisition-related transaction costs of less than $1 million and $5 million for the three months ended March 31, 2022 and 2021, respectively, excluding additional transaction costs associated with sale of William Hill International.</w:t>
      </w:r>
    </w:p>
    <w:p>
      <w:pPr>
        <w:spacing w:after="0" w:line="103" w:lineRule="exact"/>
        <w:rPr>
          <w:rFonts w:ascii="Arial" w:cs="Arial" w:eastAsia="Arial" w:hAnsi="Arial"/>
          <w:sz w:val="16"/>
          <w:szCs w:val="16"/>
          <w:b w:val="1"/>
          <w:bCs w:val="1"/>
          <w:i w:val="1"/>
          <w:iCs w:val="1"/>
          <w:color w:val="auto"/>
        </w:rPr>
      </w:pPr>
    </w:p>
    <w:p>
      <w:pPr>
        <w:jc w:val="both"/>
        <w:ind w:left="660" w:hanging="328"/>
        <w:spacing w:after="0" w:line="257" w:lineRule="auto"/>
        <w:tabs>
          <w:tab w:leader="none" w:pos="655" w:val="left"/>
        </w:tabs>
        <w:numPr>
          <w:ilvl w:val="0"/>
          <w:numId w:val="17"/>
        </w:numPr>
        <w:rPr>
          <w:rFonts w:ascii="Arial" w:cs="Arial" w:eastAsia="Arial" w:hAnsi="Arial"/>
          <w:sz w:val="18"/>
          <w:szCs w:val="18"/>
          <w:b w:val="1"/>
          <w:bCs w:val="1"/>
          <w:i w:val="1"/>
          <w:iCs w:val="1"/>
          <w:color w:val="auto"/>
          <w:strike w:val="1"/>
        </w:rPr>
      </w:pPr>
      <w:r>
        <w:rPr>
          <w:rFonts w:ascii="Arial" w:cs="Arial" w:eastAsia="Arial" w:hAnsi="Arial"/>
          <w:sz w:val="18"/>
          <w:szCs w:val="18"/>
          <w:i w:val="1"/>
          <w:iCs w:val="1"/>
          <w:color w:val="auto"/>
        </w:rPr>
        <w:t xml:space="preserve">Consolidation of Horseshoe Baltimore – </w:t>
      </w:r>
      <w:r>
        <w:rPr>
          <w:rFonts w:ascii="Arial" w:cs="Arial" w:eastAsia="Arial" w:hAnsi="Arial"/>
          <w:sz w:val="18"/>
          <w:szCs w:val="18"/>
          <w:color w:val="auto"/>
        </w:rPr>
        <w:t>On August 26, 2021, the Company increased its ownership interest in Horseshoe Baltimore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75.8%. Prior to the purchase, the Company held an interest in Horseshoe Baltimore of approximately 44.3% which was accounted for as an equity method investment. Subsequent to the change in ownership, the Company was determined to have a controlling financial interest and has begun to consolidate operations of Horseshoe Baltimore. As discussed in the section above, the operations post consolidation are not fully comparable to the prior periods prior to the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Divestitures and Discontinued Operations</w:t>
      </w:r>
    </w:p>
    <w:p>
      <w:pPr>
        <w:spacing w:after="0" w:line="171" w:lineRule="exact"/>
        <w:rPr>
          <w:sz w:val="20"/>
          <w:szCs w:val="20"/>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Divestitures and Discontinued Operations – </w:t>
      </w:r>
      <w:r>
        <w:rPr>
          <w:rFonts w:ascii="Arial" w:cs="Arial" w:eastAsia="Arial" w:hAnsi="Arial"/>
          <w:sz w:val="18"/>
          <w:szCs w:val="18"/>
          <w:color w:val="auto"/>
        </w:rPr>
        <w:t>See “Overview” section above for detail on properties divested or held for sale, including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Significant Factors</w:t>
      </w:r>
    </w:p>
    <w:p>
      <w:pPr>
        <w:spacing w:after="0" w:line="171" w:lineRule="exact"/>
        <w:rPr>
          <w:sz w:val="20"/>
          <w:szCs w:val="20"/>
          <w:color w:val="auto"/>
        </w:rPr>
      </w:pPr>
    </w:p>
    <w:p>
      <w:pPr>
        <w:jc w:val="both"/>
        <w:ind w:left="660" w:hanging="328"/>
        <w:spacing w:after="0" w:line="270" w:lineRule="auto"/>
        <w:tabs>
          <w:tab w:leader="none" w:pos="65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COVID-19 Public Health Emergency – </w:t>
      </w:r>
      <w:r>
        <w:rPr>
          <w:rFonts w:ascii="Arial" w:cs="Arial" w:eastAsia="Arial" w:hAnsi="Arial"/>
          <w:sz w:val="17"/>
          <w:szCs w:val="17"/>
          <w:color w:val="auto"/>
        </w:rPr>
        <w:t>In January 2020, an outbreak of a new strain of coronavirus (“COVID-19”) was identified and spread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much of the world, including the U.S. All of the Company’s casino properties were temporarily closed for the period from mid-March 2020 through mid-May 2020 due to orders issued by various government agencies and tribal bodies as part of certain precautionary measures intended to help slow the spread of COVID-19. The Company has resumed operations at all of its properties with the exception of Lake Charles which was severely damaged by Hurricane Laura in August of 2020. Although the resurgence of the Omicron variant of COVID-19 continued to impact the beginning of the quarter, most of our properties experienced positive trends during the three months ended March 31, 2022 including higher hotel occupancy, particularly in Las Vegas, and increased gaming and food and beverage volumes as mandates and restrictions on maximum capacities and amenities available were eased. Future variants, mandates or restrictions imposed by various regulatory bodies are uncertain and could, once again, have a significant impact on our future operations.</w:t>
      </w:r>
    </w:p>
    <w:p>
      <w:pPr>
        <w:spacing w:after="0" w:line="34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8" w:name="page39"/>
    <w:bookmarkEnd w:id="38"/>
    <w:p>
      <w:pPr>
        <w:jc w:val="both"/>
        <w:ind w:left="660" w:hanging="328"/>
        <w:spacing w:after="0" w:line="271" w:lineRule="auto"/>
        <w:tabs>
          <w:tab w:leader="none" w:pos="655" w:val="left"/>
        </w:tabs>
        <w:numPr>
          <w:ilvl w:val="0"/>
          <w:numId w:val="20"/>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Weather and Construction Disruption – </w:t>
      </w:r>
      <w:r>
        <w:rPr>
          <w:rFonts w:ascii="Arial" w:cs="Arial" w:eastAsia="Arial" w:hAnsi="Arial"/>
          <w:sz w:val="17"/>
          <w:szCs w:val="17"/>
          <w:color w:val="auto"/>
        </w:rPr>
        <w:t>In late August 2020, our Regional segment was negatively impacted by Hurricane Laura, causing severe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damage to Lake Charles, which will remain closed until the fourth quarter of 2022 when construction of a new land-based casino is expected to be complete. </w:t>
      </w:r>
      <w:r>
        <w:rPr>
          <w:rFonts w:ascii="Arial" w:cs="Arial" w:eastAsia="Arial" w:hAnsi="Arial"/>
          <w:sz w:val="17"/>
          <w:szCs w:val="17"/>
          <w:color w:val="212529"/>
        </w:rPr>
        <w:t>During the</w:t>
      </w:r>
      <w:r>
        <w:rPr>
          <w:rFonts w:ascii="Arial" w:cs="Arial" w:eastAsia="Arial" w:hAnsi="Arial"/>
          <w:sz w:val="17"/>
          <w:szCs w:val="17"/>
          <w:color w:val="auto"/>
        </w:rPr>
        <w:t xml:space="preserve"> three months ended March 31, 2022</w:t>
      </w:r>
      <w:r>
        <w:rPr>
          <w:rFonts w:ascii="Arial" w:cs="Arial" w:eastAsia="Arial" w:hAnsi="Arial"/>
          <w:sz w:val="17"/>
          <w:szCs w:val="17"/>
          <w:color w:val="212529"/>
        </w:rPr>
        <w:t>, the Company reached a final settlement agreement with the insurance carriers for</w:t>
      </w:r>
      <w:r>
        <w:rPr>
          <w:rFonts w:ascii="Arial" w:cs="Arial" w:eastAsia="Arial" w:hAnsi="Arial"/>
          <w:sz w:val="17"/>
          <w:szCs w:val="17"/>
          <w:color w:val="auto"/>
        </w:rPr>
        <w:t xml:space="preserve"> </w:t>
      </w:r>
      <w:r>
        <w:rPr>
          <w:rFonts w:ascii="Arial" w:cs="Arial" w:eastAsia="Arial" w:hAnsi="Arial"/>
          <w:sz w:val="17"/>
          <w:szCs w:val="17"/>
          <w:color w:val="212529"/>
        </w:rPr>
        <w:t xml:space="preserve">$128 million, before our insurance deductible of $25 million. The Company has received $94 million related to damaged fixed assets, remediation costs and business interruption. We expect to receive an additional $9 million in the second quarter of 2022, which is included in Accounts receivable, net. During the </w:t>
      </w:r>
      <w:r>
        <w:rPr>
          <w:rFonts w:ascii="Arial" w:cs="Arial" w:eastAsia="Arial" w:hAnsi="Arial"/>
          <w:sz w:val="17"/>
          <w:szCs w:val="17"/>
          <w:color w:val="000000"/>
        </w:rPr>
        <w:t>three months ended March 31, 2022 and 2021</w:t>
      </w:r>
      <w:r>
        <w:rPr>
          <w:rFonts w:ascii="Arial" w:cs="Arial" w:eastAsia="Arial" w:hAnsi="Arial"/>
          <w:sz w:val="17"/>
          <w:szCs w:val="17"/>
          <w:color w:val="212529"/>
        </w:rPr>
        <w:t>, the Company also recorded gains of $38 million and $8 million, respectively, which are included in Transaction and other operating costs, net in our Statements of Operations, as proceeds received for the cost to replace damaged property were in excess of the respective carrying value of the assets.</w:t>
      </w:r>
    </w:p>
    <w:p>
      <w:pPr>
        <w:spacing w:after="0" w:line="124" w:lineRule="exact"/>
        <w:rPr>
          <w:rFonts w:ascii="Arial" w:cs="Arial" w:eastAsia="Arial" w:hAnsi="Arial"/>
          <w:sz w:val="17"/>
          <w:szCs w:val="17"/>
          <w:b w:val="1"/>
          <w:bCs w:val="1"/>
          <w:i w:val="1"/>
          <w:iCs w:val="1"/>
          <w:color w:val="212529"/>
        </w:rPr>
      </w:pPr>
    </w:p>
    <w:p>
      <w:pPr>
        <w:jc w:val="both"/>
        <w:ind w:left="660" w:hanging="328"/>
        <w:spacing w:after="0" w:line="289" w:lineRule="auto"/>
        <w:tabs>
          <w:tab w:leader="none" w:pos="655"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i w:val="1"/>
          <w:iCs w:val="1"/>
          <w:color w:val="212529"/>
        </w:rPr>
        <w:t xml:space="preserve">Caesars Sportsbook Launch and Rebranding </w:t>
      </w:r>
      <w:r>
        <w:rPr>
          <w:rFonts w:ascii="Arial" w:cs="Arial" w:eastAsia="Arial" w:hAnsi="Arial"/>
          <w:sz w:val="16"/>
          <w:szCs w:val="16"/>
          <w:color w:val="000000"/>
        </w:rPr>
        <w:t>– In connection with the launch and rebranding of the Caesars Sportsbook app, our Caesars Digital</w:t>
      </w:r>
      <w:r>
        <w:rPr>
          <w:rFonts w:ascii="Arial" w:cs="Arial" w:eastAsia="Arial" w:hAnsi="Arial"/>
          <w:sz w:val="16"/>
          <w:szCs w:val="16"/>
          <w:i w:val="1"/>
          <w:iCs w:val="1"/>
          <w:color w:val="212529"/>
        </w:rPr>
        <w:t xml:space="preserve"> </w:t>
      </w:r>
      <w:r>
        <w:rPr>
          <w:rFonts w:ascii="Arial" w:cs="Arial" w:eastAsia="Arial" w:hAnsi="Arial"/>
          <w:sz w:val="16"/>
          <w:szCs w:val="16"/>
          <w:color w:val="000000"/>
        </w:rPr>
        <w:t>segment initiated a significant marketing campaign with distinguished actors, former athletes and other media personalities. As new states and jurisdictions have legalized sports betting, we have made significant upfront investments which have been executed through marketing campaigns and promotional incentives to acquire new customers and establish ourselves as an industry leader. For example, in connection with the launch of our app in the state of New York on January 8, 2022 and Louisiana on January 28, 2022, we experienced negative net revenue at the beginning of the quarter resulting from a substantial amount of bonus cash and matched deposits issued to customers as sign-on incentives, which exceeded our gaming win. Our level of investment and types of incentives provided are discretionary and negative net revenues are not expected to continue subsequent to the initial launch period. A significant portion of our marketing and promotional costs are variable and we continue to monitor and adjust our level of investment based on jurisdiction specific conditions, customer behaviors, and results observed from prior state launches.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12"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67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679"/>
              <w:spacing w:after="0" w:line="175" w:lineRule="exact"/>
              <w:rPr>
                <w:sz w:val="20"/>
                <w:szCs w:val="20"/>
                <w:color w:val="auto"/>
              </w:rPr>
            </w:pPr>
            <w:r>
              <w:rPr>
                <w:rFonts w:ascii="Arial" w:cs="Arial" w:eastAsia="Arial" w:hAnsi="Arial"/>
                <w:sz w:val="16"/>
                <w:szCs w:val="16"/>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497</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1,191</w:t>
            </w: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42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39</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r>
      <w:tr>
        <w:trPr>
          <w:trHeight w:val="243"/>
        </w:trPr>
        <w:tc>
          <w:tcPr>
            <w:tcW w:w="20" w:type="dxa"/>
            <w:vAlign w:val="bottom"/>
            <w:tcBorders>
              <w:bottom w:val="single" w:sz="8" w:color="CCEEFF"/>
            </w:tcBorders>
          </w:tcPr>
          <w:p>
            <w:pPr>
              <w:spacing w:after="0"/>
              <w:rPr>
                <w:sz w:val="21"/>
                <w:szCs w:val="21"/>
                <w:color w:val="auto"/>
              </w:rPr>
            </w:pPr>
          </w:p>
        </w:tc>
        <w:tc>
          <w:tcPr>
            <w:tcW w:w="7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2,292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(424)</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162</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393</w:t>
            </w: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42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r>
      <w:tr>
        <w:trPr>
          <w:trHeight w:val="243"/>
        </w:trPr>
        <w:tc>
          <w:tcPr>
            <w:tcW w:w="20" w:type="dxa"/>
            <w:vAlign w:val="bottom"/>
            <w:tcBorders>
              <w:bottom w:val="single" w:sz="8" w:color="CCEEFF"/>
            </w:tcBorders>
          </w:tcPr>
          <w:p>
            <w:pPr>
              <w:spacing w:after="0"/>
              <w:rPr>
                <w:sz w:val="21"/>
                <w:szCs w:val="21"/>
                <w:color w:val="auto"/>
              </w:rPr>
            </w:pPr>
          </w:p>
        </w:tc>
        <w:tc>
          <w:tcPr>
            <w:tcW w:w="7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margin</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29.9 %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2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34" w:lineRule="exact"/>
        <w:rPr>
          <w:rFonts w:ascii="Arial" w:cs="Arial" w:eastAsia="Arial" w:hAnsi="Arial"/>
          <w:sz w:val="19"/>
          <w:szCs w:val="19"/>
          <w:i w:val="1"/>
          <w:iCs w:val="1"/>
          <w:color w:val="auto"/>
          <w:vertAlign w:val="superscript"/>
        </w:rPr>
      </w:pPr>
    </w:p>
    <w:p>
      <w:pPr>
        <w:ind w:left="340" w:hanging="332"/>
        <w:spacing w:after="0" w:line="217" w:lineRule="auto"/>
        <w:tabs>
          <w:tab w:leader="none" w:pos="327" w:val="left"/>
        </w:tabs>
        <w:numPr>
          <w:ilvl w:val="0"/>
          <w:numId w:val="2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discussion later in this MD&amp;A for a definition of Adjusted EBITDA and a reconciliation of net income (loss) to Adjusted EBITDA.</w:t>
      </w:r>
    </w:p>
    <w:p>
      <w:pPr>
        <w:spacing w:after="0" w:line="35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comparison of the three months ended March 31, 2022 and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5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5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Variance</w:t>
            </w:r>
          </w:p>
        </w:tc>
        <w:tc>
          <w:tcPr>
            <w:tcW w:w="80" w:type="dxa"/>
            <w:vAlign w:val="bottom"/>
          </w:tcPr>
          <w:p>
            <w:pPr>
              <w:spacing w:after="0"/>
              <w:rPr>
                <w:sz w:val="15"/>
                <w:szCs w:val="15"/>
                <w:color w:val="auto"/>
              </w:rPr>
            </w:pPr>
          </w:p>
        </w:tc>
        <w:tc>
          <w:tcPr>
            <w:tcW w:w="156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Percent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13"/>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100.6 %</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78.1 %</w:t>
            </w:r>
          </w:p>
        </w:tc>
      </w:tr>
      <w:tr>
        <w:trPr>
          <w:trHeight w:val="213"/>
        </w:trPr>
        <w:tc>
          <w:tcPr>
            <w:tcW w:w="2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53.6 %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resurgence of the Omicron variant during the beginning of 2022, consolidated net revenues increased for the three months ended March 31, 2022 primarily due to positive trends compared to the three months ended March 31, 2021 which was negatively impacted by the COVID-19 public health emergency. The Company’s net revenues have benefited from reduced restrictive mandates and guidelines which has allowed for increased gaming capacity and hotel occupancy as well as decreased limitations on the operation of food and beverage outlets, live entertainment events and conventions. As of March 31, 2022, all of our properties have resumed operations with the exception of Lake Charles which was severely damaged by Hurricane Laura. Additionally, the consolidation of Horseshoe Baltimore on August 26, 2021 contributed to the increased in net revenues for the three months ended March 31, 2022. These increases were offset slightly by negative gaming revenue in our Caesars Digital segment.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5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5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Variance</w:t>
            </w:r>
          </w:p>
        </w:tc>
        <w:tc>
          <w:tcPr>
            <w:tcW w:w="80" w:type="dxa"/>
            <w:vAlign w:val="bottom"/>
          </w:tcPr>
          <w:p>
            <w:pPr>
              <w:spacing w:after="0"/>
              <w:rPr>
                <w:sz w:val="15"/>
                <w:szCs w:val="15"/>
                <w:color w:val="auto"/>
              </w:rPr>
            </w:pPr>
          </w:p>
        </w:tc>
        <w:tc>
          <w:tcPr>
            <w:tcW w:w="156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Percent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81.3 %</w:t>
            </w:r>
          </w:p>
        </w:tc>
      </w:tr>
      <w:tr>
        <w:trPr>
          <w:trHeight w:val="213"/>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87.0 %</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42.0 %</w:t>
            </w:r>
          </w:p>
        </w:tc>
      </w:tr>
      <w:tr>
        <w:trPr>
          <w:trHeight w:val="213"/>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27.5 %</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31.3 %</w:t>
            </w:r>
          </w:p>
        </w:tc>
      </w:tr>
      <w:tr>
        <w:trPr>
          <w:trHeight w:val="213"/>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13.2 %</w:t>
            </w:r>
          </w:p>
        </w:tc>
      </w:tr>
      <w:tr>
        <w:trPr>
          <w:trHeight w:val="213"/>
        </w:trPr>
        <w:tc>
          <w:tcPr>
            <w:tcW w:w="2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Transaction and other operating costs, net</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Casino and pari-mutuel expenses consist primarily of salaries and wages associated with our gaming operations, gaming taxes and marketing and promotions costs attributable to our Caesars Digital segment. Food and beverage expenses consist principally of salaries and wages and costs of goods sold associated with our food and beverage operations. Hotel expense consists principally of salaries, wages and supplies associated with our hotel operations. Other expenses consist principally of salaries and wages, costs of goods sold and professional talent fees associated with our retail, entertainment and other operations.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Casino, food and beverage, hotel, and other expenses for the three months ended March 31, 2022 increased year over year partially as a result of the William Hill Acquisition and the consolidation of Horseshoe Baltimore. The reopening of substantially all of our properties and the associated growth in customer volume also drove the increase in expenses year over year. Higher advertising costs consisting of television, radio and internet marketing campaigns directly attributable to the launch and rebranding of our Caesars Sportsbook app also contributed to the increase during the current period. These increases were partially offset as the Company continues to identify more efficient methods to manage marketing and promotional spend and reduce gaming expenses within our Las Vegas and Regional segments, as well as focus on labor efficiencies. Moreover, the Company has managed recent increases in food costs by focusing on efficiencies within food and beverage venues and menu options.</w:t>
      </w:r>
    </w:p>
    <w:p>
      <w:pPr>
        <w:spacing w:after="0" w:line="344"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jc w:val="both"/>
        <w:spacing w:after="0" w:line="286" w:lineRule="auto"/>
        <w:rPr>
          <w:sz w:val="20"/>
          <w:szCs w:val="20"/>
          <w:color w:val="auto"/>
        </w:rPr>
      </w:pPr>
      <w:r>
        <w:rPr>
          <w:rFonts w:ascii="Arial" w:cs="Arial" w:eastAsia="Arial" w:hAnsi="Arial"/>
          <w:sz w:val="17"/>
          <w:szCs w:val="17"/>
          <w:color w:val="auto"/>
        </w:rPr>
        <w:t>General and administrative expenses include items such as information technology, facility maintenance, utilities, property and liability insurance, expenses for administrative departments such as accounting, compliance, purchasing, human resources, legal and internal audit, and property taxes. General and administrative expenses also include other marketing expenses indirectly related to our gaming and non-gaming operations.</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expenses for the three months ended March 31, 2022 increased year over year as the result of the reopening of all of our properties combined with the aforementioned ease in mandates and restrictions, the William Hill Acquisition and the consolidation of Horseshoe Baltimore.</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expenses include unallocated expenses such as payroll, annual bonus plans, stock-based compensation, professional fees, and other various expenses not directly related to the operations of our properties. For the three months ended March 31, 2022 compared to the same prior year period, corporate expense increased primarily due to stock-based compensation and other indirect costs related to the William Hill Acquisition.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compared to the same prior year period, depreciation and amortization expense increased mainly due to the William Hill Acquisition and the consolidation of Horseshoe Baltimore.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For the three months ended March 31, 2022 compared to the same prior year period, transaction and other operating costs decreased as the Company recorded a gain </w:t>
      </w:r>
      <w:r>
        <w:rPr>
          <w:rFonts w:ascii="Arial" w:cs="Arial" w:eastAsia="Arial" w:hAnsi="Arial"/>
          <w:sz w:val="18"/>
          <w:szCs w:val="18"/>
          <w:color w:val="212529"/>
        </w:rPr>
        <w:t>of approximately $38 million as proceeds received for Lake Charles property damage were in excess of the respective carrying value of the</w:t>
      </w:r>
      <w:r>
        <w:rPr>
          <w:rFonts w:ascii="Arial" w:cs="Arial" w:eastAsia="Arial" w:hAnsi="Arial"/>
          <w:sz w:val="18"/>
          <w:szCs w:val="18"/>
          <w:color w:val="auto"/>
        </w:rPr>
        <w:t xml:space="preserve"> </w:t>
      </w:r>
      <w:r>
        <w:rPr>
          <w:rFonts w:ascii="Arial" w:cs="Arial" w:eastAsia="Arial" w:hAnsi="Arial"/>
          <w:sz w:val="18"/>
          <w:szCs w:val="18"/>
          <w:color w:val="212529"/>
        </w:rPr>
        <w:t>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5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5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60"/>
              <w:spacing w:after="0" w:line="175" w:lineRule="exact"/>
              <w:rPr>
                <w:sz w:val="20"/>
                <w:szCs w:val="20"/>
                <w:color w:val="auto"/>
              </w:rPr>
            </w:pPr>
            <w:r>
              <w:rPr>
                <w:rFonts w:ascii="Arial" w:cs="Arial" w:eastAsia="Arial" w:hAnsi="Arial"/>
                <w:sz w:val="16"/>
                <w:szCs w:val="16"/>
                <w:b w:val="1"/>
                <w:bCs w:val="1"/>
                <w:color w:val="auto"/>
              </w:rPr>
              <w:t>Variance</w:t>
            </w:r>
          </w:p>
        </w:tc>
        <w:tc>
          <w:tcPr>
            <w:tcW w:w="156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Percent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13"/>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Other income (loss)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for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March 31, 2022, interest expense, net decreased year over year as a result the extinguishment of 5% Convertible Notes in June 2021, partial repurchase of the CEI Senior Notes completed in October 2021, and the repricing of CRC Incremental Term Loan in September 2021. Additionally, on September 24, 2021, the Company issued $1.2 billion in aggregate principal amount of 4.625% Senior Notes due 2029. Proceeds from the issuance of the Senior Notes, as well as cash on hand, was used to repay the $1.7 billion aggregate principal amount of 5.25% CRC Notes. These decreases were offset slightly by the consolidation of debt held by Horseshoe Baltimore.</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2022, other income (loss) primarily consisted of a gain related to the resolution of a portion of disputed claims liability related to Former Caesars’ bankruptcy and a change in the fair value of foreign exchange forward contracts, offset by the change in fair value of investments. For the three months ended March 31, 2021, other income (loss) primarily consisted of a loss on the change in fair value of a derivative liability, offset by a foreign exchange transaction gain.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income tax benefit for the three months ended March 31, 2022 differed from the expected income tax benefit based on the federal tax rate of 21% primarily due to nondeductible expenses and state income taxes.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income tax benefit for the three months ended March 31, 2021 differed from the expected income tax benefit based on the federal tax rate of 21% primarily due to nondeductible expenses related to the convertible notes liability.</w:t>
      </w: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ind w:right="5620"/>
        <w:spacing w:after="0" w:line="464" w:lineRule="auto"/>
        <w:rPr>
          <w:sz w:val="20"/>
          <w:szCs w:val="20"/>
          <w:color w:val="auto"/>
        </w:rPr>
      </w:pPr>
      <w:r>
        <w:rPr>
          <w:rFonts w:ascii="Arial" w:cs="Arial" w:eastAsia="Arial" w:hAnsi="Arial"/>
          <w:sz w:val="18"/>
          <w:szCs w:val="18"/>
          <w:b w:val="1"/>
          <w:bCs w:val="1"/>
          <w:color w:val="auto"/>
        </w:rPr>
        <w:t xml:space="preserve">Segment comparison of the three months ended March 31, 2022 and 2021 </w:t>
      </w:r>
      <w:r>
        <w:rPr>
          <w:rFonts w:ascii="Arial" w:cs="Arial" w:eastAsia="Arial" w:hAnsi="Arial"/>
          <w:sz w:val="18"/>
          <w:szCs w:val="18"/>
          <w:i w:val="1"/>
          <w:iCs w:val="1"/>
          <w:u w:val="single" w:color="auto"/>
          <w:color w:val="auto"/>
        </w:rPr>
        <w:t>Las Vegas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9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Variance</w:t>
            </w:r>
          </w:p>
        </w:tc>
        <w:tc>
          <w:tcPr>
            <w:tcW w:w="80" w:type="dxa"/>
            <w:vAlign w:val="bottom"/>
          </w:tcPr>
          <w:p>
            <w:pPr>
              <w:spacing w:after="0"/>
              <w:rPr>
                <w:sz w:val="15"/>
                <w:szCs w:val="15"/>
                <w:color w:val="auto"/>
              </w:rPr>
            </w:pPr>
          </w:p>
        </w:tc>
        <w:tc>
          <w:tcPr>
            <w:tcW w:w="152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ind w:left="220"/>
              <w:spacing w:after="0"/>
              <w:rPr>
                <w:sz w:val="20"/>
                <w:szCs w:val="20"/>
                <w:color w:val="auto"/>
              </w:rPr>
            </w:pPr>
            <w:r>
              <w:rPr>
                <w:rFonts w:ascii="Arial" w:cs="Arial" w:eastAsia="Arial" w:hAnsi="Arial"/>
                <w:sz w:val="16"/>
                <w:szCs w:val="16"/>
                <w:color w:val="auto"/>
              </w:rPr>
              <w:t>Casino and pari-mutuel commissions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28.8 %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161.9 %</w:t>
            </w:r>
          </w:p>
        </w:tc>
      </w:tr>
      <w:tr>
        <w:trPr>
          <w:trHeight w:val="213"/>
        </w:trPr>
        <w:tc>
          <w:tcPr>
            <w:tcW w:w="20" w:type="dxa"/>
            <w:vAlign w:val="bottom"/>
          </w:tcPr>
          <w:p>
            <w:pPr>
              <w:spacing w:after="0"/>
              <w:rPr>
                <w:sz w:val="18"/>
                <w:szCs w:val="18"/>
                <w:color w:val="auto"/>
              </w:rPr>
            </w:pPr>
          </w:p>
        </w:tc>
        <w:tc>
          <w:tcPr>
            <w:tcW w:w="500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131.3 %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90.3 %</w:t>
            </w:r>
          </w:p>
        </w:tc>
      </w:tr>
      <w:tr>
        <w:trPr>
          <w:trHeight w:val="209"/>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83.9 %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38.1 %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pts</w:t>
            </w: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726</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41.2 %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Hotel occupancy</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22.5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146.9 %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50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March 31, 2022, the Las Vegas segment’s net revenues and Adjusted EBITDA increased year over year primarily due to reduced mandates and restrictions at our properties in accordance with easing of the governmental regulatory guidelines combined with pent up customer demand. Despite the negative impact of the resurgence of the Omicron variant of COVID-19 on the beginning of the quarter, including cancellations and postponements of significant entertainment offerings, events and conventions, the Las Vegas segment experienced positive trends year over year including increases in hotel occupancy and higher gaming and food and beverage volumes. For the three months ended March 31, 2022, slot win percentage in the Las Vegas segment was within our typical range.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Regional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9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5"/>
                <w:szCs w:val="15"/>
                <w:color w:val="auto"/>
              </w:rPr>
            </w:pPr>
          </w:p>
        </w:tc>
        <w:tc>
          <w:tcPr>
            <w:tcW w:w="152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ind w:left="220"/>
              <w:spacing w:after="0"/>
              <w:rPr>
                <w:sz w:val="20"/>
                <w:szCs w:val="20"/>
                <w:color w:val="auto"/>
              </w:rPr>
            </w:pPr>
            <w:r>
              <w:rPr>
                <w:rFonts w:ascii="Arial" w:cs="Arial" w:eastAsia="Arial" w:hAnsi="Arial"/>
                <w:sz w:val="16"/>
                <w:szCs w:val="16"/>
                <w:color w:val="auto"/>
              </w:rPr>
              <w:t>Casino and pari-mutuel commissions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967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10.7 %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41.7 %</w:t>
            </w:r>
          </w:p>
        </w:tc>
      </w:tr>
      <w:tr>
        <w:trPr>
          <w:trHeight w:val="213"/>
        </w:trPr>
        <w:tc>
          <w:tcPr>
            <w:tcW w:w="20" w:type="dxa"/>
            <w:vAlign w:val="bottom"/>
          </w:tcPr>
          <w:p>
            <w:pPr>
              <w:spacing w:after="0"/>
              <w:rPr>
                <w:sz w:val="18"/>
                <w:szCs w:val="18"/>
                <w:color w:val="auto"/>
              </w:rPr>
            </w:pPr>
          </w:p>
        </w:tc>
        <w:tc>
          <w:tcPr>
            <w:tcW w:w="5000" w:type="dxa"/>
            <w:vAlign w:val="bottom"/>
            <w:gridSpan w:val="2"/>
          </w:tcPr>
          <w:p>
            <w:pPr>
              <w:ind w:left="220"/>
              <w:spacing w:after="0"/>
              <w:rPr>
                <w:sz w:val="20"/>
                <w:szCs w:val="20"/>
                <w:color w:val="auto"/>
              </w:rPr>
            </w:pPr>
            <w:r>
              <w:rPr>
                <w:rFonts w:ascii="Arial" w:cs="Arial" w:eastAsia="Arial" w:hAnsi="Arial"/>
                <w:sz w:val="16"/>
                <w:szCs w:val="16"/>
                <w:color w:val="auto"/>
              </w:rPr>
              <w:t>Hotel</w:t>
            </w:r>
          </w:p>
        </w:tc>
        <w:tc>
          <w:tcPr>
            <w:tcW w:w="2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17.0 %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42.5 %</w:t>
            </w:r>
          </w:p>
        </w:tc>
      </w:tr>
      <w:tr>
        <w:trPr>
          <w:trHeight w:val="210"/>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1,191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14.4 %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977</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8.2 %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pts</w:t>
            </w: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10,411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9,942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469</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4.7 %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16.8 %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90.8 %</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Regional segment’s net revenues, Adjusted EBITDA and margin increased for the three months ended March 31, 2022 compared to the same prior year period partially as a result of the consolidation of Horseshoe Baltimore. Although our Regional</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309"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42" w:name="page43"/>
    <w:bookmarkEnd w:id="42"/>
    <w:p>
      <w:pPr>
        <w:jc w:val="both"/>
        <w:spacing w:after="0" w:line="254" w:lineRule="auto"/>
        <w:rPr>
          <w:sz w:val="20"/>
          <w:szCs w:val="20"/>
          <w:color w:val="auto"/>
        </w:rPr>
      </w:pPr>
      <w:r>
        <w:rPr>
          <w:rFonts w:ascii="Arial" w:cs="Arial" w:eastAsia="Arial" w:hAnsi="Arial"/>
          <w:sz w:val="18"/>
          <w:szCs w:val="18"/>
          <w:color w:val="auto"/>
        </w:rPr>
        <w:t>properties’ performance was affected by a resurgence of the Omicron variant of COVID-19 in the beginning of the quarter, the Regional segment subsequently experienced positive results due to pent up demand combined with increased capacities and food and beverage offerings as restrictive mandates and guidelines were eased. As of March 31, 2022, all of our properties in our Regional segment have reopened, with the exception of Lake Charles which closed due to severe damage from Hurricane Laura in August 2020. Lake Charles will remain closed until the fourth quarter of 2022 when construction of a new land-based casino is expected to be completed. Table game hold percentage in the Regional segment for the three months ended March 31, 2022 was slightly higher than our typical range. Slot win percentage in the Regional segment for the three months ended March 31, 2022 was within our typical range.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Caesars Digital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5"/>
                <w:szCs w:val="15"/>
                <w:color w:val="auto"/>
              </w:rPr>
            </w:pPr>
          </w:p>
        </w:tc>
        <w:tc>
          <w:tcPr>
            <w:tcW w:w="152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100" w:type="dxa"/>
            <w:vAlign w:val="bottom"/>
            <w:gridSpan w:val="2"/>
          </w:tcPr>
          <w:p>
            <w:pPr>
              <w:ind w:left="220"/>
              <w:spacing w:after="0"/>
              <w:rPr>
                <w:sz w:val="20"/>
                <w:szCs w:val="20"/>
                <w:color w:val="auto"/>
              </w:rPr>
            </w:pPr>
            <w:r>
              <w:rPr>
                <w:rFonts w:ascii="Arial" w:cs="Arial" w:eastAsia="Arial" w:hAnsi="Arial"/>
                <w:sz w:val="16"/>
                <w:szCs w:val="16"/>
                <w:color w:val="auto"/>
              </w:rPr>
              <w:t>Casino and pari-mutuel commissions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(103)</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Sports betting handle </w:t>
            </w:r>
            <w:r>
              <w:rPr>
                <w:rFonts w:ascii="Arial" w:cs="Arial" w:eastAsia="Arial" w:hAnsi="Arial"/>
                <w:sz w:val="21"/>
                <w:szCs w:val="21"/>
                <w:i w:val="1"/>
                <w:iCs w:val="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4,690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4,677</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iGaming handle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103.6 %</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Net loss attributable to Caesars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(568)</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316"/>
        </w:trPr>
        <w:tc>
          <w:tcPr>
            <w:tcW w:w="51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55" w:lineRule="exact"/>
        <w:rPr>
          <w:sz w:val="20"/>
          <w:szCs w:val="20"/>
          <w:color w:val="auto"/>
        </w:rPr>
      </w:pPr>
    </w:p>
    <w:p>
      <w:pPr>
        <w:jc w:val="both"/>
        <w:ind w:left="340" w:hanging="332"/>
        <w:spacing w:after="0" w:line="224" w:lineRule="auto"/>
        <w:tabs>
          <w:tab w:leader="none" w:pos="327"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Caesars Digital generated an additional $343 million of sports betting handle, which is not included in this table for the three months ended March 31, 2022 for select wholly-owned and third-party operations for which Caesars Digital provides services and we receive all, or a share of, the net profits. Sports betting handle includes $13 million for the three months ended March 31, 2022, related to horse racing and pari-mutuel wagers.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Caesars Digital includes Caesars’ operations for retail and mobile sports betting, online casino, and online poker, including operations acquired in the William Hill Acquisition. Caesars Digital’s sports betting handle and iGaming handle increased significantly for the three months ended March 31, 2022 compared to the same prior year period due to the William Hill Acquisition, the launch of our new sportsbook app in 2021, and the expansion of sports betting into additional states subsequent to the acquisition. However, net revenues for the three months ended March 31, 2022 were negatively impacted by costs associated with significant promotions offered with the launch of our Caesars Sportsbook, particularly in New York and Louisiana, which included cash bonuses and matched deposits to new customers as sign-on incentives.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significant promotional periods, such as entering new jurisdictions with our Caesars branded retail sportsbooks, or our Caesars Sportsbook app and iGaming applications, we may deploy a significant level of marketing spend to build brand awareness and acquire and retain customers. As sports betting and online casinos expand through increased state legalization and customer adoption, growth in marketing and promotional costs in highly competitive markets may negatively impact Caesars Digital net revenues, Adjusted EBITDA and margin in comparison to prior periods. Such activity could result in negative net gaming revenue as experienced for the three months ended March 31, 2022. These periods are not expected to be long in duration as we use our discretion to determine the level of investment for a particular jurisdiction. Sports betting and iGaming hold percentage for the three months ended March 31, 2022 was within our typical range.</w:t>
      </w:r>
    </w:p>
    <w:p>
      <w:pPr>
        <w:spacing w:after="0" w:line="348"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3" w:name="page44"/>
    <w:bookmarkEnd w:id="43"/>
    <w:p>
      <w:pPr>
        <w:ind w:left="100"/>
        <w:spacing w:after="0"/>
        <w:rPr>
          <w:sz w:val="20"/>
          <w:szCs w:val="20"/>
          <w:color w:val="auto"/>
        </w:rPr>
      </w:pPr>
      <w:r>
        <w:rPr>
          <w:rFonts w:ascii="Arial" w:cs="Arial" w:eastAsia="Arial" w:hAnsi="Arial"/>
          <w:sz w:val="18"/>
          <w:szCs w:val="18"/>
          <w:i w:val="1"/>
          <w:iCs w:val="1"/>
          <w:u w:val="single" w:color="auto"/>
          <w:color w:val="auto"/>
        </w:rPr>
        <w:t>Managed and Branded Segment</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9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9"/>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5"/>
                <w:szCs w:val="15"/>
                <w:color w:val="auto"/>
              </w:rPr>
            </w:pPr>
          </w:p>
        </w:tc>
        <w:tc>
          <w:tcPr>
            <w:tcW w:w="152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Percent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ind w:left="220"/>
              <w:spacing w:after="0"/>
              <w:rPr>
                <w:sz w:val="20"/>
                <w:szCs w:val="20"/>
                <w:color w:val="auto"/>
              </w:rPr>
            </w:pPr>
            <w:r>
              <w:rPr>
                <w:rFonts w:ascii="Arial" w:cs="Arial" w:eastAsia="Arial" w:hAnsi="Arial"/>
                <w:sz w:val="16"/>
                <w:szCs w:val="16"/>
                <w:color w:val="auto"/>
              </w:rPr>
              <w:t>Food and beverage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9"/>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8.2 %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50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35" w:lineRule="exact"/>
        <w:rPr>
          <w:sz w:val="20"/>
          <w:szCs w:val="20"/>
          <w:color w:val="auto"/>
        </w:rPr>
      </w:pPr>
    </w:p>
    <w:p>
      <w:pPr>
        <w:ind w:left="320" w:hanging="2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We manage several properties and license rights to the use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40" w:type="dxa"/>
            <w:vAlign w:val="bottom"/>
            <w:gridSpan w:val="4"/>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5"/>
        </w:trPr>
        <w:tc>
          <w:tcPr>
            <w:tcW w:w="35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llars in millions)</w:t>
            </w:r>
          </w:p>
        </w:tc>
        <w:tc>
          <w:tcPr>
            <w:tcW w:w="1700" w:type="dxa"/>
            <w:vAlign w:val="bottom"/>
          </w:tcPr>
          <w:p>
            <w:pPr>
              <w:spacing w:after="0"/>
              <w:rPr>
                <w:sz w:val="15"/>
                <w:szCs w:val="15"/>
                <w:color w:val="auto"/>
              </w:rPr>
            </w:pPr>
          </w:p>
        </w:tc>
        <w:tc>
          <w:tcPr>
            <w:tcW w:w="1360" w:type="dxa"/>
            <w:vAlign w:val="bottom"/>
            <w:tcBorders>
              <w:top w:val="single" w:sz="8" w:color="auto"/>
            </w:tcBorders>
          </w:tcPr>
          <w:p>
            <w:pPr>
              <w:jc w:val="right"/>
              <w:ind w:right="59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59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380" w:type="dxa"/>
            <w:vAlign w:val="bottom"/>
          </w:tcPr>
          <w:p>
            <w:pPr>
              <w:jc w:val="right"/>
              <w:ind w:right="479"/>
              <w:spacing w:after="0" w:line="175" w:lineRule="exact"/>
              <w:rPr>
                <w:sz w:val="20"/>
                <w:szCs w:val="20"/>
                <w:color w:val="auto"/>
              </w:rPr>
            </w:pPr>
            <w:r>
              <w:rPr>
                <w:rFonts w:ascii="Arial" w:cs="Arial" w:eastAsia="Arial" w:hAnsi="Arial"/>
                <w:sz w:val="16"/>
                <w:szCs w:val="16"/>
                <w:b w:val="1"/>
                <w:bCs w:val="1"/>
                <w:color w:val="auto"/>
              </w:rPr>
              <w:t>Variance</w:t>
            </w:r>
          </w:p>
        </w:tc>
        <w:tc>
          <w:tcPr>
            <w:tcW w:w="1480" w:type="dxa"/>
            <w:vAlign w:val="bottom"/>
            <w:gridSpan w:val="2"/>
          </w:tcPr>
          <w:p>
            <w:pPr>
              <w:jc w:val="right"/>
              <w:ind w:right="320"/>
              <w:spacing w:after="0" w:line="175" w:lineRule="exact"/>
              <w:rPr>
                <w:sz w:val="20"/>
                <w:szCs w:val="20"/>
                <w:color w:val="auto"/>
              </w:rPr>
            </w:pPr>
            <w:r>
              <w:rPr>
                <w:rFonts w:ascii="Arial" w:cs="Arial" w:eastAsia="Arial" w:hAnsi="Arial"/>
                <w:sz w:val="16"/>
                <w:szCs w:val="16"/>
                <w:b w:val="1"/>
                <w:bCs w:val="1"/>
                <w:color w:val="auto"/>
                <w:w w:val="93"/>
              </w:rPr>
              <w:t>Percent Change</w:t>
            </w:r>
          </w:p>
        </w:tc>
      </w:tr>
      <w:tr>
        <w:trPr>
          <w:trHeight w:val="21"/>
        </w:trPr>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imbursable management revenue</w:t>
            </w:r>
          </w:p>
        </w:tc>
        <w:tc>
          <w:tcPr>
            <w:tcW w:w="1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r>
      <w:tr>
        <w:trPr>
          <w:trHeight w:val="210"/>
        </w:trPr>
        <w:tc>
          <w:tcPr>
            <w:tcW w:w="3520" w:type="dxa"/>
            <w:vAlign w:val="bottom"/>
            <w:gridSpan w:val="3"/>
          </w:tcPr>
          <w:p>
            <w:pPr>
              <w:spacing w:after="0"/>
              <w:rPr>
                <w:sz w:val="20"/>
                <w:szCs w:val="20"/>
                <w:color w:val="auto"/>
              </w:rPr>
            </w:pPr>
            <w:r>
              <w:rPr>
                <w:rFonts w:ascii="Arial" w:cs="Arial" w:eastAsia="Arial" w:hAnsi="Arial"/>
                <w:sz w:val="16"/>
                <w:szCs w:val="16"/>
                <w:color w:val="auto"/>
              </w:rPr>
              <w:t>imbursable management cost</w:t>
            </w:r>
          </w:p>
        </w:tc>
        <w:tc>
          <w:tcPr>
            <w:tcW w:w="1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r>
    </w:tbl>
    <w:p>
      <w:pPr>
        <w:spacing w:after="0" w:line="235" w:lineRule="exact"/>
        <w:rPr>
          <w:sz w:val="20"/>
          <w:szCs w:val="20"/>
          <w:color w:val="auto"/>
        </w:rPr>
      </w:pPr>
    </w:p>
    <w:p>
      <w:pPr>
        <w:jc w:val="both"/>
        <w:ind w:left="100"/>
        <w:spacing w:after="0" w:line="254" w:lineRule="auto"/>
        <w:rPr>
          <w:sz w:val="20"/>
          <w:szCs w:val="20"/>
          <w:color w:val="auto"/>
        </w:rPr>
      </w:pPr>
      <w:r>
        <w:rPr>
          <w:rFonts w:ascii="Arial" w:cs="Arial" w:eastAsia="Arial" w:hAnsi="Arial"/>
          <w:sz w:val="18"/>
          <w:szCs w:val="18"/>
          <w:color w:val="auto"/>
        </w:rPr>
        <w:t>Managed and Branded segment’s net revenues increased as properties were fully reopened for the three months ended March 31, 2022, except for temporary closure from January 5, 2022 through January 31, 2022 at Caesars Windsor, and experienced positive results from pent up demand. Additionally, in connection with the closing of the sale of Caesars Southern Indiana on September 3, 2021, the Company and the Eastern Band of Cherokee Indians (“EBCI”) extended their existing relationship by entering into a 10-year brand license agreement for the continued use of the Caesars brand and Caesars Rewards loyalty program at Caesars Southern Indiana. Caesars Southern Indiana was previously reported within the Regional segment and subsequent to the sale, as a result of the license agreement, is reported within the Managed and Branded segment. The increase was slightly offset by the consolidation of Horseshoe Baltimore beginning in the third quarter of 2021. The operations of the property are included in the Regional segment and management revenue is eliminated upon consolidation.</w:t>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Corporate &amp; Other</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980" w:type="dxa"/>
            <w:vAlign w:val="bottom"/>
          </w:tcPr>
          <w:p>
            <w:pPr>
              <w:jc w:val="right"/>
              <w:ind w:right="39"/>
              <w:spacing w:after="0" w:line="175" w:lineRule="exact"/>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ind w:left="160"/>
              <w:spacing w:after="0" w:line="175" w:lineRule="exact"/>
              <w:rPr>
                <w:sz w:val="20"/>
                <w:szCs w:val="20"/>
                <w:color w:val="auto"/>
              </w:rPr>
            </w:pPr>
            <w:r>
              <w:rPr>
                <w:rFonts w:ascii="Arial" w:cs="Arial" w:eastAsia="Arial" w:hAnsi="Arial"/>
                <w:sz w:val="16"/>
                <w:szCs w:val="16"/>
                <w:b w:val="1"/>
                <w:bCs w:val="1"/>
                <w:color w:val="auto"/>
              </w:rPr>
              <w:t>Variance</w:t>
            </w:r>
          </w:p>
        </w:tc>
        <w:tc>
          <w:tcPr>
            <w:tcW w:w="80" w:type="dxa"/>
            <w:vAlign w:val="bottom"/>
          </w:tcPr>
          <w:p>
            <w:pPr>
              <w:spacing w:after="0"/>
              <w:rPr>
                <w:sz w:val="15"/>
                <w:szCs w:val="15"/>
                <w:color w:val="auto"/>
              </w:rPr>
            </w:pPr>
          </w:p>
        </w:tc>
        <w:tc>
          <w:tcPr>
            <w:tcW w:w="156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Percent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(2)</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Revenues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10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25.6 %</w:t>
            </w:r>
          </w:p>
        </w:tc>
      </w:tr>
    </w:tbl>
    <w:p>
      <w:pPr>
        <w:spacing w:after="0" w:line="238" w:lineRule="exact"/>
        <w:rPr>
          <w:sz w:val="20"/>
          <w:szCs w:val="20"/>
          <w:color w:val="auto"/>
        </w:rPr>
      </w:pPr>
    </w:p>
    <w:p>
      <w:pPr>
        <w:jc w:val="both"/>
        <w:ind w:left="100" w:right="2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Three Months Ended March 31, 2022 and 2021</w:t>
      </w:r>
    </w:p>
    <w:p>
      <w:pPr>
        <w:spacing w:after="0" w:line="112"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(gain) loss on investments and marketable securities, depreciation</w:t>
      </w:r>
    </w:p>
    <w:p>
      <w:pPr>
        <w:spacing w:after="0" w:line="344" w:lineRule="exact"/>
        <w:rPr>
          <w:sz w:val="20"/>
          <w:szCs w:val="20"/>
          <w:color w:val="auto"/>
        </w:rPr>
      </w:pPr>
    </w:p>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340"/>
          </w:cols>
          <w:pgMar w:left="220" w:top="1313" w:right="339" w:bottom="1440" w:gutter="0" w:footer="0" w:header="0"/>
        </w:sectPr>
      </w:pP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74930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313" w:right="339" w:bottom="1440" w:gutter="0" w:footer="0" w:header="0"/>
          <w:type w:val="continuous"/>
        </w:sectPr>
      </w:pPr>
    </w:p>
    <w:bookmarkStart w:id="44" w:name="page45"/>
    <w:bookmarkEnd w:id="44"/>
    <w:p>
      <w:pPr>
        <w:jc w:val="both"/>
        <w:spacing w:after="0" w:line="269" w:lineRule="auto"/>
        <w:rPr>
          <w:sz w:val="20"/>
          <w:szCs w:val="20"/>
          <w:color w:val="auto"/>
        </w:rPr>
      </w:pPr>
      <w:r>
        <w:rPr>
          <w:rFonts w:ascii="Arial" w:cs="Arial" w:eastAsia="Arial" w:hAnsi="Arial"/>
          <w:sz w:val="17"/>
          <w:szCs w:val="17"/>
          <w:color w:val="auto"/>
        </w:rPr>
        <w:t>and amortization, stock-based compensation, impairment charges, transaction expenses, severance expense, selling costs associated with the divestitures of properties, equity in income (loss) of unconsolidated affiliates, (gain) loss on the sale or disposal of property and equipment, (gain) loss related to divestitures, changes in the fair value of certain derivatives and certain non-recurring expenses such as sign-on and retention bonuses, business optimization expenses and transformation expenses, certain litigation awards and settlements, contract exit or termination costs,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It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Adjusted EBITDA for the three months ended March 31, 2022 and 2021, respectively, in addition to reconciling net income (loss) to Adjusted EBITDA in accordance with GAAP (unaudited):</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attributable to Caesars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Discontinued operations, net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Benefit for income taxes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Other income </w:t>
      </w:r>
      <w:r>
        <w:rPr>
          <w:rFonts w:ascii="Arial" w:cs="Arial" w:eastAsia="Arial" w:hAnsi="Arial"/>
          <w:sz w:val="21"/>
          <w:szCs w:val="21"/>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Interest expense, net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Transaction and other operating costs, net </w:t>
      </w:r>
      <w:r>
        <w:rPr>
          <w:rFonts w:ascii="Arial" w:cs="Arial" w:eastAsia="Arial" w:hAnsi="Arial"/>
          <w:sz w:val="18"/>
          <w:szCs w:val="18"/>
          <w:i w:val="1"/>
          <w:iCs w:val="1"/>
          <w:color w:val="auto"/>
          <w:vertAlign w:val="superscript"/>
        </w:rPr>
        <w:t>(b)</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Adjusted EBITDA</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w:t>
      </w:r>
    </w:p>
    <w:p>
      <w:pPr>
        <w:jc w:val="center"/>
        <w:spacing w:after="0"/>
        <w:rPr>
          <w:sz w:val="20"/>
          <w:szCs w:val="20"/>
          <w:color w:val="auto"/>
        </w:rPr>
      </w:pPr>
      <w:r>
        <w:rPr>
          <w:rFonts w:ascii="Arial" w:cs="Arial" w:eastAsia="Arial" w:hAnsi="Arial"/>
          <w:sz w:val="16"/>
          <w:szCs w:val="16"/>
          <w:b w:val="1"/>
          <w:bCs w:val="1"/>
          <w:color w:val="auto"/>
        </w:rPr>
        <w:t>31, 2022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CEI</w:t>
            </w:r>
          </w:p>
        </w:tc>
      </w:tr>
      <w:tr>
        <w:trPr>
          <w:trHeight w:val="206"/>
        </w:trPr>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16"/>
        </w:trPr>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6"/>
        </w:trPr>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6"/>
        </w:trPr>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r>
      <w:tr>
        <w:trPr>
          <w:trHeight w:val="24"/>
        </w:trPr>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313" w:right="339" w:bottom="1440" w:gutter="0" w:footer="0" w:header="0"/>
          <w:type w:val="continuous"/>
        </w:sect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8"/>
          </w:tcPr>
          <w:p>
            <w:pPr>
              <w:ind w:left="380"/>
              <w:spacing w:after="0"/>
              <w:rPr>
                <w:sz w:val="20"/>
                <w:szCs w:val="20"/>
                <w:color w:val="auto"/>
              </w:rPr>
            </w:pPr>
            <w:r>
              <w:rPr>
                <w:rFonts w:ascii="Arial" w:cs="Arial" w:eastAsia="Arial" w:hAnsi="Arial"/>
                <w:sz w:val="16"/>
                <w:szCs w:val="16"/>
                <w:b w:val="1"/>
                <w:bCs w:val="1"/>
                <w:color w:val="auto"/>
              </w:rPr>
              <w:t>Three Months Ended March 31, 2021</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CEI</w:t>
            </w:r>
          </w:p>
        </w:tc>
        <w:tc>
          <w:tcPr>
            <w:tcW w:w="140" w:type="dxa"/>
            <w:vAlign w:val="bottom"/>
          </w:tcPr>
          <w:p>
            <w:pPr>
              <w:spacing w:after="0"/>
              <w:rPr>
                <w:sz w:val="13"/>
                <w:szCs w:val="13"/>
                <w:color w:val="auto"/>
              </w:rPr>
            </w:pPr>
          </w:p>
        </w:tc>
        <w:tc>
          <w:tcPr>
            <w:tcW w:w="11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9"/>
              </w:rPr>
              <w:t>Pre-Cons.</w:t>
            </w:r>
          </w:p>
        </w:tc>
        <w:tc>
          <w:tcPr>
            <w:tcW w:w="122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6"/>
              </w:rPr>
              <w:t>Pre-Acq. WH</w:t>
            </w:r>
          </w:p>
        </w:tc>
        <w:tc>
          <w:tcPr>
            <w:tcW w:w="100" w:type="dxa"/>
            <w:vAlign w:val="bottom"/>
          </w:tcPr>
          <w:p>
            <w:pPr>
              <w:spacing w:after="0"/>
              <w:rPr>
                <w:sz w:val="13"/>
                <w:szCs w:val="13"/>
                <w:color w:val="auto"/>
              </w:rPr>
            </w:pPr>
          </w:p>
        </w:tc>
        <w:tc>
          <w:tcPr>
            <w:tcW w:w="1180" w:type="dxa"/>
            <w:vAlign w:val="bottom"/>
            <w:gridSpan w:val="2"/>
          </w:tcPr>
          <w:p>
            <w:pPr>
              <w:ind w:left="320"/>
              <w:spacing w:after="0" w:line="158" w:lineRule="exact"/>
              <w:rPr>
                <w:sz w:val="20"/>
                <w:szCs w:val="20"/>
                <w:color w:val="auto"/>
              </w:rPr>
            </w:pPr>
            <w:r>
              <w:rPr>
                <w:rFonts w:ascii="Arial" w:cs="Arial" w:eastAsia="Arial" w:hAnsi="Arial"/>
                <w:sz w:val="16"/>
                <w:szCs w:val="16"/>
                <w:b w:val="1"/>
                <w:bCs w:val="1"/>
                <w:color w:val="auto"/>
              </w:rPr>
              <w:t>Less:</w:t>
            </w:r>
          </w:p>
        </w:tc>
        <w:tc>
          <w:tcPr>
            <w:tcW w:w="180" w:type="dxa"/>
            <w:vAlign w:val="bottom"/>
          </w:tcPr>
          <w:p>
            <w:pPr>
              <w:spacing w:after="0"/>
              <w:rPr>
                <w:sz w:val="13"/>
                <w:szCs w:val="13"/>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5"/>
              </w:rPr>
              <w:t xml:space="preserve">Total </w:t>
            </w:r>
            <w:r>
              <w:rPr>
                <w:rFonts w:ascii="Arial" w:cs="Arial" w:eastAsia="Arial" w:hAnsi="Arial"/>
                <w:sz w:val="21"/>
                <w:szCs w:val="21"/>
                <w:b w:val="1"/>
                <w:bCs w:val="1"/>
                <w:i w:val="1"/>
                <w:iCs w:val="1"/>
                <w:color w:val="auto"/>
                <w:w w:val="95"/>
                <w:vertAlign w:val="superscript"/>
              </w:rPr>
              <w:t>(g)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Arial" w:cs="Arial" w:eastAsia="Arial" w:hAnsi="Arial"/>
                <w:sz w:val="15"/>
                <w:szCs w:val="15"/>
                <w:b w:val="1"/>
                <w:bCs w:val="1"/>
                <w:color w:val="auto"/>
                <w:w w:val="95"/>
              </w:rPr>
              <w:t xml:space="preserve">Baltimore </w:t>
            </w:r>
            <w:r>
              <w:rPr>
                <w:rFonts w:ascii="Arial" w:cs="Arial" w:eastAsia="Arial" w:hAnsi="Arial"/>
                <w:sz w:val="20"/>
                <w:szCs w:val="20"/>
                <w:b w:val="1"/>
                <w:bCs w:val="1"/>
                <w:i w:val="1"/>
                <w:iCs w:val="1"/>
                <w:color w:val="auto"/>
                <w:w w:val="95"/>
                <w:vertAlign w:val="superscript"/>
              </w:rPr>
              <w:t>(d)</w:t>
            </w:r>
          </w:p>
        </w:tc>
        <w:tc>
          <w:tcPr>
            <w:tcW w:w="240" w:type="dxa"/>
            <w:vAlign w:val="bottom"/>
          </w:tcPr>
          <w:p>
            <w:pPr>
              <w:spacing w:after="0"/>
              <w:rPr>
                <w:sz w:val="15"/>
                <w:szCs w:val="15"/>
                <w:color w:val="auto"/>
              </w:rPr>
            </w:pPr>
          </w:p>
        </w:tc>
        <w:tc>
          <w:tcPr>
            <w:tcW w:w="980" w:type="dxa"/>
            <w:vAlign w:val="bottom"/>
            <w:gridSpan w:val="2"/>
          </w:tcPr>
          <w:p>
            <w:pPr>
              <w:jc w:val="center"/>
              <w:ind w:right="320"/>
              <w:spacing w:after="0" w:line="176" w:lineRule="exact"/>
              <w:rPr>
                <w:sz w:val="20"/>
                <w:szCs w:val="20"/>
                <w:color w:val="auto"/>
              </w:rPr>
            </w:pPr>
            <w:r>
              <w:rPr>
                <w:rFonts w:ascii="Arial" w:cs="Arial" w:eastAsia="Arial" w:hAnsi="Arial"/>
                <w:sz w:val="20"/>
                <w:szCs w:val="20"/>
                <w:b w:val="1"/>
                <w:bCs w:val="1"/>
                <w:color w:val="auto"/>
                <w:vertAlign w:val="subscript"/>
              </w:rPr>
              <w:t>US</w:t>
            </w:r>
            <w:r>
              <w:rPr>
                <w:rFonts w:ascii="Arial" w:cs="Arial" w:eastAsia="Arial" w:hAnsi="Arial"/>
                <w:sz w:val="8"/>
                <w:szCs w:val="8"/>
                <w:b w:val="1"/>
                <w:bCs w:val="1"/>
                <w:i w:val="1"/>
                <w:iCs w:val="1"/>
                <w:color w:val="auto"/>
              </w:rPr>
              <w:t xml:space="preserve"> (e)</w:t>
            </w:r>
          </w:p>
        </w:tc>
        <w:tc>
          <w:tcPr>
            <w:tcW w:w="100" w:type="dxa"/>
            <w:vAlign w:val="bottom"/>
          </w:tcPr>
          <w:p>
            <w:pPr>
              <w:spacing w:after="0"/>
              <w:rPr>
                <w:sz w:val="15"/>
                <w:szCs w:val="15"/>
                <w:color w:val="auto"/>
              </w:rPr>
            </w:pPr>
          </w:p>
        </w:tc>
        <w:tc>
          <w:tcPr>
            <w:tcW w:w="1180" w:type="dxa"/>
            <w:vAlign w:val="bottom"/>
            <w:gridSpan w:val="2"/>
          </w:tcPr>
          <w:p>
            <w:pPr>
              <w:spacing w:after="0" w:line="176" w:lineRule="exact"/>
              <w:rPr>
                <w:sz w:val="20"/>
                <w:szCs w:val="20"/>
                <w:color w:val="auto"/>
              </w:rPr>
            </w:pPr>
            <w:r>
              <w:rPr>
                <w:rFonts w:ascii="Arial" w:cs="Arial" w:eastAsia="Arial" w:hAnsi="Arial"/>
                <w:sz w:val="15"/>
                <w:szCs w:val="15"/>
                <w:b w:val="1"/>
                <w:bCs w:val="1"/>
                <w:color w:val="auto"/>
              </w:rPr>
              <w:t xml:space="preserve">Divestitures </w:t>
            </w:r>
            <w:r>
              <w:rPr>
                <w:rFonts w:ascii="Arial" w:cs="Arial" w:eastAsia="Arial" w:hAnsi="Arial"/>
                <w:sz w:val="20"/>
                <w:szCs w:val="20"/>
                <w:b w:val="1"/>
                <w:bCs w:val="1"/>
                <w:i w:val="1"/>
                <w:iCs w:val="1"/>
                <w:color w:val="auto"/>
                <w:vertAlign w:val="superscript"/>
              </w:rPr>
              <w:t>(f)</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Benefit for income taxes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loss </w:t>
            </w:r>
            <w:r>
              <w:rPr>
                <w:rFonts w:ascii="Arial" w:cs="Arial" w:eastAsia="Arial" w:hAnsi="Arial"/>
                <w:sz w:val="21"/>
                <w:szCs w:val="21"/>
                <w:i w:val="1"/>
                <w:iCs w:val="1"/>
                <w:color w:val="auto"/>
                <w:vertAlign w:val="superscript"/>
              </w:rPr>
              <w:t>(a)</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and other operating costs, net </w:t>
            </w:r>
            <w:r>
              <w:rPr>
                <w:rFonts w:ascii="Arial" w:cs="Arial" w:eastAsia="Arial" w:hAnsi="Arial"/>
                <w:sz w:val="21"/>
                <w:szCs w:val="21"/>
                <w:i w:val="1"/>
                <w:iCs w:val="1"/>
                <w:color w:val="auto"/>
                <w:vertAlign w:val="superscript"/>
              </w:rPr>
              <w:t>(b)</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(c)</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1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5" w:lineRule="exact"/>
        <w:rPr>
          <w:sz w:val="20"/>
          <w:szCs w:val="20"/>
          <w:color w:val="auto"/>
        </w:rPr>
      </w:pPr>
    </w:p>
    <w:p>
      <w:pPr>
        <w:jc w:val="both"/>
        <w:ind w:left="340" w:hanging="332"/>
        <w:spacing w:after="0" w:line="286" w:lineRule="auto"/>
        <w:tabs>
          <w:tab w:leader="none" w:pos="327" w:val="left"/>
        </w:tabs>
        <w:numPr>
          <w:ilvl w:val="0"/>
          <w:numId w:val="28"/>
        </w:numPr>
        <w:rPr>
          <w:rFonts w:ascii="Arial" w:cs="Arial" w:eastAsia="Arial" w:hAnsi="Arial"/>
          <w:sz w:val="9"/>
          <w:szCs w:val="9"/>
          <w:i w:val="1"/>
          <w:iCs w:val="1"/>
          <w:color w:val="212529"/>
        </w:rPr>
      </w:pPr>
      <w:r>
        <w:rPr>
          <w:rFonts w:ascii="Arial" w:cs="Arial" w:eastAsia="Arial" w:hAnsi="Arial"/>
          <w:sz w:val="13"/>
          <w:szCs w:val="13"/>
          <w:i w:val="1"/>
          <w:iCs w:val="1"/>
          <w:color w:val="auto"/>
        </w:rPr>
        <w:t>Other income for the three months ended March 31, 2022 primarily represents the net change in fair value of investments held by the Company, foreign exchange forward contracts, and the changes in the disputed claims liability related to Former Caesars’ bankruptcy. Other loss for the three months ended March 31, 2021 primarily represents a loss on the change in fair value of the derivative liability related to the 5% Convertible Notes, slightly offset by gains on foreign currency exchange and investments held by the Company.</w:t>
      </w:r>
    </w:p>
    <w:p>
      <w:pPr>
        <w:spacing w:after="0" w:line="5" w:lineRule="exact"/>
        <w:rPr>
          <w:rFonts w:ascii="Arial" w:cs="Arial" w:eastAsia="Arial" w:hAnsi="Arial"/>
          <w:sz w:val="9"/>
          <w:szCs w:val="9"/>
          <w:i w:val="1"/>
          <w:iCs w:val="1"/>
          <w:color w:val="212529"/>
        </w:rPr>
      </w:pPr>
    </w:p>
    <w:p>
      <w:pPr>
        <w:jc w:val="both"/>
        <w:ind w:left="340" w:hanging="332"/>
        <w:spacing w:after="0" w:line="257" w:lineRule="auto"/>
        <w:tabs>
          <w:tab w:leader="none" w:pos="327" w:val="left"/>
        </w:tabs>
        <w:numPr>
          <w:ilvl w:val="0"/>
          <w:numId w:val="28"/>
        </w:numPr>
        <w:rPr>
          <w:rFonts w:ascii="Arial" w:cs="Arial" w:eastAsia="Arial" w:hAnsi="Arial"/>
          <w:sz w:val="9"/>
          <w:szCs w:val="9"/>
          <w:i w:val="1"/>
          <w:iCs w:val="1"/>
          <w:color w:val="212529"/>
        </w:rPr>
      </w:pPr>
      <w:r>
        <w:rPr>
          <w:rFonts w:ascii="Arial" w:cs="Arial" w:eastAsia="Arial" w:hAnsi="Arial"/>
          <w:sz w:val="14"/>
          <w:szCs w:val="14"/>
          <w:i w:val="1"/>
          <w:iCs w:val="1"/>
          <w:color w:val="auto"/>
        </w:rPr>
        <w:t>Transaction and other operating costs, net for the three months ended March 31, 2022 primarily represents a gain resulting from insurance proceeds received in excess of the respective carrying value of the assets at Lake Charles. Transaction and other operating costs, net for the three months ended March 31, 2021 primarily represents costs related to the William Hill Acquisition and the Merger, various contract or license termination exit costs, professional services, other acquisition costs and severance costs.</w:t>
      </w:r>
    </w:p>
    <w:p>
      <w:pPr>
        <w:spacing w:after="0" w:line="356"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5" w:name="page46"/>
    <w:bookmarkEnd w:id="45"/>
    <w:p>
      <w:pPr>
        <w:ind w:left="320" w:hanging="312"/>
        <w:spacing w:after="0"/>
        <w:tabs>
          <w:tab w:leader="none" w:pos="320" w:val="left"/>
        </w:tabs>
        <w:numPr>
          <w:ilvl w:val="0"/>
          <w:numId w:val="29"/>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Other items primarily represent certain consulting and legal fees, rent for non-operating assets, relocation expenses, retention bonuses, and business optimization expenses.</w:t>
      </w:r>
    </w:p>
    <w:p>
      <w:pPr>
        <w:spacing w:after="0" w:line="45" w:lineRule="exact"/>
        <w:rPr>
          <w:rFonts w:ascii="Arial" w:cs="Arial" w:eastAsia="Arial" w:hAnsi="Arial"/>
          <w:sz w:val="19"/>
          <w:szCs w:val="19"/>
          <w:i w:val="1"/>
          <w:iCs w:val="1"/>
          <w:color w:val="212529"/>
          <w:vertAlign w:val="superscript"/>
        </w:rPr>
      </w:pPr>
    </w:p>
    <w:p>
      <w:pPr>
        <w:ind w:left="340" w:right="20" w:hanging="332"/>
        <w:spacing w:after="0" w:line="210" w:lineRule="auto"/>
        <w:tabs>
          <w:tab w:leader="none" w:pos="327" w:val="left"/>
        </w:tabs>
        <w:numPr>
          <w:ilvl w:val="0"/>
          <w:numId w:val="29"/>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Represents results of operations for Horseshoe Baltimore for periods prior to the consolidation resulting from the Company’s increase in its ownership interest on August 26, 2021. Such figures are based on unaudited internal financial statements and have not been reviewed by the Company’s auditors and do not conform to GAAP.</w:t>
      </w:r>
    </w:p>
    <w:p>
      <w:pPr>
        <w:spacing w:after="0" w:line="33" w:lineRule="exact"/>
        <w:rPr>
          <w:rFonts w:ascii="Arial" w:cs="Arial" w:eastAsia="Arial" w:hAnsi="Arial"/>
          <w:sz w:val="19"/>
          <w:szCs w:val="19"/>
          <w:i w:val="1"/>
          <w:iCs w:val="1"/>
          <w:color w:val="212529"/>
          <w:vertAlign w:val="superscript"/>
        </w:rPr>
      </w:pPr>
    </w:p>
    <w:p>
      <w:pPr>
        <w:ind w:left="340" w:hanging="332"/>
        <w:spacing w:after="0" w:line="217" w:lineRule="auto"/>
        <w:tabs>
          <w:tab w:leader="none" w:pos="336" w:val="left"/>
        </w:tabs>
        <w:numPr>
          <w:ilvl w:val="0"/>
          <w:numId w:val="29"/>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Pre-acquisition William Hill US represents results of operations for William Hill prior to the acquisition. Such figures are based on unaudited internal financial statements and have not been reviewed by the Company’s auditors and do not conform to GAAP.</w:t>
      </w:r>
    </w:p>
    <w:p>
      <w:pPr>
        <w:spacing w:after="0" w:line="34" w:lineRule="exact"/>
        <w:rPr>
          <w:rFonts w:ascii="Arial" w:cs="Arial" w:eastAsia="Arial" w:hAnsi="Arial"/>
          <w:sz w:val="19"/>
          <w:szCs w:val="19"/>
          <w:i w:val="1"/>
          <w:iCs w:val="1"/>
          <w:color w:val="212529"/>
          <w:vertAlign w:val="superscript"/>
        </w:rPr>
      </w:pPr>
    </w:p>
    <w:p>
      <w:pPr>
        <w:jc w:val="both"/>
        <w:ind w:left="340" w:hanging="332"/>
        <w:spacing w:after="0" w:line="224" w:lineRule="auto"/>
        <w:tabs>
          <w:tab w:leader="none" w:pos="334" w:val="left"/>
        </w:tabs>
        <w:numPr>
          <w:ilvl w:val="0"/>
          <w:numId w:val="29"/>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Divestitures for the three months ended March 31, 2021 include results of operations for MontBleu and Tropicana Evansville and discontinued operations of the Harrah’s Louisiana Downs, Caesars Southern Indiana and Caesars UK Group. Such figures are based on unaudited internal financial statements and have not been reviewed by the Company’s auditors and do not conform to GAAP.</w:t>
      </w:r>
    </w:p>
    <w:p>
      <w:pPr>
        <w:spacing w:after="0" w:line="35" w:lineRule="exact"/>
        <w:rPr>
          <w:rFonts w:ascii="Arial" w:cs="Arial" w:eastAsia="Arial" w:hAnsi="Arial"/>
          <w:sz w:val="19"/>
          <w:szCs w:val="19"/>
          <w:i w:val="1"/>
          <w:iCs w:val="1"/>
          <w:color w:val="212529"/>
          <w:vertAlign w:val="superscript"/>
        </w:rPr>
      </w:pPr>
    </w:p>
    <w:p>
      <w:pPr>
        <w:jc w:val="both"/>
        <w:ind w:left="340" w:hanging="332"/>
        <w:spacing w:after="0" w:line="228" w:lineRule="auto"/>
        <w:tabs>
          <w:tab w:leader="none" w:pos="327" w:val="left"/>
        </w:tabs>
        <w:numPr>
          <w:ilvl w:val="0"/>
          <w:numId w:val="29"/>
        </w:numPr>
        <w:rPr>
          <w:rFonts w:ascii="Arial" w:cs="Arial" w:eastAsia="Arial" w:hAnsi="Arial"/>
          <w:sz w:val="19"/>
          <w:szCs w:val="19"/>
          <w:i w:val="1"/>
          <w:iCs w:val="1"/>
          <w:color w:val="212529"/>
          <w:vertAlign w:val="superscript"/>
        </w:rPr>
      </w:pPr>
      <w:r>
        <w:rPr>
          <w:rFonts w:ascii="Arial" w:cs="Arial" w:eastAsia="Arial" w:hAnsi="Arial"/>
          <w:sz w:val="14"/>
          <w:szCs w:val="14"/>
          <w:i w:val="1"/>
          <w:iCs w:val="1"/>
          <w:color w:val="auto"/>
        </w:rPr>
        <w:t>Excludes results of operations from divestitures as detailed in (f) and includes results of operations of Horseshoe Baltimore for periods prior to the consolidation, and William Hill US prior to the acquisition for the relevant period.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facilities, proceeds from the issuance of debt and equity securities and proceeds from completed asset sales. Our cash requirements may fluctuate significantly depending on our decisions with respect to business acquisitions or divestitures and strategic capital and marketing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our cash on hand and revolving borrowing capacity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8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31, 2022</w:t>
            </w:r>
          </w:p>
        </w:tc>
      </w:tr>
      <w:tr>
        <w:trPr>
          <w:trHeight w:val="48"/>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Revolver capacity </w:t>
            </w:r>
            <w:r>
              <w:rPr>
                <w:rFonts w:ascii="Arial" w:cs="Arial" w:eastAsia="Arial" w:hAnsi="Arial"/>
                <w:sz w:val="21"/>
                <w:szCs w:val="21"/>
                <w:i w:val="1"/>
                <w:iCs w:val="1"/>
                <w:color w:val="auto"/>
                <w:vertAlign w:val="superscript"/>
              </w:rPr>
              <w:t>(a)</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2,030</w:t>
            </w:r>
          </w:p>
        </w:tc>
      </w:tr>
      <w:tr>
        <w:trPr>
          <w:trHeight w:val="216"/>
        </w:trPr>
        <w:tc>
          <w:tcPr>
            <w:tcW w:w="20" w:type="dxa"/>
            <w:vAlign w:val="bottom"/>
            <w:shd w:val="clear" w:color="auto" w:fill="CCEEFF"/>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20" w:type="dxa"/>
            <w:vAlign w:val="bottom"/>
            <w:tcBorders>
              <w:bottom w:val="single" w:sz="8" w:color="CCEEFF"/>
            </w:tcBorders>
          </w:tcPr>
          <w:p>
            <w:pPr>
              <w:spacing w:after="0"/>
              <w:rPr>
                <w:sz w:val="18"/>
                <w:szCs w:val="18"/>
                <w:color w:val="auto"/>
              </w:rPr>
            </w:pPr>
          </w:p>
        </w:tc>
        <w:tc>
          <w:tcPr>
            <w:tcW w:w="93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Available revolver capacity committed as regulatory requirement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9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3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Revolver capacity includes $995 million under our CEI Revolving Credit Facility, as amended, maturing in July 2025, $1,025 million under our CRC Revolving Credit Facility, maturing in December 2022 and $10 million under our Baltimore Revolving Credit Facility, maturing in July 2022.</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March 31, 2022, our operating activities generated operating cash outflows of $246 million, as compared to operating cash inflows of $61 million during the three months ended March 31, 2021 due to the results of operations described above. In addition, as a result of our strengthened financial position and recent repayments of debt and reduction in our borrowing rates, our interest rate payments have been reduced.</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On April 22, 2021, the Company completed the acquisition of William Hill PLC for </w:t>
      </w:r>
      <w:r>
        <w:rPr>
          <w:rFonts w:ascii="Arial" w:cs="Arial" w:eastAsia="Arial" w:hAnsi="Arial"/>
          <w:sz w:val="18"/>
          <w:szCs w:val="18"/>
          <w:color w:val="212529"/>
        </w:rPr>
        <w:t>£2.9 billion</w:t>
      </w:r>
      <w:r>
        <w:rPr>
          <w:rFonts w:ascii="Arial" w:cs="Arial" w:eastAsia="Arial" w:hAnsi="Arial"/>
          <w:sz w:val="18"/>
          <w:szCs w:val="18"/>
          <w:color w:val="auto"/>
        </w:rPr>
        <w:t xml:space="preserve">, or approximately </w:t>
      </w:r>
      <w:r>
        <w:rPr>
          <w:rFonts w:ascii="Arial" w:cs="Arial" w:eastAsia="Arial" w:hAnsi="Arial"/>
          <w:sz w:val="18"/>
          <w:szCs w:val="18"/>
          <w:color w:val="212529"/>
        </w:rPr>
        <w:t>$3.9 billion</w:t>
      </w:r>
      <w:r>
        <w:rPr>
          <w:rFonts w:ascii="Arial" w:cs="Arial" w:eastAsia="Arial" w:hAnsi="Arial"/>
          <w:sz w:val="18"/>
          <w:szCs w:val="18"/>
          <w:color w:val="auto"/>
        </w:rPr>
        <w:t>.</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William Hill Acquisition, on April 22, 2021, a newly formed subsidiary of the Company (the “Bridge Facility Borrower”) entered into a Credit Agreement (the “Bridge Credit Agreement”) with certain lenders party thereto and Deutsche Bank AG, London Branch, as administrative agent and collateral agent, pursuant to which the lenders party thereto provided the Debt Financing (as defined below). The Bridge Credit Agreement provides for (a) a 540-day £1.0 billion asset sale bridge facility, (b) a 60-day £503 million cash confirmation bridge facility and (c) a 540-day £116 million revolving credit facility (collectively, the “Debt Financing”). The proceeds of the bridge loan facilities provided under the Bridge Credit Agreement were used (i) to pay a portion of the cash consideration for the acquisition and (ii) to pay fees and expenses related to the acquisition and related transactions. The proceeds of the revolving credit facility under the Bridge Credit Agreement may be used for working capital and general corporate purposes. The £1.5 billion Interim Facilities Agreement (the “Interim Facilities Agreement”) entered into on October 6, 2020 with Deutsche Bank AG, London Branch and JPMorgan Chase Bank, N.A., and amended on December 11, 2020, was terminated upon the execution of the Bridge Credit Agreement. On May 12, 2021, we repaid the £503 million cash confirmation bridge facility. On June 14, 2021, the Company drew down the full £116 million from the revolving credit facility and the proceeds, in addition to excess Company cash, were used to make a partial repayment of the asset sale bridge facility in the amount of £700 million. Outstanding borrowings under the Bridge</w:t>
      </w:r>
    </w:p>
    <w:p>
      <w:pPr>
        <w:spacing w:after="0" w:line="33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 xml:space="preserve">Credit Agreement are expected to be repaid upon the sale of William Hill International, all of which are held for sale as of the date of the closing of the William Hill Acquisition and are reflected within discontinued operations. Certain investments acquired have been excluded from the held for sale asset group. On September 8, 2021, the Company entered into an agreement to sell William Hill International to 888 Holdings Plc for approximately £2.2 billion. The Company amended the agreement to sell the non-US assets of William Hill to 888 Holdings Plc for a revised enterprise value of approximately £2.0 billion. The amended agreement reflects a £250 million reduction in consideration payable at closing and up to £100 million as deferred consideration to be paid to the Company, subject to 888 Holdings Plc meeting certain 2023 financial targets. </w:t>
      </w:r>
      <w:r>
        <w:rPr>
          <w:rFonts w:ascii="Arial" w:cs="Arial" w:eastAsia="Arial" w:hAnsi="Arial"/>
          <w:sz w:val="17"/>
          <w:szCs w:val="17"/>
          <w:color w:val="212529"/>
        </w:rPr>
        <w:t>As a result of the amended sales agreement, the Company</w:t>
      </w:r>
      <w:r>
        <w:rPr>
          <w:rFonts w:ascii="Arial" w:cs="Arial" w:eastAsia="Arial" w:hAnsi="Arial"/>
          <w:sz w:val="17"/>
          <w:szCs w:val="17"/>
          <w:color w:val="auto"/>
        </w:rPr>
        <w:t xml:space="preserve"> </w:t>
      </w:r>
      <w:r>
        <w:rPr>
          <w:rFonts w:ascii="Arial" w:cs="Arial" w:eastAsia="Arial" w:hAnsi="Arial"/>
          <w:sz w:val="17"/>
          <w:szCs w:val="17"/>
          <w:color w:val="212529"/>
        </w:rPr>
        <w:t xml:space="preserve">recorded an impairment to assets held for sale of $329 million within discontinued operations during the three months ended March 31, 2022. </w:t>
      </w:r>
      <w:r>
        <w:rPr>
          <w:rFonts w:ascii="Arial" w:cs="Arial" w:eastAsia="Arial" w:hAnsi="Arial"/>
          <w:sz w:val="17"/>
          <w:szCs w:val="17"/>
          <w:color w:val="000000"/>
        </w:rPr>
        <w:t>After</w:t>
      </w:r>
      <w:r>
        <w:rPr>
          <w:rFonts w:ascii="Arial" w:cs="Arial" w:eastAsia="Arial" w:hAnsi="Arial"/>
          <w:sz w:val="17"/>
          <w:szCs w:val="17"/>
          <w:color w:val="212529"/>
        </w:rPr>
        <w:t xml:space="preserve"> </w:t>
      </w:r>
      <w:r>
        <w:rPr>
          <w:rFonts w:ascii="Arial" w:cs="Arial" w:eastAsia="Arial" w:hAnsi="Arial"/>
          <w:sz w:val="17"/>
          <w:szCs w:val="17"/>
          <w:color w:val="000000"/>
        </w:rPr>
        <w:t xml:space="preserve">repayment of the outstanding debt under the Bridge Credit Agreement, described above, the Company expects to receive approximately £585 million, or $785 million, subject to any permitted leakage, which is customary for sale transactions in the UK. In order to </w:t>
      </w:r>
      <w:r>
        <w:rPr>
          <w:rFonts w:ascii="Arial" w:cs="Arial" w:eastAsia="Arial" w:hAnsi="Arial"/>
          <w:sz w:val="17"/>
          <w:szCs w:val="17"/>
          <w:color w:val="212529"/>
        </w:rPr>
        <w:t>manage the risk of changes in the GBP</w:t>
      </w:r>
      <w:r>
        <w:rPr>
          <w:rFonts w:ascii="Arial" w:cs="Arial" w:eastAsia="Arial" w:hAnsi="Arial"/>
          <w:sz w:val="17"/>
          <w:szCs w:val="17"/>
          <w:color w:val="000000"/>
        </w:rPr>
        <w:t xml:space="preserve"> </w:t>
      </w:r>
      <w:r>
        <w:rPr>
          <w:rFonts w:ascii="Arial" w:cs="Arial" w:eastAsia="Arial" w:hAnsi="Arial"/>
          <w:sz w:val="17"/>
          <w:szCs w:val="17"/>
          <w:color w:val="212529"/>
        </w:rPr>
        <w:t>denominated sales price and expected proceeds, the Company has entered into foreign exchange forward contracts</w:t>
      </w:r>
      <w:r>
        <w:rPr>
          <w:rFonts w:ascii="Arial" w:cs="Arial" w:eastAsia="Arial" w:hAnsi="Arial"/>
          <w:sz w:val="17"/>
          <w:szCs w:val="17"/>
          <w:color w:val="000000"/>
        </w:rPr>
        <w:t>. The sale is subject to satisfaction of</w:t>
      </w:r>
      <w:r>
        <w:rPr>
          <w:rFonts w:ascii="Arial" w:cs="Arial" w:eastAsia="Arial" w:hAnsi="Arial"/>
          <w:sz w:val="17"/>
          <w:szCs w:val="17"/>
          <w:color w:val="212529"/>
        </w:rPr>
        <w:t xml:space="preserve"> </w:t>
      </w:r>
      <w:r>
        <w:rPr>
          <w:rFonts w:ascii="Arial" w:cs="Arial" w:eastAsia="Arial" w:hAnsi="Arial"/>
          <w:sz w:val="17"/>
          <w:szCs w:val="17"/>
          <w:color w:val="000000"/>
        </w:rPr>
        <w:t>customary closing conditions, including receipt of the approval of shareholders of 888 Holdings Plc and regulatory approvals, and is expected to close in the second quarter of 2022.</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the remainder of </w:t>
      </w:r>
      <w:r>
        <w:rPr>
          <w:rFonts w:ascii="Arial" w:cs="Arial" w:eastAsia="Arial" w:hAnsi="Arial"/>
          <w:sz w:val="16"/>
          <w:szCs w:val="16"/>
          <w:color w:val="212529"/>
        </w:rPr>
        <w:t xml:space="preserve">2022 </w:t>
      </w:r>
      <w:r>
        <w:rPr>
          <w:rFonts w:ascii="Arial" w:cs="Arial" w:eastAsia="Arial" w:hAnsi="Arial"/>
          <w:sz w:val="16"/>
          <w:szCs w:val="16"/>
          <w:color w:val="000000"/>
        </w:rPr>
        <w:t>are expected to increase compared to prior periods as a result of increased expansion projects, the rebranding of certain properties, implementation</w:t>
      </w:r>
      <w:r>
        <w:rPr>
          <w:rFonts w:ascii="Arial" w:cs="Arial" w:eastAsia="Arial" w:hAnsi="Arial"/>
          <w:sz w:val="16"/>
          <w:szCs w:val="16"/>
          <w:color w:val="212529"/>
        </w:rPr>
        <w:t xml:space="preserve"> </w:t>
      </w:r>
      <w:r>
        <w:rPr>
          <w:rFonts w:ascii="Arial" w:cs="Arial" w:eastAsia="Arial" w:hAnsi="Arial"/>
          <w:sz w:val="16"/>
          <w:szCs w:val="16"/>
          <w:color w:val="000000"/>
        </w:rPr>
        <w:t>and migration of our Caesars Sportsbook and iGaming applications in certain states to our Liberty platform and continued investment into new markets with our Caesars Sportsbook and iGaming applications in our Caesars Digital segment. In addition, we may, from time to time, seek to repurchase our outstanding indebtedness. Any such purchases may be funded by existing cash balances or the incurrence of debt. The amount and timing of any repurchase will be based on business and market conditions, capital availability, compliance with debt covenants and other considerations.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We continue to expand into new markets with projects such as Caesars Virginia, which is expected to be a $500 million premier destination resort casino. The property plans to include a 500 room hotel and casino including slot machines, table games, WSOP Room and Caesars Sportsbook. Additionally, Caesars announced the plans to expand into Nebraska with a $75 million development of a Harrah’s casino and racetrack.</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funded $400 million to escrow as of the closing of the Merger and have begun to utilize those funds in accordance with a three year capital expenditure plan in the state of New Jersey. This amount is currently included in restricted cash in Other assets, net. As of March 31, 2022, our restricted cash balance in the escrow account was $240 million for future capital expenditures in New Jersey.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condition of the extension of the casino operating contract and ground lease for Harrah’s New Orleans, we are also required to make a capital investment of $325 million in Harrah’s New Orleans by July 15, 2024. The capital investment will include a renovation and full interior and exterior redesign, updated casino floor, new culinary experiences and a new 340 room hotel tower as we are also in the process of rebranding the property as Caesars New Orleans. Renovations are expected to be substantially complete during the second half of 2024.</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On August 27, 2020, Hurricane Laura made landfall on Lake Charles as a Category 4 storm severely damaging the Isle of Capri Casino Lake Charles. During the three months ended March, 31, 2022, the Company reached a final settlement agreement with the insurance providers for $128 million, before our insurance deductible of $25 million, of which $94 million has been received by the Company related to damaged fixed assets and remediation costs. The remaining $9 million is included in Accounts receivable and is expected to be received in the second quarter of 2022. The property will remain closed u</w:t>
      </w:r>
      <w:r>
        <w:rPr>
          <w:rFonts w:ascii="Arial" w:cs="Arial" w:eastAsia="Arial" w:hAnsi="Arial"/>
          <w:sz w:val="17"/>
          <w:szCs w:val="17"/>
          <w:color w:val="000000"/>
        </w:rPr>
        <w:t>ntil the fourth quarter of</w:t>
      </w:r>
      <w:r>
        <w:rPr>
          <w:rFonts w:ascii="Arial" w:cs="Arial" w:eastAsia="Arial" w:hAnsi="Arial"/>
          <w:sz w:val="17"/>
          <w:szCs w:val="17"/>
          <w:color w:val="212529"/>
        </w:rPr>
        <w:t xml:space="preserve"> 2022 </w:t>
      </w:r>
      <w:r>
        <w:rPr>
          <w:rFonts w:ascii="Arial" w:cs="Arial" w:eastAsia="Arial" w:hAnsi="Arial"/>
          <w:sz w:val="17"/>
          <w:szCs w:val="17"/>
          <w:color w:val="000000"/>
        </w:rPr>
        <w:t>w</w:t>
      </w:r>
      <w:r>
        <w:rPr>
          <w:rFonts w:ascii="Arial" w:cs="Arial" w:eastAsia="Arial" w:hAnsi="Arial"/>
          <w:sz w:val="17"/>
          <w:szCs w:val="17"/>
          <w:color w:val="212529"/>
        </w:rPr>
        <w:t>hen construction of a new land-based casino is expected to be complete.</w:t>
      </w:r>
    </w:p>
    <w:p>
      <w:pPr>
        <w:spacing w:after="0" w:line="343"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7" w:name="page48"/>
    <w:bookmarkEnd w:id="47"/>
    <w:p>
      <w:pPr>
        <w:jc w:val="both"/>
        <w:spacing w:after="0" w:line="291" w:lineRule="auto"/>
        <w:rPr>
          <w:sz w:val="20"/>
          <w:szCs w:val="20"/>
          <w:color w:val="auto"/>
        </w:rPr>
      </w:pPr>
      <w:r>
        <w:rPr>
          <w:rFonts w:ascii="Arial" w:cs="Arial" w:eastAsia="Arial" w:hAnsi="Arial"/>
          <w:sz w:val="16"/>
          <w:szCs w:val="16"/>
          <w:color w:val="212529"/>
        </w:rPr>
        <w:t xml:space="preserve">Cash spent for capital expenditures totaled $210 million </w:t>
      </w:r>
      <w:r>
        <w:rPr>
          <w:rFonts w:ascii="Arial" w:cs="Arial" w:eastAsia="Arial" w:hAnsi="Arial"/>
          <w:sz w:val="16"/>
          <w:szCs w:val="16"/>
          <w:color w:val="000000"/>
        </w:rPr>
        <w:t>and $65 million</w:t>
      </w:r>
      <w:r>
        <w:rPr>
          <w:rFonts w:ascii="Arial" w:cs="Arial" w:eastAsia="Arial" w:hAnsi="Arial"/>
          <w:sz w:val="16"/>
          <w:szCs w:val="16"/>
          <w:color w:val="212529"/>
        </w:rPr>
        <w:t xml:space="preserve"> for the three months ended </w:t>
      </w:r>
      <w:r>
        <w:rPr>
          <w:rFonts w:ascii="Arial" w:cs="Arial" w:eastAsia="Arial" w:hAnsi="Arial"/>
          <w:sz w:val="16"/>
          <w:szCs w:val="16"/>
          <w:color w:val="000000"/>
        </w:rPr>
        <w:t>March 31, 2022 and 2021</w:t>
      </w:r>
      <w:r>
        <w:rPr>
          <w:rFonts w:ascii="Arial" w:cs="Arial" w:eastAsia="Arial" w:hAnsi="Arial"/>
          <w:sz w:val="16"/>
          <w:szCs w:val="16"/>
          <w:color w:val="212529"/>
        </w:rPr>
        <w:t>, respectively. The following table summarizes our capital expenditures for the three months ended March 31, 2022, and an estimated range of capital expenditures for the remainder of</w:t>
      </w:r>
    </w:p>
    <w:p>
      <w:pPr>
        <w:spacing w:after="0"/>
        <w:rPr>
          <w:sz w:val="20"/>
          <w:szCs w:val="20"/>
          <w:color w:val="auto"/>
        </w:rPr>
      </w:pPr>
      <w:r>
        <w:rPr>
          <w:rFonts w:ascii="Arial" w:cs="Arial" w:eastAsia="Arial" w:hAnsi="Arial"/>
          <w:sz w:val="18"/>
          <w:szCs w:val="18"/>
          <w:color w:val="auto"/>
        </w:rPr>
        <w:t>2022</w:t>
      </w:r>
      <w:r>
        <w:rPr>
          <w:rFonts w:ascii="Arial" w:cs="Arial" w:eastAsia="Arial" w:hAnsi="Arial"/>
          <w:sz w:val="18"/>
          <w:szCs w:val="18"/>
          <w:color w:val="212529"/>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35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Estimate of Remaining Capital Expenditures for</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March 31, 2022</w:t>
            </w:r>
          </w:p>
        </w:tc>
        <w:tc>
          <w:tcPr>
            <w:tcW w:w="400" w:type="dxa"/>
            <w:vAlign w:val="bottom"/>
          </w:tcPr>
          <w:p>
            <w:pPr>
              <w:spacing w:after="0"/>
              <w:rPr>
                <w:sz w:val="18"/>
                <w:szCs w:val="18"/>
                <w:color w:val="auto"/>
              </w:rPr>
            </w:pPr>
          </w:p>
        </w:tc>
        <w:tc>
          <w:tcPr>
            <w:tcW w:w="18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32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79"/>
              <w:spacing w:after="0" w:line="172" w:lineRule="exact"/>
              <w:rPr>
                <w:sz w:val="20"/>
                <w:szCs w:val="20"/>
                <w:color w:val="auto"/>
              </w:rPr>
            </w:pPr>
            <w:r>
              <w:rPr>
                <w:rFonts w:ascii="Arial" w:cs="Arial" w:eastAsia="Arial" w:hAnsi="Arial"/>
                <w:sz w:val="16"/>
                <w:szCs w:val="16"/>
                <w:b w:val="1"/>
                <w:bCs w:val="1"/>
                <w:color w:val="auto"/>
                <w:w w:val="93"/>
              </w:rPr>
              <w:t>Actual</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300"/>
              <w:spacing w:after="0" w:line="172" w:lineRule="exact"/>
              <w:rPr>
                <w:sz w:val="20"/>
                <w:szCs w:val="20"/>
                <w:color w:val="auto"/>
              </w:rPr>
            </w:pPr>
            <w:r>
              <w:rPr>
                <w:rFonts w:ascii="Arial" w:cs="Arial" w:eastAsia="Arial" w:hAnsi="Arial"/>
                <w:sz w:val="16"/>
                <w:szCs w:val="16"/>
                <w:b w:val="1"/>
                <w:bCs w:val="1"/>
                <w:color w:val="auto"/>
              </w:rPr>
              <w:t>Low</w:t>
            </w:r>
          </w:p>
        </w:tc>
        <w:tc>
          <w:tcPr>
            <w:tcW w:w="4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99"/>
              <w:spacing w:after="0" w:line="172" w:lineRule="exact"/>
              <w:rPr>
                <w:sz w:val="20"/>
                <w:szCs w:val="20"/>
                <w:color w:val="auto"/>
              </w:rPr>
            </w:pPr>
            <w:r>
              <w:rPr>
                <w:rFonts w:ascii="Arial" w:cs="Arial" w:eastAsia="Arial" w:hAnsi="Arial"/>
                <w:sz w:val="16"/>
                <w:szCs w:val="16"/>
                <w:b w:val="1"/>
                <w:bCs w:val="1"/>
                <w:color w:val="auto"/>
              </w:rPr>
              <w:t>High</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Indiana racing operations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7"/>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Growth and renovation projects</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Maintenance projects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2"/>
              </w:rPr>
              <w:t>Total estimated capital expenditures from unrestricted cash and insurance proceeds</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r>
      <w:tr>
        <w:trPr>
          <w:trHeight w:val="207"/>
        </w:trPr>
        <w:tc>
          <w:tcPr>
            <w:tcW w:w="20" w:type="dxa"/>
            <w:vAlign w:val="bottom"/>
          </w:tcPr>
          <w:p>
            <w:pPr>
              <w:spacing w:after="0"/>
              <w:rPr>
                <w:sz w:val="17"/>
                <w:szCs w:val="17"/>
                <w:color w:val="auto"/>
              </w:rPr>
            </w:pPr>
          </w:p>
        </w:tc>
        <w:tc>
          <w:tcPr>
            <w:tcW w:w="566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significant portion of our liquidity needs are for debt service and payments associated with our leases. Our estimated debt service (including principal and interest) is approximately $593 million for the remainder of 2022. We also lease certain real property assets from third parties, including VICI and GLPI. We estimate our lease payments to VICI and GLPI to be approximately $898 million for the remainder of 2022.</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periodically divests assets that it does not consider core to its business to raise capital or, in some cases, to comply with conditions, terms, obligations or restrictions imposed by antitrust, gaming and other regulatory entities. </w:t>
      </w:r>
      <w:r>
        <w:rPr>
          <w:rFonts w:ascii="Arial" w:cs="Arial" w:eastAsia="Arial" w:hAnsi="Arial"/>
          <w:sz w:val="18"/>
          <w:szCs w:val="18"/>
          <w:color w:val="212529"/>
        </w:rPr>
        <w:t>We expect to divest of William Hill International in the second quarter</w:t>
      </w:r>
      <w:r>
        <w:rPr>
          <w:rFonts w:ascii="Arial" w:cs="Arial" w:eastAsia="Arial" w:hAnsi="Arial"/>
          <w:sz w:val="18"/>
          <w:szCs w:val="18"/>
          <w:color w:val="auto"/>
        </w:rPr>
        <w:t xml:space="preserve"> </w:t>
      </w:r>
      <w:r>
        <w:rPr>
          <w:rFonts w:ascii="Arial" w:cs="Arial" w:eastAsia="Arial" w:hAnsi="Arial"/>
          <w:sz w:val="18"/>
          <w:szCs w:val="18"/>
          <w:color w:val="212529"/>
        </w:rPr>
        <w:t>of 2022, as described above.</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1, 2020, the Company entered into a definitive agreement to sell the operations of Baton Rouge to CQ Holding Company, Inc. The transaction has received regulatory approvals and is expected to close in the second quarter of 2022, subject to other customary closing conditions.</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If the agreed upon selling price for future divestitures does not exceed the carrying value of the assets, we may be required to record additional impairment charges in future periods which may be material.</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529"/>
        </w:rPr>
        <w:t>expect that our current liquidity, cash flows from operations, availability of borrowings under committed credit facilities and proceeds from the</w:t>
      </w:r>
      <w:r>
        <w:rPr>
          <w:rFonts w:ascii="Arial" w:cs="Arial" w:eastAsia="Arial" w:hAnsi="Arial"/>
          <w:sz w:val="17"/>
          <w:szCs w:val="17"/>
          <w:color w:val="auto"/>
        </w:rPr>
        <w:t xml:space="preserve"> </w:t>
      </w:r>
      <w:r>
        <w:rPr>
          <w:rFonts w:ascii="Arial" w:cs="Arial" w:eastAsia="Arial" w:hAnsi="Arial"/>
          <w:sz w:val="17"/>
          <w:szCs w:val="17"/>
          <w:color w:val="212529"/>
        </w:rPr>
        <w:t>announced asset sales will be sufficient to fund our operations, capital requirements and service our outstanding indebtedness for the next twelve months. However, we cannot be certain that the COVID-19 public health emergency will not adversely affect our business, financial condition and results of operations or cause disruption in the financial markets that could adversely affect ability to access additional capital.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CRC Credit Agreement, the CEI Revolving Credit Facility, the Baltimore Term Loan and the indentures related to the CEI Senior Secured Notes, the CEI Senior Notes, the CRC Senior Secured Notes and the Senior Notes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CRC Revolving Credit Facility and the CEI Revolving Credit Facility include a maximum first-priority net senior secured leverage ratio financial covenant of 6.35:1, which is applicable solely to the extent that certain testing conditions are satisfied. The Baltimore Revolving Credit Facility includes a senior secured leverage ratio financial covenant of 5.0:1. Failure to comply with such covenants could result in an acceleration of the maturity of indebtedness outstanding under the relevant debt document.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Leases and VICI Leases contain certain covenants requiring minimum capital expenditures based on a percentage of net revenues along with maintaining certain financial ratios.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Bridge Credit Agreement associated with the planned divestiture of William Hill International, which is presented within liabilities held for sale, includes a financial covenant requiring the Bridge Facility Borrower to comply with a maximum total net leverage ratio of 10.50 to 1.00. The borrowings under the Bridge Credit Agreement are guaranteed by the Bridge Facility Borrower and the Bridge Facility Borrower’s material wholly-owned subsidiaries (subject to exceptions), and are secured by a</w:t>
      </w:r>
    </w:p>
    <w:p>
      <w:pPr>
        <w:spacing w:after="0" w:line="34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pledge of substantially all of the existing and future property and assets of the Bridge Facility Borrower and the guarantors (subject to exceptions). Additionally, no financial covenants are related to the $918 million of debt from the two trust deeds assumed in the William Hill Acquisition, which are also held for sale.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March 31, 2022, we have acquired 223,823 shares of common stock under the program at an aggregate value of $9 million and an average of $40.80 per share. No shares were repurchased during the </w:t>
      </w:r>
      <w:r>
        <w:rPr>
          <w:rFonts w:ascii="Arial" w:cs="Arial" w:eastAsia="Arial" w:hAnsi="Arial"/>
          <w:sz w:val="18"/>
          <w:szCs w:val="18"/>
          <w:color w:val="212529"/>
        </w:rPr>
        <w:t>three months ended March 31, 2022</w:t>
      </w:r>
      <w:r>
        <w:rPr>
          <w:rFonts w:ascii="Arial" w:cs="Arial" w:eastAsia="Arial" w:hAnsi="Arial"/>
          <w:sz w:val="18"/>
          <w:szCs w:val="18"/>
          <w:color w:val="auto"/>
        </w:rPr>
        <w:t xml:space="preserve"> and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assumed various long-term debt arrangements, financing obligations and leases, previously described, associated with Former Caesars as result of the consummation of the Merger and William Hill related to the William Hill Acquisition. We also consolidate additional debt related to Horseshoe Baltimore. See Note 2 for a description of the Merger, the William Hill Acquisition and the consolidation of Horseshoe Baltimore. See Note 8 for additional contractual obligations. There have been no other material changes during the three months ended March 31, 2022 to our contractual obligations as disclosed in Part II, Item 7 of our Annual Report on Form 10-K for the year ended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faced with certain contingencies, from time to time, involving litigation, claims, assessments, environmental remediation or compliance. These commitments and contingencies are discussed in greater detail in “Part II, Item 1. Legal Proceedings” and Note 8 to our unaudited Financial Statements, both of which are included elsewhere in this report. In addition, new competition among retail and online operations may have a material adverse effect on our revenues and could have a similar adverse effect on our liquidity. See “Part I, Item 1A. Risk Factors—Risks Related to Our Business” which is included elsewhere in our Annual Report on Form 10-K for the year ended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2021. There have been no material changes since December 31, 2021. We have not substantively changed the application of our policies and there have been no material changes in assumptions or estimation techniques used as compared to those described in our Annual Report on Form 10-K for the year ended December 31, 2021.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and foreign exchange risks associated with certain transactions.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2022, long-term variable-rate borrowings totaled $6.6 billion under the CRC term loans and the Baltimore term loan and no amounts were outstanding under the CEI Revolving Credit Facility, CRC Revolving Credit Facility and Baltimore Revolving Credit Facility. Long-term variable-rate borrowings under the CRC term loans and the Baltimore term loan represented approximately 46% of consolidated long-term debt as of March 31, 2022. We have entered into four interest rate swap agreements to fix the interest rate on $1.3 billion of variable rate debt, and $5.3 billion of debt remains subject to variable interest rates for the term of the agreements. During the three months ended March 31, 2022, the weighted average interest rates on our variable and fixed rate debt were 3.22% and 6.42%, respectively.</w:t>
      </w:r>
    </w:p>
    <w:p>
      <w:pPr>
        <w:spacing w:after="0" w:line="359"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9" w:name="page50"/>
    <w:bookmarkEnd w:id="49"/>
    <w:p>
      <w:pPr>
        <w:jc w:val="both"/>
        <w:spacing w:after="0" w:line="275" w:lineRule="auto"/>
        <w:rPr>
          <w:sz w:val="20"/>
          <w:szCs w:val="20"/>
          <w:color w:val="auto"/>
        </w:rPr>
      </w:pPr>
      <w:r>
        <w:rPr>
          <w:rFonts w:ascii="Arial" w:cs="Arial" w:eastAsia="Arial" w:hAnsi="Arial"/>
          <w:sz w:val="17"/>
          <w:szCs w:val="17"/>
          <w:color w:val="auto"/>
        </w:rPr>
        <w:t>LIBOR is expected to be discontinued by lending institutions after December 31, 2021 for new debt agreements and after June 30, 2023 no additional LIBOR rates will be available. We have variable rate debt instruments which are subject to LIBOR interest rates plus a margin or base rate. Our CRC Credit Facility and CEI Revolving Credit Facility contain alternative rates in the event that LIBOR is no longer available. The Baltimore Term Loan has been amended and we intend to work with our lenders to ensure any transition away from LIBOR will have minimal impact on our financial condition, but can provide no assurances regarding the impact of the discontinuation of LIBOR. Our interest rate swaps mature on December 31, 2022.</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t>
      </w:r>
      <w:r>
        <w:rPr>
          <w:rFonts w:ascii="Arial" w:cs="Arial" w:eastAsia="Arial" w:hAnsi="Arial"/>
          <w:sz w:val="18"/>
          <w:szCs w:val="18"/>
          <w:color w:val="212529"/>
        </w:rPr>
        <w:t>he Company has entered into several foreign exchange forward contracts with third parties to hedge the risk of fluctuations in the foreign exchange rates</w:t>
      </w:r>
      <w:r>
        <w:rPr>
          <w:rFonts w:ascii="Arial" w:cs="Arial" w:eastAsia="Arial" w:hAnsi="Arial"/>
          <w:sz w:val="18"/>
          <w:szCs w:val="18"/>
          <w:color w:val="auto"/>
        </w:rPr>
        <w:t xml:space="preserve"> </w:t>
      </w:r>
      <w:r>
        <w:rPr>
          <w:rFonts w:ascii="Arial" w:cs="Arial" w:eastAsia="Arial" w:hAnsi="Arial"/>
          <w:sz w:val="18"/>
          <w:szCs w:val="18"/>
          <w:color w:val="212529"/>
        </w:rPr>
        <w:t xml:space="preserve">between USD and GBP from the expected proceeds of the sale of William Hill International. During the three months ended March 31, 2022 and 2021, </w:t>
      </w:r>
      <w:r>
        <w:rPr>
          <w:rFonts w:ascii="Arial" w:cs="Arial" w:eastAsia="Arial" w:hAnsi="Arial"/>
          <w:sz w:val="18"/>
          <w:szCs w:val="18"/>
          <w:color w:val="000000"/>
        </w:rPr>
        <w:t>the</w:t>
      </w:r>
      <w:r>
        <w:rPr>
          <w:rFonts w:ascii="Arial" w:cs="Arial" w:eastAsia="Arial" w:hAnsi="Arial"/>
          <w:sz w:val="18"/>
          <w:szCs w:val="18"/>
          <w:color w:val="212529"/>
        </w:rPr>
        <w:t xml:space="preserve"> </w:t>
      </w:r>
      <w:r>
        <w:rPr>
          <w:rFonts w:ascii="Arial" w:cs="Arial" w:eastAsia="Arial" w:hAnsi="Arial"/>
          <w:sz w:val="18"/>
          <w:szCs w:val="18"/>
          <w:color w:val="000000"/>
        </w:rPr>
        <w:t xml:space="preserve">Company </w:t>
      </w:r>
      <w:r>
        <w:rPr>
          <w:rFonts w:ascii="Arial" w:cs="Arial" w:eastAsia="Arial" w:hAnsi="Arial"/>
          <w:sz w:val="18"/>
          <w:szCs w:val="18"/>
          <w:color w:val="212529"/>
        </w:rPr>
        <w:t>recorded total gains of $21 million and $1 million, respectively,</w:t>
      </w:r>
      <w:r>
        <w:rPr>
          <w:rFonts w:ascii="Arial" w:cs="Arial" w:eastAsia="Arial" w:hAnsi="Arial"/>
          <w:sz w:val="18"/>
          <w:szCs w:val="18"/>
          <w:color w:val="000000"/>
        </w:rPr>
        <w:t xml:space="preserve"> related to these forward contracts. </w:t>
      </w:r>
      <w:r>
        <w:rPr>
          <w:rFonts w:ascii="Arial" w:cs="Arial" w:eastAsia="Arial" w:hAnsi="Arial"/>
          <w:sz w:val="18"/>
          <w:szCs w:val="18"/>
          <w:color w:val="212529"/>
        </w:rPr>
        <w:t>The forward term of these contracts ends in</w:t>
      </w:r>
      <w:r>
        <w:rPr>
          <w:rFonts w:ascii="Arial" w:cs="Arial" w:eastAsia="Arial" w:hAnsi="Arial"/>
          <w:sz w:val="18"/>
          <w:szCs w:val="18"/>
          <w:color w:val="000000"/>
        </w:rPr>
        <w:t xml:space="preserve"> </w:t>
      </w:r>
      <w:r>
        <w:rPr>
          <w:rFonts w:ascii="Arial" w:cs="Arial" w:eastAsia="Arial" w:hAnsi="Arial"/>
          <w:sz w:val="18"/>
          <w:szCs w:val="18"/>
          <w:color w:val="212529"/>
        </w:rPr>
        <w:t>June 2022.</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were no other material quantitative changes in our market risk exposure, or how such risks are managed, for the three months ended March 31, 2022.</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Controls and Procedures</w:t>
      </w:r>
    </w:p>
    <w:p>
      <w:pPr>
        <w:spacing w:after="0" w:line="16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2"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Except as noted below, there were no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in the process of integrating William Hill PLC into our internal controls over financial reporting. As a result of these integration activities, certain controls will be evaluated and may be changed.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Excluding the William Hill Acquisition, there were no changes in our internal controls over financial reporting during the three months ended March 31, 2022 that have materially affected, or are reasonable likely to materially affect, our internal controls over financial reporting.</w:t>
      </w: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BF2115"/>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Legal Proceedings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our “Legal Proceedings,” refer to Note 8 to our Consolidated Condensed Financial Statements located elsewhere in this Quarterly Report on Form 10-Q and Note 11 to our Consolidated Financial Statements included in our Annual Report on Form 10-K for the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Cautionary Statements Regarding Forward-Looking Information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2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the COVID-19 public health emergency on our business and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74" w:lineRule="exact"/>
        <w:rPr>
          <w:rFonts w:ascii="Arial" w:cs="Arial" w:eastAsia="Arial" w:hAnsi="Arial"/>
          <w:sz w:val="17"/>
          <w:szCs w:val="17"/>
          <w:color w:val="auto"/>
        </w:rPr>
      </w:pPr>
    </w:p>
    <w:p>
      <w:pPr>
        <w:ind w:left="660" w:hanging="652"/>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including expansion of internet betting and gaming, and the impact of those trends on our business and results of operations;</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consummate the announced disposition of William Hill International and the Belle of Baton Rouge;</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intention to pursue development opportunities and additional acquisitions and divestitures;</w:t>
      </w:r>
    </w:p>
    <w:p>
      <w:pPr>
        <w:spacing w:after="0" w:line="63" w:lineRule="exact"/>
        <w:rPr>
          <w:rFonts w:ascii="Arial" w:cs="Arial" w:eastAsia="Arial" w:hAnsi="Arial"/>
          <w:sz w:val="18"/>
          <w:szCs w:val="18"/>
          <w:color w:val="auto"/>
        </w:rPr>
      </w:pPr>
    </w:p>
    <w:p>
      <w:pPr>
        <w:ind w:left="660" w:hanging="652"/>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 and</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factors impacting our ability to successfully operate our digital betting and iGaming platform and expand its user base.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forward-looking statements are based upon underlying assumptions, including any assumptions mentioned with the specific statements that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These risks and uncertainties include: (a) the extent and duration of the impact of COVID-19, inflation, supply chain challenges and labor shortages on our business, financial results and liquidity; (b) impacts of economic and market conditions; (c) our ability to successfully operate our digital betting and iGaming platform and expand its user base; (d) risks associated with our leverage and our ability to reduce our leverage, including with proceeds of the sale of William Hill International; (e) the effects of competition and regulation on our business and results of operations; and (f) additional factors discussed in the sections entitled “Risk Factors” and “Management’s Discussion and Analysis of Financial Condition and Results of Operations” contained in this Quarterly Report on Form 10-Q and our most recent Annual Reports on Form 10-K as filed with the Securities and Exchange Commission. Actual results may differ materially from any future results, performance or achievements expressed or implied by such statements and forward-looking statements should not be regarded as a representation by us or any other person that the forward-looking statements will be achieved.</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these forward-looking statements speak only as of the date on which the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w:t>
      </w:r>
    </w:p>
    <w:p>
      <w:pPr>
        <w:spacing w:after="0" w:line="350"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314"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type w:val="continuous"/>
        </w:sectPr>
      </w:pPr>
    </w:p>
    <w:bookmarkStart w:id="51" w:name="page52"/>
    <w:bookmarkEnd w:id="51"/>
    <w:p>
      <w:pPr>
        <w:ind w:right="20"/>
        <w:spacing w:after="0" w:line="277" w:lineRule="auto"/>
        <w:rPr>
          <w:sz w:val="20"/>
          <w:szCs w:val="20"/>
          <w:color w:val="auto"/>
        </w:rPr>
      </w:pPr>
      <w:r>
        <w:rPr>
          <w:rFonts w:ascii="Arial" w:cs="Arial" w:eastAsia="Arial" w:hAnsi="Arial"/>
          <w:sz w:val="18"/>
          <w:szCs w:val="18"/>
          <w:color w:val="auto"/>
        </w:rPr>
        <w:t>extent that reports issued by securities analysts contain projections, forecasts or opinions, those reports are not our responsibility and are not endorsed by us.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1A. Risk Factors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10-K for the year ended December 31, 2021. There have been no material changes to those risk factors during the three months ended March 31, 2022.</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5.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2" w:name="page53"/>
    <w:bookmarkEnd w:id="52"/>
    <w:p>
      <w:pPr>
        <w:spacing w:after="0"/>
        <w:rPr>
          <w:sz w:val="20"/>
          <w:szCs w:val="20"/>
          <w:color w:val="auto"/>
        </w:rPr>
      </w:pPr>
      <w:r>
        <w:rPr>
          <w:rFonts w:ascii="Arial" w:cs="Arial" w:eastAsia="Arial" w:hAnsi="Arial"/>
          <w:sz w:val="19"/>
          <w:szCs w:val="19"/>
          <w:b w:val="1"/>
          <w:bCs w:val="1"/>
          <w:color w:val="BF2115"/>
        </w:rPr>
        <w:t>Item 6. Exhibits</w:t>
      </w:r>
    </w:p>
    <w:p>
      <w:pPr>
        <w:sectPr>
          <w:pgSz w:w="11900" w:h="16838" w:orient="portrait"/>
          <w:cols w:equalWidth="0" w:num="1">
            <w:col w:w="11020"/>
          </w:cols>
          <w:pgMar w:left="320" w:top="1314" w:right="55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2500" w:type="dxa"/>
            <w:vAlign w:val="bottom"/>
          </w:tcPr>
          <w:p>
            <w:pPr>
              <w:spacing w:after="0"/>
              <w:rPr>
                <w:sz w:val="14"/>
                <w:szCs w:val="14"/>
                <w:color w:val="auto"/>
              </w:rPr>
            </w:pPr>
          </w:p>
        </w:tc>
        <w:tc>
          <w:tcPr>
            <w:tcW w:w="5520" w:type="dxa"/>
            <w:vAlign w:val="bottom"/>
            <w:gridSpan w:val="2"/>
            <w:vMerge w:val="restart"/>
          </w:tcPr>
          <w:p>
            <w:pPr>
              <w:ind w:left="74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05"/>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500" w:type="dxa"/>
            <w:vAlign w:val="bottom"/>
          </w:tcPr>
          <w:p>
            <w:pPr>
              <w:spacing w:after="0"/>
              <w:rPr>
                <w:sz w:val="17"/>
                <w:szCs w:val="17"/>
                <w:color w:val="auto"/>
              </w:rPr>
            </w:pPr>
          </w:p>
        </w:tc>
        <w:tc>
          <w:tcPr>
            <w:tcW w:w="5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9"/>
                <w:szCs w:val="19"/>
                <w:color w:val="auto"/>
              </w:rPr>
            </w:pPr>
          </w:p>
        </w:tc>
        <w:tc>
          <w:tcPr>
            <w:tcW w:w="8020" w:type="dxa"/>
            <w:vAlign w:val="bottom"/>
            <w:tcBorders>
              <w:top w:val="single" w:sz="8" w:color="auto"/>
            </w:tcBorders>
            <w:gridSpan w:val="3"/>
          </w:tcPr>
          <w:p>
            <w:pPr>
              <w:ind w:left="20"/>
              <w:spacing w:after="0"/>
              <w:rPr>
                <w:rFonts w:ascii="Arial" w:cs="Arial" w:eastAsia="Arial" w:hAnsi="Arial"/>
                <w:sz w:val="16"/>
                <w:szCs w:val="16"/>
                <w:color w:val="0000FF"/>
              </w:rPr>
            </w:pPr>
            <w:hyperlink r:id="rId80">
              <w:r>
                <w:rPr>
                  <w:rFonts w:ascii="Arial" w:cs="Arial" w:eastAsia="Arial" w:hAnsi="Arial"/>
                  <w:sz w:val="16"/>
                  <w:szCs w:val="16"/>
                  <w:color w:val="0000FF"/>
                </w:rPr>
                <w:t>Composite Certificate of Incorporation of Caesars Entertainment, Inc.</w:t>
              </w:r>
            </w:hyperlink>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4540" w:type="dxa"/>
            <w:vAlign w:val="bottom"/>
            <w:tcBorders>
              <w:top w:val="single" w:sz="8" w:color="0000FF"/>
            </w:tcBorders>
            <w:gridSpan w:val="2"/>
          </w:tcPr>
          <w:p>
            <w:pPr>
              <w:ind w:left="20"/>
              <w:spacing w:after="0"/>
              <w:rPr>
                <w:rFonts w:ascii="Arial" w:cs="Arial" w:eastAsia="Arial" w:hAnsi="Arial"/>
                <w:sz w:val="16"/>
                <w:szCs w:val="16"/>
                <w:color w:val="0000FF"/>
              </w:rPr>
            </w:pPr>
            <w:hyperlink r:id="rId81">
              <w:r>
                <w:rPr>
                  <w:rFonts w:ascii="Arial" w:cs="Arial" w:eastAsia="Arial" w:hAnsi="Arial"/>
                  <w:sz w:val="16"/>
                  <w:szCs w:val="16"/>
                  <w:color w:val="0000FF"/>
                </w:rPr>
                <w:t>Bylaws of Caesars Entertainment, Inc.</w:t>
              </w:r>
            </w:hyperlink>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900" w:right="180" w:hanging="631"/>
        <w:spacing w:after="0" w:line="275"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82">
        <w:r>
          <w:rPr>
            <w:rFonts w:ascii="Arial" w:cs="Arial" w:eastAsia="Arial" w:hAnsi="Arial"/>
            <w:sz w:val="16"/>
            <w:szCs w:val="16"/>
            <w:u w:val="single" w:color="auto"/>
            <w:color w:val="0000FF"/>
          </w:rPr>
          <w:t>Second Amendment to Credit Agreement, dated as of January 26, 2022, by and between Caesars Entertainment, Inc. and</w:t>
        </w:r>
      </w:hyperlink>
      <w:r>
        <w:rPr>
          <w:rFonts w:ascii="Arial" w:cs="Arial" w:eastAsia="Arial" w:hAnsi="Arial"/>
          <w:sz w:val="16"/>
          <w:szCs w:val="16"/>
          <w:u w:val="single" w:color="auto"/>
          <w:color w:val="0000FF"/>
        </w:rPr>
        <w:t xml:space="preserve"> </w:t>
      </w:r>
      <w:hyperlink r:id="rId82">
        <w:r>
          <w:rPr>
            <w:rFonts w:ascii="Arial" w:cs="Arial" w:eastAsia="Arial" w:hAnsi="Arial"/>
            <w:sz w:val="16"/>
            <w:szCs w:val="16"/>
            <w:u w:val="single" w:color="auto"/>
            <w:color w:val="0000FF"/>
          </w:rPr>
          <w:t>JPMorgan Chase Bank, N.A., as administrative agent.</w:t>
        </w:r>
      </w:hyperlink>
    </w:p>
    <w:p>
      <w:pPr>
        <w:spacing w:after="0" w:line="64" w:lineRule="exact"/>
        <w:rPr>
          <w:sz w:val="20"/>
          <w:szCs w:val="20"/>
          <w:color w:val="auto"/>
        </w:rPr>
      </w:pPr>
    </w:p>
    <w:p>
      <w:pPr>
        <w:ind w:left="22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10.2†</w:t>
      </w:r>
      <w:r>
        <w:rPr>
          <w:sz w:val="20"/>
          <w:szCs w:val="20"/>
          <w:color w:val="auto"/>
        </w:rPr>
        <w:tab/>
      </w:r>
      <w:hyperlink r:id="rId83">
        <w:r>
          <w:rPr>
            <w:rFonts w:ascii="Arial" w:cs="Arial" w:eastAsia="Arial" w:hAnsi="Arial"/>
            <w:sz w:val="14"/>
            <w:szCs w:val="14"/>
            <w:u w:val="single" w:color="auto"/>
            <w:color w:val="0000FF"/>
          </w:rPr>
          <w:t>Restricted Stock Unit Award Agreement by and between Caesars Entertainment, Inc. and Thomas R. Reeg, dated February</w:t>
        </w:r>
      </w:hyperlink>
    </w:p>
    <w:p>
      <w:pPr>
        <w:spacing w:after="0" w:line="33" w:lineRule="exact"/>
        <w:rPr>
          <w:sz w:val="20"/>
          <w:szCs w:val="20"/>
          <w:color w:val="auto"/>
        </w:rPr>
      </w:pPr>
    </w:p>
    <w:p>
      <w:pPr>
        <w:ind w:left="900"/>
        <w:spacing w:after="0"/>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25, 2022.</w:t>
        </w:r>
      </w:hyperlink>
    </w:p>
    <w:p>
      <w:pPr>
        <w:spacing w:after="0" w:line="86"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31.1</w:t>
      </w:r>
      <w:r>
        <w:rPr>
          <w:sz w:val="20"/>
          <w:szCs w:val="20"/>
          <w:color w:val="auto"/>
        </w:rPr>
        <w:tab/>
      </w:r>
      <w:hyperlink w:anchor="page55">
        <w:r>
          <w:rPr>
            <w:rFonts w:ascii="Arial" w:cs="Arial" w:eastAsia="Arial" w:hAnsi="Arial"/>
            <w:sz w:val="14"/>
            <w:szCs w:val="14"/>
            <w:u w:val="single" w:color="auto"/>
            <w:color w:val="0000FF"/>
          </w:rPr>
          <w:t>Certification of Thomas R. Reeg pursuant to Rule 13a-14a and Rule 15d-14(a)</w:t>
        </w:r>
      </w:hyperlink>
    </w:p>
    <w:p>
      <w:pPr>
        <w:spacing w:after="0" w:line="113"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31.2</w:t>
      </w:r>
      <w:r>
        <w:rPr>
          <w:sz w:val="20"/>
          <w:szCs w:val="20"/>
          <w:color w:val="auto"/>
        </w:rPr>
        <w:tab/>
      </w:r>
      <w:hyperlink w:anchor="page56">
        <w:r>
          <w:rPr>
            <w:rFonts w:ascii="Arial" w:cs="Arial" w:eastAsia="Arial" w:hAnsi="Arial"/>
            <w:sz w:val="14"/>
            <w:szCs w:val="14"/>
            <w:u w:val="single" w:color="auto"/>
            <w:color w:val="0000FF"/>
          </w:rPr>
          <w:t>Certification of Bret Yunker pursuant to Rule 13a-14a and Rule 15d-14(a)</w:t>
        </w:r>
      </w:hyperlink>
    </w:p>
    <w:p>
      <w:pPr>
        <w:spacing w:after="0" w:line="113"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32.1</w:t>
      </w:r>
      <w:r>
        <w:rPr>
          <w:sz w:val="20"/>
          <w:szCs w:val="20"/>
          <w:color w:val="auto"/>
        </w:rPr>
        <w:tab/>
      </w:r>
      <w:hyperlink w:anchor="page57">
        <w:r>
          <w:rPr>
            <w:rFonts w:ascii="Arial" w:cs="Arial" w:eastAsia="Arial" w:hAnsi="Arial"/>
            <w:sz w:val="14"/>
            <w:szCs w:val="14"/>
            <w:u w:val="single" w:color="auto"/>
            <w:color w:val="0000FF"/>
          </w:rPr>
          <w:t>Certification of Thomas R. Reeg in accordance with 18 U.S.C. Section 1350</w:t>
        </w:r>
      </w:hyperlink>
    </w:p>
    <w:p>
      <w:pPr>
        <w:spacing w:after="0" w:line="113"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32.2</w:t>
      </w:r>
      <w:r>
        <w:rPr>
          <w:sz w:val="20"/>
          <w:szCs w:val="20"/>
          <w:color w:val="auto"/>
        </w:rPr>
        <w:tab/>
      </w:r>
      <w:hyperlink w:anchor="page58">
        <w:r>
          <w:rPr>
            <w:rFonts w:ascii="Arial" w:cs="Arial" w:eastAsia="Arial" w:hAnsi="Arial"/>
            <w:sz w:val="14"/>
            <w:szCs w:val="14"/>
            <w:u w:val="single" w:color="auto"/>
            <w:color w:val="0000FF"/>
          </w:rPr>
          <w:t>Certification of Bret Yunker in accordance with 18 U.S.C. Section 1350</w:t>
        </w:r>
      </w:hyperlink>
    </w:p>
    <w:p>
      <w:pPr>
        <w:spacing w:after="0" w:line="127" w:lineRule="exact"/>
        <w:rPr>
          <w:sz w:val="20"/>
          <w:szCs w:val="20"/>
          <w:color w:val="auto"/>
        </w:rPr>
      </w:pPr>
    </w:p>
    <w:p>
      <w:pPr>
        <w:ind w:left="26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99.1</w:t>
      </w:r>
      <w:r>
        <w:rPr>
          <w:sz w:val="20"/>
          <w:szCs w:val="20"/>
          <w:color w:val="auto"/>
        </w:rPr>
        <w:tab/>
      </w:r>
      <w:hyperlink w:anchor="page59">
        <w:r>
          <w:rPr>
            <w:rFonts w:ascii="Arial" w:cs="Arial" w:eastAsia="Arial" w:hAnsi="Arial"/>
            <w:sz w:val="14"/>
            <w:szCs w:val="14"/>
            <w:u w:val="single" w:color="auto"/>
            <w:color w:val="0000FF"/>
          </w:rPr>
          <w:t>Financial Information of Caesars Resort Collection, LLC</w:t>
        </w:r>
      </w:hyperlink>
    </w:p>
    <w:p>
      <w:pPr>
        <w:spacing w:after="0" w:line="100"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5"/>
          <w:szCs w:val="15"/>
          <w:color w:val="auto"/>
        </w:rPr>
        <w:t>Inline XBRL Instance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4"/>
          <w:szCs w:val="14"/>
          <w:color w:val="auto"/>
        </w:rPr>
        <w:t>Inline XBRL Taxonomy Extension Schema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5"/>
          <w:szCs w:val="15"/>
          <w:color w:val="auto"/>
        </w:rPr>
        <w:t>Inline XBRL Taxonomy Extension Calculation Linkbase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5"/>
          <w:szCs w:val="15"/>
          <w:color w:val="auto"/>
        </w:rPr>
        <w:t>Inline XBRL Taxonomy Extension Definition Linkbase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5"/>
          <w:szCs w:val="15"/>
          <w:color w:val="auto"/>
        </w:rPr>
        <w:t>Inline XBRL Taxonomy Extension Label Linkbase Document</w:t>
      </w:r>
    </w:p>
    <w:p>
      <w:pPr>
        <w:spacing w:after="0" w:line="113"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4"/>
          <w:szCs w:val="14"/>
          <w:color w:val="auto"/>
        </w:rPr>
        <w:t>Inline XBRL Taxonomy Extension Presentation Linkbase Document</w:t>
      </w:r>
    </w:p>
    <w:p>
      <w:pPr>
        <w:spacing w:after="0" w:line="113"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20320</wp:posOffset>
            </wp:positionV>
            <wp:extent cx="13970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Previously filed on Form 10-Q filed on August 4, 2021.</w:t>
      </w:r>
    </w:p>
    <w:p>
      <w:pPr>
        <w:spacing w:after="0" w:line="6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Previously filed on Form 8-K filed on January 27, 2022.</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March 1, 2022.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542" w:lineRule="exact"/>
        <w:rPr>
          <w:sz w:val="20"/>
          <w:szCs w:val="20"/>
          <w:color w:val="auto"/>
        </w:rPr>
      </w:pPr>
    </w:p>
    <w:p>
      <w:pPr>
        <w:sectPr>
          <w:pgSz w:w="11900" w:h="16838" w:orient="portrait"/>
          <w:cols w:equalWidth="0" w:num="2">
            <w:col w:w="8900" w:space="120"/>
            <w:col w:w="2000"/>
          </w:cols>
          <w:pgMar w:left="320" w:top="1314" w:right="559" w:bottom="1440" w:gutter="0" w:footer="0" w:header="0"/>
          <w:type w:val="continuous"/>
        </w:sectPr>
      </w:pPr>
    </w:p>
    <w:p>
      <w:pPr>
        <w:spacing w:after="0" w:line="84" w:lineRule="exact"/>
        <w:rPr>
          <w:sz w:val="20"/>
          <w:szCs w:val="20"/>
          <w:color w:val="auto"/>
        </w:rPr>
      </w:pPr>
    </w:p>
    <w:p>
      <w:pPr>
        <w:ind w:right="5620" w:firstLine="26"/>
        <w:spacing w:after="0" w:line="571" w:lineRule="auto"/>
        <w:tabs>
          <w:tab w:leader="none" w:pos="814" w:val="left"/>
        </w:tabs>
        <w:numPr>
          <w:ilvl w:val="0"/>
          <w:numId w:val="34"/>
        </w:numPr>
        <w:rPr>
          <w:rFonts w:ascii="Arial" w:cs="Arial" w:eastAsia="Arial" w:hAnsi="Arial"/>
          <w:sz w:val="16"/>
          <w:szCs w:val="16"/>
          <w:u w:val="single" w:color="auto"/>
          <w:color w:val="0000FF"/>
        </w:rPr>
      </w:pPr>
      <w:r>
        <w:rPr>
          <w:rFonts w:ascii="Arial" w:cs="Arial" w:eastAsia="Arial" w:hAnsi="Arial"/>
          <w:sz w:val="16"/>
          <w:szCs w:val="16"/>
          <w:color w:val="auto"/>
        </w:rPr>
        <w:t xml:space="preserve">Denotes a management contract or compensatory plan or arrangement. </w:t>
      </w:r>
      <w:hyperlink w:anchor="page1">
        <w:r>
          <w:rPr>
            <w:rFonts w:ascii="Arial" w:cs="Arial" w:eastAsia="Arial" w:hAnsi="Arial"/>
            <w:sz w:val="16"/>
            <w:szCs w:val="16"/>
            <w:u w:val="single" w:color="auto"/>
            <w:color w:val="0000FF"/>
          </w:rPr>
          <w:t>Table of Contents</w:t>
        </w:r>
      </w:hyperlink>
    </w:p>
    <w:p>
      <w:pPr>
        <w:jc w:val="center"/>
        <w:ind w:right="-2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14" w:right="559" w:bottom="1440" w:gutter="0" w:footer="0" w:header="0"/>
          <w:type w:val="continuous"/>
        </w:sectPr>
      </w:pPr>
    </w:p>
    <w:bookmarkStart w:id="53" w:name="page54"/>
    <w:bookmarkEnd w:id="53"/>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80"/>
          </w:cols>
          <w:pgMar w:left="320" w:top="1440" w:right="9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ind w:left="5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64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2022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64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March 31, 2022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99"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tables present the consolidating condensed balance sheets as of March 31, 2022 and December 31, 2021, consolidating condensed statements of operations and cash flows for the three months ended March 31, 2022 and 2021, and Adjusted EBITDA for the three months ended March 31, 2022 of Caesars Resort Collection, LLC (“CRC”), as it consolidates into CEI as a wholly-owned subsidiary. “Other Operations, Eliminations” presents the operations of CEI’s other subsidiaries, including eliminations of intercompany transactions. The tables have been recast for all periods presented as Horseshoe Hammond no longer met the held for sale criteria in September 2021. See further discussion in Note 1 - Basis of Presentation, of Caesars Entertainment, Inc.’s quarterly report for the quarter ended March 31, 2022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March 31, 2022 and December 31, 2021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4"/>
              </w:rPr>
              <w:t>March 31, 2022</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December 31, 2021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Assets held for sale</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spacing w:after="0" w:line="166" w:lineRule="exact"/>
              <w:rPr>
                <w:sz w:val="20"/>
                <w:szCs w:val="20"/>
                <w:color w:val="auto"/>
              </w:rPr>
            </w:pPr>
            <w:r>
              <w:rPr>
                <w:rFonts w:ascii="Arial" w:cs="Arial" w:eastAsia="Arial" w:hAnsi="Arial"/>
                <w:sz w:val="16"/>
                <w:szCs w:val="16"/>
                <w:color w:val="auto"/>
              </w:rPr>
              <w:t>Investments in and advances to unconsolidated</w:t>
            </w:r>
          </w:p>
        </w:tc>
        <w:tc>
          <w:tcPr>
            <w:tcW w:w="2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affiliates</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Gaming rights and other intangibles,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37,073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80" w:type="dxa"/>
            <w:vAlign w:val="bottom"/>
            <w:gridSpan w:val="4"/>
          </w:tcPr>
          <w:p>
            <w:pPr>
              <w:ind w:left="560"/>
              <w:spacing w:after="0" w:line="163" w:lineRule="exact"/>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Due to affiliates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3,371</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5,145</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to related party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11,255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22,160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11,330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33,490</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320"/>
              <w:spacing w:after="0"/>
              <w:rPr>
                <w:sz w:val="20"/>
                <w:szCs w:val="20"/>
                <w:color w:val="auto"/>
              </w:rPr>
            </w:pPr>
            <w:r>
              <w:rPr>
                <w:rFonts w:ascii="Arial" w:cs="Arial" w:eastAsia="Arial" w:hAnsi="Arial"/>
                <w:sz w:val="16"/>
                <w:szCs w:val="16"/>
                <w:color w:val="auto"/>
              </w:rPr>
              <w:t>Caesars stockholders’ equity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37,073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three months ended March 31, 2022 and 2021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ind w:left="340"/>
              <w:spacing w:after="0"/>
              <w:rPr>
                <w:sz w:val="20"/>
                <w:szCs w:val="20"/>
                <w:color w:val="auto"/>
              </w:rPr>
            </w:pPr>
            <w:r>
              <w:rPr>
                <w:rFonts w:ascii="Arial" w:cs="Arial" w:eastAsia="Arial" w:hAnsi="Arial"/>
                <w:sz w:val="16"/>
                <w:szCs w:val="16"/>
                <w:b w:val="1"/>
                <w:bCs w:val="1"/>
                <w:color w:val="auto"/>
                <w:w w:val="95"/>
              </w:rPr>
              <w:t>Three Months Ended March 31, 2022</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March 31, 2021</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1,292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gridSpan w:val="2"/>
          </w:tcPr>
          <w:p>
            <w:pPr>
              <w:spacing w:after="0" w:line="146"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40" w:type="dxa"/>
            <w:vAlign w:val="bottom"/>
            <w:gridSpan w:val="2"/>
          </w:tcPr>
          <w:p>
            <w:pPr>
              <w:ind w:left="220"/>
              <w:spacing w:after="0" w:line="146" w:lineRule="exact"/>
              <w:rPr>
                <w:sz w:val="20"/>
                <w:szCs w:val="20"/>
                <w:color w:val="auto"/>
              </w:rPr>
            </w:pPr>
            <w:r>
              <w:rPr>
                <w:rFonts w:ascii="Arial" w:cs="Arial" w:eastAsia="Arial" w:hAnsi="Arial"/>
                <w:sz w:val="16"/>
                <w:szCs w:val="16"/>
                <w:color w:val="auto"/>
                <w:w w:val="97"/>
              </w:rPr>
              <w:t>Net income (loss) from continuing operations, net</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(451)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of income taxes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loss attributable to noncontrolling interests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the three months ended March 31, 2022 and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right"/>
              <w:ind w:right="648"/>
              <w:spacing w:after="0"/>
              <w:rPr>
                <w:sz w:val="20"/>
                <w:szCs w:val="20"/>
                <w:color w:val="auto"/>
              </w:rPr>
            </w:pPr>
            <w:r>
              <w:rPr>
                <w:rFonts w:ascii="Arial" w:cs="Arial" w:eastAsia="Arial" w:hAnsi="Arial"/>
                <w:sz w:val="14"/>
                <w:szCs w:val="14"/>
                <w:b w:val="1"/>
                <w:bCs w:val="1"/>
                <w:color w:val="auto"/>
              </w:rPr>
              <w:t>Three Months Ended March 31, 2022</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7"/>
          </w:tcPr>
          <w:p>
            <w:pPr>
              <w:jc w:val="right"/>
              <w:ind w:right="648"/>
              <w:spacing w:after="0"/>
              <w:rPr>
                <w:sz w:val="20"/>
                <w:szCs w:val="20"/>
                <w:color w:val="auto"/>
              </w:rPr>
            </w:pPr>
            <w:r>
              <w:rPr>
                <w:rFonts w:ascii="Arial" w:cs="Arial" w:eastAsia="Arial" w:hAnsi="Arial"/>
                <w:sz w:val="14"/>
                <w:szCs w:val="14"/>
                <w:b w:val="1"/>
                <w:bCs w:val="1"/>
                <w:color w:val="auto"/>
              </w:rPr>
              <w:t>Three Months Ended March 31, 2021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2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Other Operations,</w:t>
            </w:r>
          </w:p>
        </w:tc>
        <w:tc>
          <w:tcPr>
            <w:tcW w:w="10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CEI Consolidated</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3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Other Operations,</w:t>
            </w:r>
          </w:p>
        </w:tc>
        <w:tc>
          <w:tcPr>
            <w:tcW w:w="100" w:type="dxa"/>
            <w:vAlign w:val="bottom"/>
          </w:tcPr>
          <w:p>
            <w:pPr>
              <w:spacing w:after="0"/>
              <w:rPr>
                <w:sz w:val="11"/>
                <w:szCs w:val="11"/>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CEI 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Purchase of property and equipment,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Acquisition of gaming rights and trademarks</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66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w w:val="93"/>
              </w:rPr>
              <w:t>Proceeds from sale of businesses, property and equipment,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of cash sold</w:t>
            </w: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Proceeds from the sale of investments</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Proceeds from insurance related to property damage</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66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Proceeds from long-term debt and revolving credit</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facilities</w:t>
            </w: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Repayments of long-term debt and revolving credit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facilities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3"/>
              </w:rPr>
              <w:t>Taxes paid related to net share settlement of equity awards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CASH FLOWS FROM DISCONTINUED OPERATIONS: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366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w w:val="94"/>
              </w:rPr>
              <w:t>Net cash provided by (used in) discontinued operations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Effect of foreign currency exchange rates on cash</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3660" w:type="dxa"/>
            <w:vAlign w:val="bottom"/>
            <w:gridSpan w:val="2"/>
            <w:shd w:val="clear" w:color="auto" w:fill="CCEEFF"/>
          </w:tcPr>
          <w:p>
            <w:pPr>
              <w:ind w:left="200"/>
              <w:spacing w:after="0" w:line="119" w:lineRule="exact"/>
              <w:rPr>
                <w:sz w:val="20"/>
                <w:szCs w:val="20"/>
                <w:color w:val="auto"/>
              </w:rPr>
            </w:pPr>
            <w:r>
              <w:rPr>
                <w:rFonts w:ascii="Arial" w:cs="Arial" w:eastAsia="Arial" w:hAnsi="Arial"/>
                <w:sz w:val="13"/>
                <w:szCs w:val="13"/>
                <w:color w:val="auto"/>
                <w:w w:val="99"/>
              </w:rPr>
              <w:t>Increase (decrease) in cash, cash equivalents and restricted</w:t>
            </w:r>
          </w:p>
        </w:tc>
        <w:tc>
          <w:tcPr>
            <w:tcW w:w="2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w:t>
            </w: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8"/>
              </w:rPr>
              <w:t>Cash, cash equivalents and restricted cash, beginning of</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3,869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96"/>
              </w:rPr>
              <w:t>Cash, cash equivalents and restricted cash,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reconciliations of net income (loss) attributable to Caesars to Adjusted EBITDA for the three months ended March 31, 2022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3"/>
              </w:rPr>
              <w:t>Three Months Ended March 31, 2022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4"/>
              </w:rPr>
              <w:t>Eliminations</w:t>
            </w:r>
          </w:p>
        </w:tc>
        <w:tc>
          <w:tcPr>
            <w:tcW w:w="140" w:type="dxa"/>
            <w:vAlign w:val="bottom"/>
          </w:tcPr>
          <w:p>
            <w:pPr>
              <w:spacing w:after="0"/>
              <w:rPr>
                <w:sz w:val="15"/>
                <w:szCs w:val="15"/>
                <w:color w:val="auto"/>
              </w:rPr>
            </w:pPr>
          </w:p>
        </w:tc>
        <w:tc>
          <w:tcPr>
            <w:tcW w:w="112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(benefit) for income tax</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Other (income) loss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 costs and other operating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items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2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3"/>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3"/>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80" Type="http://schemas.openxmlformats.org/officeDocument/2006/relationships/hyperlink" Target="https://www.sec.gov/Archives/edgar/data/1590895/000159089521000118/ex31-compositecertificateo.htm" TargetMode="External"/><Relationship Id="rId81" Type="http://schemas.openxmlformats.org/officeDocument/2006/relationships/hyperlink" Target="https://www.sec.gov/Archives/edgar/data/1590895/000119312520196232/d940333dex32.htm" TargetMode="External"/><Relationship Id="rId82" Type="http://schemas.openxmlformats.org/officeDocument/2006/relationships/hyperlink" Target="https://www.sec.gov/Archives/edgar/data/1590895/000119312522019767/d252706dex101.htm" TargetMode="External"/><Relationship Id="rId83" Type="http://schemas.openxmlformats.org/officeDocument/2006/relationships/hyperlink" Target="https://www.sec.gov/Archives/edgar/data/1590895/000159089522000078/reeg_specialrsuaward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2022-05-04T05:20:50Z</dcterms:created>
  <dcterms:modified xsi:type="dcterms:W3CDTF">2022-05-04T05:20:50Z</dcterms:modified>
</cp:coreProperties>
</file>