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8" w:lineRule="exact"/>
        <w:rPr>
          <w:sz w:val="24"/>
          <w:szCs w:val="24"/>
          <w:color w:val="auto"/>
        </w:rPr>
      </w:pPr>
    </w:p>
    <w:p>
      <w:pPr>
        <w:ind w:left="420" w:right="660" w:hanging="394"/>
        <w:spacing w:after="0" w:line="248" w:lineRule="auto"/>
        <w:tabs>
          <w:tab w:leader="none" w:pos="42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20" w:right="640" w:hanging="394"/>
        <w:spacing w:after="0" w:line="248" w:lineRule="auto"/>
        <w:tabs>
          <w:tab w:leader="none" w:pos="42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62"/>
              <w:spacing w:after="0"/>
              <w:rPr>
                <w:sz w:val="20"/>
                <w:szCs w:val="20"/>
                <w:color w:val="auto"/>
              </w:rPr>
            </w:pPr>
            <w:r>
              <w:rPr>
                <w:rFonts w:ascii="Arial" w:cs="Arial" w:eastAsia="Arial" w:hAnsi="Arial"/>
                <w:sz w:val="18"/>
                <w:szCs w:val="18"/>
                <w:b w:val="1"/>
                <w:bCs w:val="1"/>
                <w:color w:val="auto"/>
                <w:w w:val="89"/>
              </w:rPr>
              <w:t>46-3657681</w:t>
            </w:r>
          </w:p>
        </w:tc>
      </w:tr>
      <w:tr>
        <w:trPr>
          <w:trHeight w:val="180"/>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Eldorado Resorts,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2"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40" w:type="dxa"/>
            <w:vAlign w:val="bottom"/>
          </w:tcPr>
          <w:p>
            <w:pPr>
              <w:spacing w:after="0"/>
              <w:rPr>
                <w:sz w:val="16"/>
                <w:szCs w:val="16"/>
                <w:color w:val="auto"/>
              </w:rPr>
            </w:pPr>
          </w:p>
        </w:tc>
        <w:tc>
          <w:tcPr>
            <w:tcW w:w="346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1"/>
              </w:rPr>
              <w:t>Trading Symbol(s)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20" w:type="dxa"/>
            <w:vAlign w:val="bottom"/>
          </w:tcPr>
          <w:p>
            <w:pPr>
              <w:spacing w:after="0"/>
              <w:rPr>
                <w:sz w:val="16"/>
                <w:szCs w:val="16"/>
                <w:color w:val="auto"/>
              </w:rPr>
            </w:pPr>
          </w:p>
        </w:tc>
      </w:tr>
      <w:tr>
        <w:trPr>
          <w:trHeight w:val="20"/>
        </w:trPr>
        <w:tc>
          <w:tcPr>
            <w:tcW w:w="3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316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Common Stock, $.00001 par value</w:t>
            </w:r>
          </w:p>
        </w:tc>
        <w:tc>
          <w:tcPr>
            <w:tcW w:w="780" w:type="dxa"/>
            <w:vAlign w:val="bottom"/>
          </w:tcPr>
          <w:p>
            <w:pPr>
              <w:spacing w:after="0"/>
              <w:rPr>
                <w:sz w:val="22"/>
                <w:szCs w:val="22"/>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6"/>
                <w:szCs w:val="16"/>
                <w:b w:val="1"/>
                <w:bCs w:val="1"/>
                <w:color w:val="auto"/>
              </w:rPr>
              <w:t>CZR</w:t>
            </w:r>
          </w:p>
        </w:tc>
        <w:tc>
          <w:tcPr>
            <w:tcW w:w="26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5"/>
              </w:rPr>
              <w:t>NASDAQ Stock Market</w:t>
            </w:r>
          </w:p>
        </w:tc>
      </w:tr>
    </w:tbl>
    <w:p>
      <w:pPr>
        <w:spacing w:after="0" w:line="100" w:lineRule="exact"/>
        <w:rPr>
          <w:sz w:val="24"/>
          <w:szCs w:val="24"/>
          <w:color w:val="auto"/>
        </w:rPr>
      </w:pPr>
    </w:p>
    <w:p>
      <w:pPr>
        <w:ind w:right="60"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40"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60"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8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July 31, 2020 was 160,833,608.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6"/>
                <w:szCs w:val="16"/>
                <w:b w:val="1"/>
                <w:bCs w:val="1"/>
                <w:color w:val="auto"/>
              </w:rPr>
              <w:t>Page</w:t>
            </w:r>
          </w:p>
        </w:tc>
      </w:tr>
      <w:tr>
        <w:trPr>
          <w:trHeight w:val="33"/>
        </w:trPr>
        <w:tc>
          <w:tcPr>
            <w:tcW w:w="9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880" w:type="dxa"/>
            <w:vAlign w:val="bottom"/>
            <w:tcBorders>
              <w:bottom w:val="single" w:sz="8" w:color="CCEEFF"/>
            </w:tcBorders>
            <w:gridSpan w:val="13"/>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43"/>
        </w:trPr>
        <w:tc>
          <w:tcPr>
            <w:tcW w:w="96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2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360" w:type="dxa"/>
            <w:vAlign w:val="bottom"/>
          </w:tcPr>
          <w:p>
            <w:pPr>
              <w:jc w:val="cente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960" w:type="dxa"/>
            <w:vAlign w:val="bottom"/>
            <w:shd w:val="clear" w:color="auto" w:fill="CCEEFF"/>
          </w:tcPr>
          <w:p>
            <w:pPr>
              <w:spacing w:after="0"/>
              <w:rPr>
                <w:sz w:val="17"/>
                <w:szCs w:val="17"/>
                <w:color w:val="auto"/>
              </w:rPr>
            </w:pPr>
          </w:p>
        </w:tc>
        <w:tc>
          <w:tcPr>
            <w:tcW w:w="8920" w:type="dxa"/>
            <w:vAlign w:val="bottom"/>
            <w:gridSpan w:val="12"/>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at June 3</w:t>
              </w:r>
            </w:hyperlink>
            <w:r>
              <w:rPr>
                <w:rFonts w:ascii="Arial" w:cs="Arial" w:eastAsia="Arial" w:hAnsi="Arial"/>
                <w:sz w:val="18"/>
                <w:szCs w:val="18"/>
                <w:u w:val="single" w:color="auto"/>
                <w:color w:val="0000FF"/>
              </w:rPr>
              <w:t>0,</w:t>
            </w:r>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2020 (unaudited) and December 31, 2019</w:t>
              </w:r>
            </w:hyperlink>
          </w:p>
        </w:tc>
        <w:tc>
          <w:tcPr>
            <w:tcW w:w="136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spacing w:after="0"/>
              <w:rPr>
                <w:sz w:val="17"/>
                <w:szCs w:val="17"/>
                <w:color w:val="auto"/>
              </w:rPr>
            </w:pPr>
          </w:p>
        </w:tc>
        <w:tc>
          <w:tcPr>
            <w:tcW w:w="8920" w:type="dxa"/>
            <w:vAlign w:val="bottom"/>
            <w:gridSpan w:val="12"/>
          </w:tcPr>
          <w:p>
            <w:pPr>
              <w:spacing w:after="0" w:line="202" w:lineRule="exact"/>
              <w:rPr>
                <w:rFonts w:ascii="Arial" w:cs="Arial" w:eastAsia="Arial" w:hAnsi="Arial"/>
                <w:sz w:val="18"/>
                <w:szCs w:val="18"/>
                <w:color w:val="0000FF"/>
                <w:w w:val="98"/>
              </w:rPr>
            </w:pPr>
            <w:hyperlink w:anchor="page4">
              <w:r>
                <w:rPr>
                  <w:rFonts w:ascii="Arial" w:cs="Arial" w:eastAsia="Arial" w:hAnsi="Arial"/>
                  <w:sz w:val="18"/>
                  <w:szCs w:val="18"/>
                  <w:u w:val="single" w:color="auto"/>
                  <w:color w:val="0000FF"/>
                  <w:w w:val="98"/>
                </w:rPr>
                <w:t>Consolidated Statements of Operations for the</w:t>
              </w:r>
              <w:r>
                <w:rPr>
                  <w:rFonts w:ascii="Arial" w:cs="Arial" w:eastAsia="Arial" w:hAnsi="Arial"/>
                  <w:sz w:val="18"/>
                  <w:szCs w:val="18"/>
                  <w:color w:val="0000FF"/>
                  <w:w w:val="98"/>
                </w:rPr>
                <w:t xml:space="preserve"> Three and Six Months Ended June </w:t>
              </w:r>
            </w:hyperlink>
            <w:r>
              <w:rPr>
                <w:rFonts w:ascii="Arial" w:cs="Arial" w:eastAsia="Arial" w:hAnsi="Arial"/>
                <w:sz w:val="18"/>
                <w:szCs w:val="18"/>
                <w:color w:val="0000FF"/>
                <w:w w:val="98"/>
              </w:rPr>
              <w:t>30</w:t>
            </w:r>
            <w:hyperlink w:anchor="page4">
              <w:r>
                <w:rPr>
                  <w:rFonts w:ascii="Arial" w:cs="Arial" w:eastAsia="Arial" w:hAnsi="Arial"/>
                  <w:sz w:val="18"/>
                  <w:szCs w:val="18"/>
                  <w:color w:val="0000FF"/>
                  <w:w w:val="98"/>
                </w:rPr>
                <w:t xml:space="preserve">, </w:t>
              </w:r>
              <w:r>
                <w:rPr>
                  <w:rFonts w:ascii="Arial" w:cs="Arial" w:eastAsia="Arial" w:hAnsi="Arial"/>
                  <w:sz w:val="18"/>
                  <w:szCs w:val="18"/>
                  <w:u w:val="single" w:color="auto"/>
                  <w:color w:val="0000FF"/>
                  <w:w w:val="98"/>
                </w:rPr>
                <w:t>2020 and 2019 (unaudited)</w:t>
              </w:r>
            </w:hyperlink>
          </w:p>
        </w:tc>
        <w:tc>
          <w:tcPr>
            <w:tcW w:w="1360" w:type="dxa"/>
            <w:vAlign w:val="bottom"/>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48"/>
        </w:trPr>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2"/>
        </w:trPr>
        <w:tc>
          <w:tcPr>
            <w:tcW w:w="960" w:type="dxa"/>
            <w:vAlign w:val="bottom"/>
            <w:shd w:val="clear" w:color="auto" w:fill="CCEEFF"/>
          </w:tcPr>
          <w:p>
            <w:pPr>
              <w:spacing w:after="0"/>
              <w:rPr>
                <w:sz w:val="17"/>
                <w:szCs w:val="17"/>
                <w:color w:val="auto"/>
              </w:rPr>
            </w:pPr>
          </w:p>
        </w:tc>
        <w:tc>
          <w:tcPr>
            <w:tcW w:w="8920" w:type="dxa"/>
            <w:vAlign w:val="bottom"/>
            <w:gridSpan w:val="12"/>
            <w:shd w:val="clear" w:color="auto" w:fill="CCEEFF"/>
          </w:tcPr>
          <w:p>
            <w:pPr>
              <w:spacing w:after="0" w:line="202" w:lineRule="exact"/>
              <w:rPr>
                <w:rFonts w:ascii="Arial" w:cs="Arial" w:eastAsia="Arial" w:hAnsi="Arial"/>
                <w:sz w:val="18"/>
                <w:szCs w:val="18"/>
                <w:color w:val="0000FF"/>
                <w:w w:val="92"/>
              </w:rPr>
            </w:pPr>
            <w:hyperlink w:anchor="page5">
              <w:r>
                <w:rPr>
                  <w:rFonts w:ascii="Arial" w:cs="Arial" w:eastAsia="Arial" w:hAnsi="Arial"/>
                  <w:sz w:val="18"/>
                  <w:szCs w:val="18"/>
                  <w:u w:val="single" w:color="auto"/>
                  <w:color w:val="0000FF"/>
                  <w:w w:val="92"/>
                </w:rPr>
                <w:t>Consolidated Statements of Comprehensive (Loss) Income for the</w:t>
              </w:r>
              <w:r>
                <w:rPr>
                  <w:rFonts w:ascii="Arial" w:cs="Arial" w:eastAsia="Arial" w:hAnsi="Arial"/>
                  <w:sz w:val="18"/>
                  <w:szCs w:val="18"/>
                  <w:color w:val="0000FF"/>
                  <w:w w:val="92"/>
                </w:rPr>
                <w:t xml:space="preserve"> Three and Six Months Ended June 30, 2020 and 2019</w:t>
              </w:r>
            </w:hyperlink>
          </w:p>
        </w:tc>
        <w:tc>
          <w:tcPr>
            <w:tcW w:w="1360" w:type="dxa"/>
            <w:vAlign w:val="bottom"/>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gridSpan w:val="6"/>
            <w:shd w:val="clear" w:color="auto" w:fill="CCEEFF"/>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3920" w:type="dxa"/>
            <w:vAlign w:val="bottom"/>
            <w:tcBorders>
              <w:top w:val="single" w:sz="8" w:color="0000FF"/>
            </w:tcBorders>
            <w:gridSpan w:val="5"/>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jc w:val="cente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spacing w:after="0"/>
              <w:rPr>
                <w:sz w:val="17"/>
                <w:szCs w:val="17"/>
                <w:color w:val="auto"/>
              </w:rPr>
            </w:pPr>
          </w:p>
        </w:tc>
        <w:tc>
          <w:tcPr>
            <w:tcW w:w="8920" w:type="dxa"/>
            <w:vAlign w:val="bottom"/>
            <w:gridSpan w:val="12"/>
          </w:tcPr>
          <w:p>
            <w:pPr>
              <w:spacing w:after="0" w:line="202" w:lineRule="exact"/>
              <w:rPr>
                <w:rFonts w:ascii="Arial" w:cs="Arial" w:eastAsia="Arial" w:hAnsi="Arial"/>
                <w:sz w:val="18"/>
                <w:szCs w:val="18"/>
                <w:color w:val="0000FF"/>
                <w:w w:val="99"/>
              </w:rPr>
            </w:pPr>
            <w:hyperlink w:anchor="page6">
              <w:r>
                <w:rPr>
                  <w:rFonts w:ascii="Arial" w:cs="Arial" w:eastAsia="Arial" w:hAnsi="Arial"/>
                  <w:sz w:val="18"/>
                  <w:szCs w:val="18"/>
                  <w:u w:val="single" w:color="auto"/>
                  <w:color w:val="0000FF"/>
                  <w:w w:val="99"/>
                </w:rPr>
                <w:t>Consolidated Statements of Stockholders’ Equity for the</w:t>
              </w:r>
              <w:r>
                <w:rPr>
                  <w:rFonts w:ascii="Arial" w:cs="Arial" w:eastAsia="Arial" w:hAnsi="Arial"/>
                  <w:sz w:val="18"/>
                  <w:szCs w:val="18"/>
                  <w:color w:val="0000FF"/>
                  <w:w w:val="99"/>
                </w:rPr>
                <w:t xml:space="preserve"> Six Months Ended June </w:t>
              </w:r>
            </w:hyperlink>
            <w:r>
              <w:rPr>
                <w:rFonts w:ascii="Arial" w:cs="Arial" w:eastAsia="Arial" w:hAnsi="Arial"/>
                <w:sz w:val="18"/>
                <w:szCs w:val="18"/>
                <w:color w:val="0000FF"/>
                <w:w w:val="99"/>
              </w:rPr>
              <w:t xml:space="preserve">30, </w:t>
            </w:r>
            <w:hyperlink w:anchor="page6">
              <w:r>
                <w:rPr>
                  <w:rFonts w:ascii="Arial" w:cs="Arial" w:eastAsia="Arial" w:hAnsi="Arial"/>
                  <w:sz w:val="18"/>
                  <w:szCs w:val="18"/>
                  <w:u w:val="single" w:color="auto"/>
                  <w:color w:val="0000FF"/>
                  <w:w w:val="99"/>
                </w:rPr>
                <w:t>2020 and 2019 (unaudited)</w:t>
              </w:r>
            </w:hyperlink>
          </w:p>
        </w:tc>
        <w:tc>
          <w:tcPr>
            <w:tcW w:w="1360" w:type="dxa"/>
            <w:vAlign w:val="bottom"/>
          </w:tcPr>
          <w:p>
            <w:pPr>
              <w:jc w:val="center"/>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960" w:type="dxa"/>
            <w:vAlign w:val="bottom"/>
            <w:shd w:val="clear" w:color="auto" w:fill="CCEEFF"/>
          </w:tcPr>
          <w:p>
            <w:pPr>
              <w:spacing w:after="0"/>
              <w:rPr>
                <w:sz w:val="21"/>
                <w:szCs w:val="21"/>
                <w:color w:val="auto"/>
              </w:rPr>
            </w:pPr>
          </w:p>
        </w:tc>
        <w:tc>
          <w:tcPr>
            <w:tcW w:w="8920" w:type="dxa"/>
            <w:vAlign w:val="bottom"/>
            <w:gridSpan w:val="12"/>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Statements of Cash Flows for the Six Months Ended June </w:t>
              </w:r>
            </w:hyperlink>
            <w:r>
              <w:rPr>
                <w:rFonts w:ascii="Arial" w:cs="Arial" w:eastAsia="Arial" w:hAnsi="Arial"/>
                <w:sz w:val="18"/>
                <w:szCs w:val="18"/>
                <w:color w:val="0000FF"/>
              </w:rPr>
              <w:t>30</w:t>
            </w:r>
            <w:hyperlink w:anchor="page7">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 (unaudited)</w:t>
              </w:r>
            </w:hyperlink>
          </w:p>
        </w:tc>
        <w:tc>
          <w:tcPr>
            <w:tcW w:w="136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243"/>
        </w:trPr>
        <w:tc>
          <w:tcPr>
            <w:tcW w:w="960" w:type="dxa"/>
            <w:vAlign w:val="bottom"/>
            <w:tcBorders>
              <w:top w:val="single" w:sz="8" w:color="CCEEFF"/>
            </w:tcBorders>
          </w:tcPr>
          <w:p>
            <w:pPr>
              <w:spacing w:after="0"/>
              <w:rPr>
                <w:sz w:val="21"/>
                <w:szCs w:val="21"/>
                <w:color w:val="auto"/>
              </w:rPr>
            </w:pPr>
          </w:p>
        </w:tc>
        <w:tc>
          <w:tcPr>
            <w:tcW w:w="5360" w:type="dxa"/>
            <w:vAlign w:val="bottom"/>
            <w:tcBorders>
              <w:top w:val="single" w:sz="8" w:color="0000FF"/>
            </w:tcBorders>
            <w:gridSpan w:val="7"/>
          </w:tcPr>
          <w:p>
            <w:pPr>
              <w:spacing w:after="0"/>
              <w:rPr>
                <w:rFonts w:ascii="Arial" w:cs="Arial" w:eastAsia="Arial" w:hAnsi="Arial"/>
                <w:sz w:val="18"/>
                <w:szCs w:val="18"/>
                <w:u w:val="single" w:color="auto"/>
                <w:color w:val="0000FF"/>
                <w:w w:val="98"/>
              </w:rPr>
            </w:pPr>
            <w:hyperlink w:anchor="page9">
              <w:r>
                <w:rPr>
                  <w:rFonts w:ascii="Arial" w:cs="Arial" w:eastAsia="Arial" w:hAnsi="Arial"/>
                  <w:sz w:val="18"/>
                  <w:szCs w:val="18"/>
                  <w:u w:val="single" w:color="auto"/>
                  <w:color w:val="0000FF"/>
                  <w:w w:val="98"/>
                </w:rPr>
                <w:t>Condensed Notes to Consolidated Financial Statements (unaudited)</w:t>
              </w:r>
            </w:hyperlink>
          </w:p>
        </w:tc>
        <w:tc>
          <w:tcPr>
            <w:tcW w:w="3560" w:type="dxa"/>
            <w:vAlign w:val="bottom"/>
            <w:tcBorders>
              <w:top w:val="single" w:sz="8" w:color="CCEEFF"/>
            </w:tcBorders>
            <w:gridSpan w:val="5"/>
          </w:tcPr>
          <w:p>
            <w:pPr>
              <w:spacing w:after="0"/>
              <w:rPr>
                <w:sz w:val="21"/>
                <w:szCs w:val="21"/>
                <w:color w:val="auto"/>
              </w:rPr>
            </w:pPr>
          </w:p>
        </w:tc>
        <w:tc>
          <w:tcPr>
            <w:tcW w:w="1360" w:type="dxa"/>
            <w:vAlign w:val="bottom"/>
            <w:tcBorders>
              <w:top w:val="single" w:sz="8" w:color="CCEEFF"/>
            </w:tcBorders>
          </w:tcPr>
          <w:p>
            <w:pPr>
              <w:jc w:val="cente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3"/>
        </w:trPr>
        <w:tc>
          <w:tcPr>
            <w:tcW w:w="960" w:type="dxa"/>
            <w:vAlign w:val="bottom"/>
            <w:shd w:val="clear" w:color="auto" w:fill="CCEEFF"/>
          </w:tcPr>
          <w:p>
            <w:pPr>
              <w:ind w:left="2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8920" w:type="dxa"/>
            <w:vAlign w:val="bottom"/>
            <w:gridSpan w:val="12"/>
            <w:shd w:val="clear" w:color="auto" w:fill="CCEEFF"/>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w:t>
              </w:r>
            </w:hyperlink>
          </w:p>
        </w:tc>
        <w:tc>
          <w:tcPr>
            <w:tcW w:w="1360" w:type="dxa"/>
            <w:vAlign w:val="bottom"/>
            <w:shd w:val="clear" w:color="auto" w:fill="CCEEFF"/>
          </w:tcPr>
          <w:p>
            <w:pPr>
              <w:spacing w:after="0"/>
              <w:rPr>
                <w:sz w:val="17"/>
                <w:szCs w:val="17"/>
                <w:color w:val="auto"/>
              </w:rPr>
            </w:pPr>
          </w:p>
        </w:tc>
      </w:tr>
      <w:tr>
        <w:trPr>
          <w:trHeight w:val="243"/>
        </w:trPr>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OPERATIONS</w:t>
              </w:r>
            </w:hyperlink>
          </w:p>
        </w:tc>
        <w:tc>
          <w:tcPr>
            <w:tcW w:w="666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jc w:val="center"/>
              <w:spacing w:after="0" w:line="196"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r>
      <w:tr>
        <w:trPr>
          <w:trHeight w:val="243"/>
        </w:trPr>
        <w:tc>
          <w:tcPr>
            <w:tcW w:w="960" w:type="dxa"/>
            <w:vAlign w:val="bottom"/>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Item 3.</w:t>
              </w:r>
            </w:hyperlink>
          </w:p>
        </w:tc>
        <w:tc>
          <w:tcPr>
            <w:tcW w:w="8920" w:type="dxa"/>
            <w:vAlign w:val="bottom"/>
            <w:gridSpan w:val="12"/>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QUANTITATIVE AND QUALITATIVE DISCLOSURES ABOUT MARKET RISK</w:t>
              </w:r>
            </w:hyperlink>
          </w:p>
        </w:tc>
        <w:tc>
          <w:tcPr>
            <w:tcW w:w="1360" w:type="dxa"/>
            <w:vAlign w:val="bottom"/>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Item 4.</w:t>
              </w:r>
            </w:hyperlink>
          </w:p>
        </w:tc>
        <w:tc>
          <w:tcPr>
            <w:tcW w:w="89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CONTROLS AND PROCEDURES</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r>
      <w:tr>
        <w:trPr>
          <w:trHeight w:val="243"/>
        </w:trPr>
        <w:tc>
          <w:tcPr>
            <w:tcW w:w="9880" w:type="dxa"/>
            <w:vAlign w:val="bottom"/>
            <w:gridSpan w:val="13"/>
          </w:tcPr>
          <w:p>
            <w:pPr>
              <w:ind w:left="20"/>
              <w:spacing w:after="0"/>
              <w:rPr>
                <w:rFonts w:ascii="Arial" w:cs="Arial" w:eastAsia="Arial" w:hAnsi="Arial"/>
                <w:sz w:val="18"/>
                <w:szCs w:val="18"/>
                <w:b w:val="1"/>
                <w:bCs w:val="1"/>
                <w:u w:val="single" w:color="auto"/>
                <w:color w:val="0000FF"/>
              </w:rPr>
            </w:pPr>
            <w:hyperlink w:anchor="page54">
              <w:r>
                <w:rPr>
                  <w:rFonts w:ascii="Arial" w:cs="Arial" w:eastAsia="Arial" w:hAnsi="Arial"/>
                  <w:sz w:val="18"/>
                  <w:szCs w:val="18"/>
                  <w:b w:val="1"/>
                  <w:bCs w:val="1"/>
                  <w:u w:val="single" w:color="auto"/>
                  <w:color w:val="0000FF"/>
                </w:rPr>
                <w:t>PART II. OTHER INFORMATION</w:t>
              </w:r>
            </w:hyperlink>
          </w:p>
        </w:tc>
        <w:tc>
          <w:tcPr>
            <w:tcW w:w="1360" w:type="dxa"/>
            <w:vAlign w:val="bottom"/>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89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LEGAL PROCEEDINGS</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r>
      <w:tr>
        <w:trPr>
          <w:trHeight w:val="243"/>
        </w:trPr>
        <w:tc>
          <w:tcPr>
            <w:tcW w:w="960" w:type="dxa"/>
            <w:vAlign w:val="bottom"/>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Item 1A.</w:t>
              </w:r>
            </w:hyperlink>
          </w:p>
        </w:tc>
        <w:tc>
          <w:tcPr>
            <w:tcW w:w="8920" w:type="dxa"/>
            <w:vAlign w:val="bottom"/>
            <w:gridSpan w:val="12"/>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RISK FACTORS</w:t>
              </w:r>
            </w:hyperlink>
          </w:p>
        </w:tc>
        <w:tc>
          <w:tcPr>
            <w:tcW w:w="1360" w:type="dxa"/>
            <w:vAlign w:val="bottom"/>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89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UNREGISTERED SALES OF EQUITY SECURITIES AND USE OF PROCEEDS</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43"/>
        </w:trPr>
        <w:tc>
          <w:tcPr>
            <w:tcW w:w="960" w:type="dxa"/>
            <w:vAlign w:val="bottom"/>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Item 3.</w:t>
              </w:r>
            </w:hyperlink>
          </w:p>
        </w:tc>
        <w:tc>
          <w:tcPr>
            <w:tcW w:w="8920" w:type="dxa"/>
            <w:vAlign w:val="bottom"/>
            <w:gridSpan w:val="12"/>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DEFAULTS UPON SENIOR SECURITIES</w:t>
              </w:r>
            </w:hyperlink>
          </w:p>
        </w:tc>
        <w:tc>
          <w:tcPr>
            <w:tcW w:w="1360" w:type="dxa"/>
            <w:vAlign w:val="bottom"/>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Item 4.</w:t>
              </w:r>
            </w:hyperlink>
          </w:p>
        </w:tc>
        <w:tc>
          <w:tcPr>
            <w:tcW w:w="89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MINE SAFETY DISCLOSURES</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43"/>
        </w:trPr>
        <w:tc>
          <w:tcPr>
            <w:tcW w:w="960" w:type="dxa"/>
            <w:vAlign w:val="bottom"/>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Item 5.</w:t>
              </w:r>
            </w:hyperlink>
          </w:p>
        </w:tc>
        <w:tc>
          <w:tcPr>
            <w:tcW w:w="8920" w:type="dxa"/>
            <w:vAlign w:val="bottom"/>
            <w:gridSpan w:val="12"/>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OTHER INFORMATION</w:t>
              </w:r>
            </w:hyperlink>
          </w:p>
        </w:tc>
        <w:tc>
          <w:tcPr>
            <w:tcW w:w="1360" w:type="dxa"/>
            <w:vAlign w:val="bottom"/>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7"/>
        </w:trPr>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920" w:type="dxa"/>
            <w:vAlign w:val="bottom"/>
            <w:tcBorders>
              <w:bottom w:val="single" w:sz="8" w:color="CCEEFF"/>
            </w:tcBorders>
            <w:gridSpan w:val="12"/>
            <w:shd w:val="clear" w:color="auto" w:fill="CCEEFF"/>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EXHIBITS</w:t>
              </w:r>
            </w:hyperlink>
          </w:p>
        </w:tc>
        <w:tc>
          <w:tcPr>
            <w:tcW w:w="136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r>
      <w:tr>
        <w:trPr>
          <w:trHeight w:val="243"/>
        </w:trPr>
        <w:tc>
          <w:tcPr>
            <w:tcW w:w="9880" w:type="dxa"/>
            <w:vAlign w:val="bottom"/>
            <w:gridSpan w:val="13"/>
          </w:tcPr>
          <w:p>
            <w:pPr>
              <w:ind w:left="20"/>
              <w:spacing w:after="0"/>
              <w:rPr>
                <w:rFonts w:ascii="Arial" w:cs="Arial" w:eastAsia="Arial" w:hAnsi="Arial"/>
                <w:sz w:val="18"/>
                <w:szCs w:val="18"/>
                <w:b w:val="1"/>
                <w:bCs w:val="1"/>
                <w:u w:val="single" w:color="auto"/>
                <w:color w:val="0000FF"/>
              </w:rPr>
            </w:pPr>
            <w:hyperlink w:anchor="page59">
              <w:r>
                <w:rPr>
                  <w:rFonts w:ascii="Arial" w:cs="Arial" w:eastAsia="Arial" w:hAnsi="Arial"/>
                  <w:sz w:val="18"/>
                  <w:szCs w:val="18"/>
                  <w:b w:val="1"/>
                  <w:bCs w:val="1"/>
                  <w:u w:val="single" w:color="auto"/>
                  <w:color w:val="0000FF"/>
                </w:rPr>
                <w:t>SIGNATURES</w:t>
              </w:r>
            </w:hyperlink>
          </w:p>
        </w:tc>
        <w:tc>
          <w:tcPr>
            <w:tcW w:w="1360" w:type="dxa"/>
            <w:vAlign w:val="bottom"/>
          </w:tcPr>
          <w:p>
            <w:pPr>
              <w:jc w:val="cente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ectPr>
          <w:pgSz w:w="11900" w:h="16838" w:orient="portrait"/>
          <w:cols w:equalWidth="0" w:num="1">
            <w:col w:w="9019"/>
          </w:cols>
          <w:pgMar w:left="1440" w:top="1440" w:right="1440"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7"/>
                <w:szCs w:val="17"/>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950,483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206,317</w:t>
            </w:r>
          </w:p>
        </w:tc>
        <w:tc>
          <w:tcPr>
            <w:tcW w:w="0" w:type="dxa"/>
            <w:vAlign w:val="bottom"/>
          </w:tcPr>
          <w:p>
            <w:pPr>
              <w:spacing w:after="0"/>
              <w:rPr>
                <w:sz w:val="1"/>
                <w:szCs w:val="1"/>
                <w:color w:val="auto"/>
              </w:rPr>
            </w:pPr>
          </w:p>
        </w:tc>
      </w:tr>
      <w:tr>
        <w:trPr>
          <w:trHeight w:val="224"/>
        </w:trPr>
        <w:tc>
          <w:tcPr>
            <w:tcW w:w="8480" w:type="dxa"/>
            <w:vAlign w:val="bottom"/>
          </w:tcPr>
          <w:p>
            <w:pPr>
              <w:ind w:left="220"/>
              <w:spacing w:after="0"/>
              <w:rPr>
                <w:sz w:val="20"/>
                <w:szCs w:val="20"/>
                <w:color w:val="auto"/>
              </w:rPr>
            </w:pPr>
            <w:r>
              <w:rPr>
                <w:rFonts w:ascii="Arial" w:cs="Arial" w:eastAsia="Arial" w:hAnsi="Arial"/>
                <w:sz w:val="16"/>
                <w:szCs w:val="16"/>
                <w:color w:val="auto"/>
              </w:rPr>
              <w:t>Restricted cash and investments</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34,634</w:t>
            </w:r>
          </w:p>
        </w:tc>
        <w:tc>
          <w:tcPr>
            <w:tcW w:w="0" w:type="dxa"/>
            <w:vAlign w:val="bottom"/>
          </w:tcPr>
          <w:p>
            <w:pPr>
              <w:spacing w:after="0"/>
              <w:rPr>
                <w:sz w:val="1"/>
                <w:szCs w:val="1"/>
                <w:color w:val="auto"/>
              </w:rPr>
            </w:pPr>
          </w:p>
        </w:tc>
      </w:tr>
      <w:tr>
        <w:trPr>
          <w:trHeight w:val="224"/>
        </w:trPr>
        <w:tc>
          <w:tcPr>
            <w:tcW w:w="84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44,305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53,899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Due from 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17,369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18,379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30,966</w:t>
            </w:r>
          </w:p>
        </w:tc>
        <w:tc>
          <w:tcPr>
            <w:tcW w:w="0" w:type="dxa"/>
            <w:vAlign w:val="bottom"/>
          </w:tcPr>
          <w:p>
            <w:pPr>
              <w:spacing w:after="0"/>
              <w:rPr>
                <w:sz w:val="1"/>
                <w:szCs w:val="1"/>
                <w:color w:val="auto"/>
              </w:rPr>
            </w:pPr>
          </w:p>
        </w:tc>
      </w:tr>
      <w:tr>
        <w:trPr>
          <w:trHeight w:val="224"/>
        </w:trPr>
        <w:tc>
          <w:tcPr>
            <w:tcW w:w="848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443,793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253,135</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1,534,737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604,643</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Investment in and advances to unconsolidated affiliates</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134,939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135,828</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2,418,687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2,614,524</w:t>
            </w:r>
          </w:p>
        </w:tc>
        <w:tc>
          <w:tcPr>
            <w:tcW w:w="0" w:type="dxa"/>
            <w:vAlign w:val="bottom"/>
          </w:tcPr>
          <w:p>
            <w:pPr>
              <w:spacing w:after="0"/>
              <w:rPr>
                <w:sz w:val="1"/>
                <w:szCs w:val="1"/>
                <w:color w:val="auto"/>
              </w:rPr>
            </w:pPr>
          </w:p>
        </w:tc>
      </w:tr>
      <w:tr>
        <w:trPr>
          <w:trHeight w:val="224"/>
        </w:trPr>
        <w:tc>
          <w:tcPr>
            <w:tcW w:w="8480" w:type="dxa"/>
            <w:vAlign w:val="bottom"/>
          </w:tcPr>
          <w:p>
            <w:pPr>
              <w:ind w:left="20"/>
              <w:spacing w:after="0"/>
              <w:rPr>
                <w:sz w:val="20"/>
                <w:szCs w:val="20"/>
                <w:color w:val="auto"/>
              </w:rPr>
            </w:pPr>
            <w:r>
              <w:rPr>
                <w:rFonts w:ascii="Arial" w:cs="Arial" w:eastAsia="Arial" w:hAnsi="Arial"/>
                <w:sz w:val="16"/>
                <w:szCs w:val="16"/>
                <w:color w:val="auto"/>
              </w:rPr>
              <w:t>Gaming licenses and other intangibles, net</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1,056,429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1,111,398</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810,187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909,717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127,550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188,219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76,224</w:t>
            </w:r>
          </w:p>
        </w:tc>
        <w:tc>
          <w:tcPr>
            <w:tcW w:w="0" w:type="dxa"/>
            <w:vAlign w:val="bottom"/>
          </w:tcPr>
          <w:p>
            <w:pPr>
              <w:spacing w:after="0"/>
              <w:rPr>
                <w:sz w:val="1"/>
                <w:szCs w:val="1"/>
                <w:color w:val="auto"/>
              </w:rPr>
            </w:pPr>
          </w:p>
        </w:tc>
      </w:tr>
      <w:tr>
        <w:trPr>
          <w:trHeight w:val="247"/>
        </w:trPr>
        <w:tc>
          <w:tcPr>
            <w:tcW w:w="84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6,148,447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5,640,553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8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246,175</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40,079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61,951</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property, gaming and other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43,050</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Accrued payroll and related</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42,676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62,337</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36,480</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25,188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23,898</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Short-term lease obligation</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19,991</w:t>
            </w: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Accrued other liabilities</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153,810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157,079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Liabilities related to assets held for sale</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131,674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37,485</w:t>
            </w:r>
          </w:p>
        </w:tc>
        <w:tc>
          <w:tcPr>
            <w:tcW w:w="0" w:type="dxa"/>
            <w:vAlign w:val="bottom"/>
          </w:tcPr>
          <w:p>
            <w:pPr>
              <w:spacing w:after="0"/>
              <w:rPr>
                <w:sz w:val="1"/>
                <w:szCs w:val="1"/>
                <w:color w:val="auto"/>
              </w:rPr>
            </w:pPr>
          </w:p>
        </w:tc>
      </w:tr>
      <w:tr>
        <w:trPr>
          <w:trHeight w:val="217"/>
        </w:trPr>
        <w:tc>
          <w:tcPr>
            <w:tcW w:w="84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476,002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688,446</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financing obligation to GLPI</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975,792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970,519</w:t>
            </w:r>
          </w:p>
        </w:tc>
        <w:tc>
          <w:tcPr>
            <w:tcW w:w="0" w:type="dxa"/>
            <w:vAlign w:val="bottom"/>
          </w:tcPr>
          <w:p>
            <w:pPr>
              <w:spacing w:after="0"/>
              <w:rPr>
                <w:sz w:val="1"/>
                <w:szCs w:val="1"/>
                <w:color w:val="auto"/>
              </w:rPr>
            </w:pPr>
          </w:p>
        </w:tc>
      </w:tr>
      <w:tr>
        <w:trPr>
          <w:trHeight w:val="224"/>
        </w:trPr>
        <w:tc>
          <w:tcPr>
            <w:tcW w:w="8480" w:type="dxa"/>
            <w:vAlign w:val="bottom"/>
          </w:tcPr>
          <w:p>
            <w:pPr>
              <w:ind w:left="20"/>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2,670,739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2,324,541</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144,973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197,266</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Long-term lease obligation</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98,040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176,932</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165,592</w:t>
            </w:r>
          </w:p>
        </w:tc>
        <w:tc>
          <w:tcPr>
            <w:tcW w:w="0" w:type="dxa"/>
            <w:vAlign w:val="bottom"/>
          </w:tcPr>
          <w:p>
            <w:pPr>
              <w:spacing w:after="0"/>
              <w:rPr>
                <w:sz w:val="1"/>
                <w:szCs w:val="1"/>
                <w:color w:val="auto"/>
              </w:rPr>
            </w:pPr>
          </w:p>
        </w:tc>
      </w:tr>
      <w:tr>
        <w:trPr>
          <w:trHeight w:val="217"/>
        </w:trPr>
        <w:tc>
          <w:tcPr>
            <w:tcW w:w="84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4,531,998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4,523,296</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1"/>
              </w:rPr>
              <w:t>Common stock, 200,000,000 shares authorized, 98,565,678 and 77,569,117 issued and outstanding, net of treasury shares, par</w:t>
            </w:r>
          </w:p>
        </w:tc>
        <w:tc>
          <w:tcPr>
            <w:tcW w:w="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value $0.00001 as of June 30, 2020 and December 31, 2019, respectively</w:t>
            </w: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220"/>
              <w:spacing w:after="0"/>
              <w:rPr>
                <w:sz w:val="20"/>
                <w:szCs w:val="20"/>
                <w:color w:val="auto"/>
              </w:rPr>
            </w:pPr>
            <w:r>
              <w:rPr>
                <w:rFonts w:ascii="Arial" w:cs="Arial" w:eastAsia="Arial" w:hAnsi="Arial"/>
                <w:sz w:val="16"/>
                <w:szCs w:val="16"/>
                <w:color w:val="auto"/>
              </w:rPr>
              <w:t>Paid-in capital</w:t>
            </w:r>
          </w:p>
        </w:tc>
        <w:tc>
          <w:tcPr>
            <w:tcW w:w="1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1,534,373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759,547</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366,463</w:t>
            </w:r>
          </w:p>
        </w:tc>
        <w:tc>
          <w:tcPr>
            <w:tcW w:w="0" w:type="dxa"/>
            <w:vAlign w:val="bottom"/>
          </w:tcPr>
          <w:p>
            <w:pPr>
              <w:spacing w:after="0"/>
              <w:rPr>
                <w:sz w:val="1"/>
                <w:szCs w:val="1"/>
                <w:color w:val="auto"/>
              </w:rPr>
            </w:pPr>
          </w:p>
        </w:tc>
      </w:tr>
      <w:tr>
        <w:trPr>
          <w:trHeight w:val="247"/>
        </w:trPr>
        <w:tc>
          <w:tcPr>
            <w:tcW w:w="8480" w:type="dxa"/>
            <w:vAlign w:val="bottom"/>
          </w:tcPr>
          <w:p>
            <w:pPr>
              <w:ind w:left="220"/>
              <w:spacing w:after="0"/>
              <w:rPr>
                <w:sz w:val="20"/>
                <w:szCs w:val="20"/>
                <w:color w:val="auto"/>
              </w:rPr>
            </w:pPr>
            <w:r>
              <w:rPr>
                <w:rFonts w:ascii="Arial" w:cs="Arial" w:eastAsia="Arial" w:hAnsi="Arial"/>
                <w:sz w:val="16"/>
                <w:szCs w:val="16"/>
                <w:color w:val="auto"/>
              </w:rPr>
              <w:t>Treasury stock at cost, 223,823 shares held at June 30, 2020 and December 31, 2019</w:t>
            </w:r>
          </w:p>
        </w:tc>
        <w:tc>
          <w:tcPr>
            <w:tcW w:w="18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66"/>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7"/>
        </w:trPr>
        <w:tc>
          <w:tcPr>
            <w:tcW w:w="8480" w:type="dxa"/>
            <w:vAlign w:val="bottom"/>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1,616,449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1,117,257</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6,148,447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5,640,553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200"/>
          </w:cols>
          <w:pgMar w:left="320" w:top="1107" w:right="379" w:bottom="6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7" w:right="379" w:bottom="649"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220"/>
              <w:spacing w:after="0"/>
              <w:rPr>
                <w:sz w:val="20"/>
                <w:szCs w:val="20"/>
                <w:color w:val="auto"/>
              </w:rPr>
            </w:pPr>
            <w:r>
              <w:rPr>
                <w:rFonts w:ascii="Arial" w:cs="Arial" w:eastAsia="Arial" w:hAnsi="Arial"/>
                <w:sz w:val="16"/>
                <w:szCs w:val="16"/>
                <w:color w:val="auto"/>
              </w:rPr>
              <w:t>Casino and pari-mutuel commissions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101,479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457,162</w:t>
            </w:r>
          </w:p>
        </w:tc>
        <w:tc>
          <w:tcPr>
            <w:tcW w:w="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441,228</w:t>
            </w:r>
          </w:p>
        </w:tc>
        <w:tc>
          <w:tcPr>
            <w:tcW w:w="10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927,848</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75,356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62,813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150,637</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78,391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57,292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143,175</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26,212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51,284</w:t>
            </w:r>
          </w:p>
        </w:tc>
        <w:tc>
          <w:tcPr>
            <w:tcW w:w="0" w:type="dxa"/>
            <w:vAlign w:val="bottom"/>
          </w:tcPr>
          <w:p>
            <w:pPr>
              <w:spacing w:after="0"/>
              <w:rPr>
                <w:sz w:val="1"/>
                <w:szCs w:val="1"/>
                <w:color w:val="auto"/>
              </w:rPr>
            </w:pPr>
          </w:p>
        </w:tc>
      </w:tr>
      <w:tr>
        <w:trPr>
          <w:trHeight w:val="217"/>
        </w:trPr>
        <w:tc>
          <w:tcPr>
            <w:tcW w:w="570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126,470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637,121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599,539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1,272,944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220"/>
              <w:spacing w:after="0"/>
              <w:rPr>
                <w:sz w:val="20"/>
                <w:szCs w:val="20"/>
                <w:color w:val="auto"/>
              </w:rPr>
            </w:pPr>
            <w:r>
              <w:rPr>
                <w:rFonts w:ascii="Arial" w:cs="Arial" w:eastAsia="Arial" w:hAnsi="Arial"/>
                <w:sz w:val="16"/>
                <w:szCs w:val="16"/>
                <w:color w:val="auto"/>
              </w:rPr>
              <w:t>Casino and pari-mutuel commissions</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203,240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202,510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413,546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59,497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61,505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119,882</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25,136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28,114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48,786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21,972</w:t>
            </w:r>
          </w:p>
        </w:tc>
        <w:tc>
          <w:tcPr>
            <w:tcW w:w="0" w:type="dxa"/>
            <w:vAlign w:val="bottom"/>
          </w:tcPr>
          <w:p>
            <w:pPr>
              <w:spacing w:after="0"/>
              <w:rPr>
                <w:sz w:val="1"/>
                <w:szCs w:val="1"/>
                <w:color w:val="auto"/>
              </w:rPr>
            </w:pPr>
          </w:p>
        </w:tc>
      </w:tr>
      <w:tr>
        <w:trPr>
          <w:trHeight w:val="224"/>
        </w:trPr>
        <w:tc>
          <w:tcPr>
            <w:tcW w:w="5700" w:type="dxa"/>
            <w:vAlign w:val="bottom"/>
          </w:tcPr>
          <w:p>
            <w:pPr>
              <w:ind w:left="220"/>
              <w:spacing w:after="0"/>
              <w:rPr>
                <w:sz w:val="20"/>
                <w:szCs w:val="20"/>
                <w:color w:val="auto"/>
              </w:rPr>
            </w:pPr>
            <w:r>
              <w:rPr>
                <w:rFonts w:ascii="Arial" w:cs="Arial" w:eastAsia="Arial" w:hAnsi="Arial"/>
                <w:sz w:val="16"/>
                <w:szCs w:val="16"/>
                <w:color w:val="auto"/>
              </w:rPr>
              <w:t>Marketing and promotions</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32,080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30,058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64,381</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64,862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117,431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156,537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237,319</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21,051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29,532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37,805</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160,758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24"/>
        </w:trPr>
        <w:tc>
          <w:tcPr>
            <w:tcW w:w="5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48,939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56,533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99,372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114,290</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525,691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778,746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1,058,939</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color w:val="auto"/>
              </w:rPr>
              <w:t>(Loss) gain on sale or disposal of property and equipment</w:t>
            </w:r>
          </w:p>
        </w:tc>
        <w:tc>
          <w:tcPr>
            <w:tcW w:w="2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21,952</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color w:val="auto"/>
              </w:rPr>
              <w:t>Loss from unconsolidated affiliates</w:t>
            </w:r>
          </w:p>
        </w:tc>
        <w:tc>
          <w:tcPr>
            <w:tcW w:w="2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102,550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226,154</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(145,308)</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Unrealized gain (loss) on investments and marketable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17"/>
        </w:trPr>
        <w:tc>
          <w:tcPr>
            <w:tcW w:w="5700" w:type="dxa"/>
            <w:vAlign w:val="bottom"/>
          </w:tcPr>
          <w:p>
            <w:pPr>
              <w:ind w:left="460"/>
              <w:spacing w:after="0"/>
              <w:rPr>
                <w:sz w:val="20"/>
                <w:szCs w:val="20"/>
                <w:color w:val="auto"/>
              </w:rPr>
            </w:pPr>
            <w:r>
              <w:rPr>
                <w:rFonts w:ascii="Arial" w:cs="Arial" w:eastAsia="Arial" w:hAnsi="Arial"/>
                <w:sz w:val="16"/>
                <w:szCs w:val="16"/>
                <w:color w:val="auto"/>
              </w:rPr>
              <w:t>Total other expense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(55,330)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(73,196)</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(144,960)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(148,166)</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29,354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(346,467)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77,988</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(10,418)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(20,823)</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(99,996)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18,936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(275,634)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57,165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per share of common stock:</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basic shares outstanding</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80,053,676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77,682,759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79,009,373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77,625,303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80,053,676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78,725,289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79,009,373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78,657,552</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78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56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(99,996)</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18,936</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(275,634)</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57,165</w:t>
            </w: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0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6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(loss) income, net of tax</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6"/>
                <w:szCs w:val="16"/>
                <w:color w:val="auto"/>
              </w:rPr>
              <w:t>(99,996)</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18,936</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(275,634)</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57,165</w:t>
            </w: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840" w:type="dxa"/>
            <w:vAlign w:val="bottom"/>
            <w:gridSpan w:val="5"/>
          </w:tcPr>
          <w:p>
            <w:pPr>
              <w:ind w:left="3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Retained</w:t>
            </w: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w w:val="94"/>
              </w:rPr>
              <w:t>Comprehensive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77,792,940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759,547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366,463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1,117,257</w:t>
            </w:r>
          </w:p>
        </w:tc>
        <w:tc>
          <w:tcPr>
            <w:tcW w:w="0" w:type="dxa"/>
            <w:vAlign w:val="bottom"/>
          </w:tcPr>
          <w:p>
            <w:pPr>
              <w:spacing w:after="0"/>
              <w:rPr>
                <w:sz w:val="1"/>
                <w:szCs w:val="1"/>
                <w:color w:val="auto"/>
              </w:rPr>
            </w:pPr>
          </w:p>
        </w:tc>
      </w:tr>
      <w:tr>
        <w:trPr>
          <w:trHeight w:val="247"/>
        </w:trPr>
        <w:tc>
          <w:tcPr>
            <w:tcW w:w="3580" w:type="dxa"/>
            <w:vAlign w:val="bottom"/>
          </w:tcPr>
          <w:p>
            <w:pPr>
              <w:ind w:left="220"/>
              <w:spacing w:after="0"/>
              <w:rPr>
                <w:sz w:val="20"/>
                <w:szCs w:val="20"/>
                <w:color w:val="auto"/>
              </w:rPr>
            </w:pPr>
            <w:r>
              <w:rPr>
                <w:rFonts w:ascii="Arial" w:cs="Arial" w:eastAsia="Arial" w:hAnsi="Arial"/>
                <w:sz w:val="16"/>
                <w:szCs w:val="16"/>
                <w:color w:val="auto"/>
              </w:rPr>
              <w:t>Issuance of restricted stock units</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356,367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5,742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46"/>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(175,638)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(175,638)</w:t>
            </w:r>
          </w:p>
        </w:tc>
        <w:tc>
          <w:tcPr>
            <w:tcW w:w="0" w:type="dxa"/>
            <w:vAlign w:val="bottom"/>
          </w:tcPr>
          <w:p>
            <w:pPr>
              <w:spacing w:after="0"/>
              <w:rPr>
                <w:sz w:val="1"/>
                <w:szCs w:val="1"/>
                <w:color w:val="auto"/>
              </w:rPr>
            </w:pPr>
          </w:p>
        </w:tc>
      </w:tr>
      <w:tr>
        <w:trPr>
          <w:trHeight w:val="206"/>
        </w:trPr>
        <w:tc>
          <w:tcPr>
            <w:tcW w:w="3580" w:type="dxa"/>
            <w:vAlign w:val="bottom"/>
          </w:tcPr>
          <w:p>
            <w:pPr>
              <w:ind w:left="220"/>
              <w:spacing w:after="0"/>
              <w:rPr>
                <w:sz w:val="20"/>
                <w:szCs w:val="20"/>
                <w:color w:val="auto"/>
              </w:rPr>
            </w:pPr>
            <w:r>
              <w:rPr>
                <w:rFonts w:ascii="Arial" w:cs="Arial" w:eastAsia="Arial" w:hAnsi="Arial"/>
                <w:sz w:val="16"/>
                <w:szCs w:val="16"/>
                <w:color w:val="auto"/>
                <w:w w:val="94"/>
              </w:rPr>
              <w:t>Shares withheld related to net share settlement of</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(122,590)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(7,152)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219"/>
        </w:trPr>
        <w:tc>
          <w:tcPr>
            <w:tcW w:w="3580" w:type="dxa"/>
            <w:vAlign w:val="bottom"/>
          </w:tcPr>
          <w:p>
            <w:pPr>
              <w:ind w:left="400"/>
              <w:spacing w:after="0"/>
              <w:rPr>
                <w:sz w:val="20"/>
                <w:szCs w:val="20"/>
                <w:color w:val="auto"/>
              </w:rPr>
            </w:pPr>
            <w:r>
              <w:rPr>
                <w:rFonts w:ascii="Arial" w:cs="Arial" w:eastAsia="Arial" w:hAnsi="Arial"/>
                <w:sz w:val="16"/>
                <w:szCs w:val="16"/>
                <w:color w:val="auto"/>
              </w:rPr>
              <w:t>stock awards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78,026,717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758,137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190,825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940,209</w:t>
            </w:r>
          </w:p>
        </w:tc>
        <w:tc>
          <w:tcPr>
            <w:tcW w:w="0" w:type="dxa"/>
            <w:vAlign w:val="bottom"/>
          </w:tcPr>
          <w:p>
            <w:pPr>
              <w:spacing w:after="0"/>
              <w:rPr>
                <w:sz w:val="1"/>
                <w:szCs w:val="1"/>
                <w:color w:val="auto"/>
              </w:rPr>
            </w:pPr>
          </w:p>
        </w:tc>
      </w:tr>
      <w:tr>
        <w:trPr>
          <w:trHeight w:val="247"/>
        </w:trPr>
        <w:tc>
          <w:tcPr>
            <w:tcW w:w="3580" w:type="dxa"/>
            <w:vAlign w:val="bottom"/>
          </w:tcPr>
          <w:p>
            <w:pPr>
              <w:ind w:left="220"/>
              <w:spacing w:after="0"/>
              <w:rPr>
                <w:sz w:val="20"/>
                <w:szCs w:val="20"/>
                <w:color w:val="auto"/>
              </w:rPr>
            </w:pPr>
            <w:r>
              <w:rPr>
                <w:rFonts w:ascii="Arial" w:cs="Arial" w:eastAsia="Arial" w:hAnsi="Arial"/>
                <w:sz w:val="16"/>
                <w:szCs w:val="16"/>
                <w:color w:val="auto"/>
              </w:rPr>
              <w:t>Issuance of restricted stock units</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71,887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4,229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46"/>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Issuance of common stock, net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20,700,000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772,392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772,392</w:t>
            </w: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(99,996)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(99,996)</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Exercise of stock options</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6"/>
        </w:trPr>
        <w:tc>
          <w:tcPr>
            <w:tcW w:w="3580" w:type="dxa"/>
            <w:vAlign w:val="bottom"/>
          </w:tcPr>
          <w:p>
            <w:pPr>
              <w:ind w:left="220"/>
              <w:spacing w:after="0"/>
              <w:rPr>
                <w:sz w:val="20"/>
                <w:szCs w:val="20"/>
                <w:color w:val="auto"/>
              </w:rPr>
            </w:pPr>
            <w:r>
              <w:rPr>
                <w:rFonts w:ascii="Arial" w:cs="Arial" w:eastAsia="Arial" w:hAnsi="Arial"/>
                <w:sz w:val="16"/>
                <w:szCs w:val="16"/>
                <w:color w:val="auto"/>
                <w:w w:val="94"/>
              </w:rPr>
              <w:t>Shares withheld related to net share settlement of</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(24,403)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9"/>
        </w:trPr>
        <w:tc>
          <w:tcPr>
            <w:tcW w:w="3580" w:type="dxa"/>
            <w:vAlign w:val="bottom"/>
          </w:tcPr>
          <w:p>
            <w:pPr>
              <w:ind w:left="400"/>
              <w:spacing w:after="0"/>
              <w:rPr>
                <w:sz w:val="20"/>
                <w:szCs w:val="20"/>
                <w:color w:val="auto"/>
              </w:rPr>
            </w:pPr>
            <w:r>
              <w:rPr>
                <w:rFonts w:ascii="Arial" w:cs="Arial" w:eastAsia="Arial" w:hAnsi="Arial"/>
                <w:sz w:val="16"/>
                <w:szCs w:val="16"/>
                <w:color w:val="auto"/>
              </w:rPr>
              <w:t>stock awards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9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98,789,501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1,534,373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90,829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1,616,449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77,438,889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748,076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290,206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1,029,153</w:t>
            </w:r>
          </w:p>
        </w:tc>
        <w:tc>
          <w:tcPr>
            <w:tcW w:w="0" w:type="dxa"/>
            <w:vAlign w:val="bottom"/>
          </w:tcPr>
          <w:p>
            <w:pPr>
              <w:spacing w:after="0"/>
              <w:rPr>
                <w:sz w:val="1"/>
                <w:szCs w:val="1"/>
                <w:color w:val="auto"/>
              </w:rPr>
            </w:pPr>
          </w:p>
        </w:tc>
      </w:tr>
      <w:tr>
        <w:trPr>
          <w:trHeight w:val="206"/>
        </w:trPr>
        <w:tc>
          <w:tcPr>
            <w:tcW w:w="3580" w:type="dxa"/>
            <w:vAlign w:val="bottom"/>
          </w:tcPr>
          <w:p>
            <w:pPr>
              <w:ind w:left="220"/>
              <w:spacing w:after="0"/>
              <w:rPr>
                <w:sz w:val="20"/>
                <w:szCs w:val="20"/>
                <w:color w:val="auto"/>
              </w:rPr>
            </w:pPr>
            <w:r>
              <w:rPr>
                <w:rFonts w:ascii="Arial" w:cs="Arial" w:eastAsia="Arial" w:hAnsi="Arial"/>
                <w:sz w:val="16"/>
                <w:szCs w:val="16"/>
                <w:color w:val="auto"/>
                <w:w w:val="95"/>
              </w:rPr>
              <w:t>Cumulative change in accounting principle, net of</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(4,744)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6"/>
                <w:szCs w:val="16"/>
                <w:color w:val="auto"/>
              </w:rPr>
              <w:t>tax</w:t>
            </w: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restricted stock units</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330,641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4,948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4,948</w:t>
            </w:r>
          </w:p>
        </w:tc>
        <w:tc>
          <w:tcPr>
            <w:tcW w:w="0" w:type="dxa"/>
            <w:vAlign w:val="bottom"/>
          </w:tcPr>
          <w:p>
            <w:pPr>
              <w:spacing w:after="0"/>
              <w:rPr>
                <w:sz w:val="1"/>
                <w:szCs w:val="1"/>
                <w:color w:val="auto"/>
              </w:rPr>
            </w:pPr>
          </w:p>
        </w:tc>
      </w:tr>
      <w:tr>
        <w:trPr>
          <w:trHeight w:val="224"/>
        </w:trPr>
        <w:tc>
          <w:tcPr>
            <w:tcW w:w="35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38,229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38,229</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Shares withheld related to net share settlement of</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(106,542)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awards</w:t>
            </w: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6"/>
                <w:szCs w:val="16"/>
                <w:color w:val="auto"/>
              </w:rPr>
              <w:t>Balance, March 31, 2019</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2"/>
              </w:rPr>
              <w:t>77,662,988</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748,702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6"/>
              </w:rPr>
              <w:t>323,691</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2"/>
              </w:rPr>
              <w:t>1,063,264</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restricted stock units</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169,248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6,509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6,509</w:t>
            </w: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18,936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18,936</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Shares withheld related to net share settlement of</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(65,312)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awards</w:t>
            </w: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80" w:type="dxa"/>
            <w:vAlign w:val="bottom"/>
          </w:tcPr>
          <w:p>
            <w:pPr>
              <w:ind w:left="20"/>
              <w:spacing w:after="0"/>
              <w:rPr>
                <w:sz w:val="20"/>
                <w:szCs w:val="20"/>
                <w:color w:val="auto"/>
              </w:rPr>
            </w:pPr>
            <w:r>
              <w:rPr>
                <w:rFonts w:ascii="Arial" w:cs="Arial" w:eastAsia="Arial" w:hAnsi="Arial"/>
                <w:sz w:val="16"/>
                <w:szCs w:val="16"/>
                <w:color w:val="auto"/>
              </w:rPr>
              <w:t>Balance, June 30, 2019</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77,766,924</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752,021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96"/>
              </w:rPr>
              <w:t>342,627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223,823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(9,131)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1,085,519</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33020</wp:posOffset>
            </wp:positionV>
            <wp:extent cx="1731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5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8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(275,634)</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57,165</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99,372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114,290</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Amortization of deferred financing costs, discount and debt premium</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8,497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9,186</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(3,182)</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Equity in loss of unconsolidated affiliates</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1,702</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617</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Lease amortization</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1,332</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Unrealized loss on investments</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2,858</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Stock compensation expense</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9,971</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11,457</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Gain on sale of property and equipment</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(21,952)</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Impairment charges</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160,758</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958</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Benefit for deferred income taxes</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(6,671)</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631</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6,391</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(3,786)</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3,347</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(8,636)</w:t>
            </w: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Accounts payable and accrued other liabilities</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(29,756)</w:t>
            </w:r>
          </w:p>
        </w:tc>
      </w:tr>
      <w:tr>
        <w:trPr>
          <w:trHeight w:val="33"/>
        </w:trPr>
        <w:tc>
          <w:tcPr>
            <w:tcW w:w="85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(80,463)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127,858</w:t>
            </w:r>
          </w:p>
        </w:tc>
      </w:tr>
      <w:tr>
        <w:trPr>
          <w:trHeight w:val="196"/>
        </w:trPr>
        <w:tc>
          <w:tcPr>
            <w:tcW w:w="85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Purchase of property and equipment, net</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(97,114)</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restricted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Sale of restricted investments</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4,985</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167,609</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75,480</w:t>
            </w:r>
          </w:p>
        </w:tc>
      </w:tr>
      <w:tr>
        <w:trPr>
          <w:trHeight w:val="196"/>
        </w:trPr>
        <w:tc>
          <w:tcPr>
            <w:tcW w:w="85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Borrowings under Revolving Credit Facility</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under Revolving Credit Facility</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(245,000)</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Payments on Term Loan</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772,392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(7,512)</w:t>
            </w: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other long-term payables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17"/>
        </w:trPr>
        <w:tc>
          <w:tcPr>
            <w:tcW w:w="8520" w:type="dxa"/>
            <w:vAlign w:val="bottom"/>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862,711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(253,204)</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ind w:left="85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33020</wp:posOffset>
            </wp:positionV>
            <wp:extent cx="1731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Increase (decrease)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740,849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(49,866)</w:t>
            </w:r>
          </w:p>
        </w:tc>
        <w:tc>
          <w:tcPr>
            <w:tcW w:w="0" w:type="dxa"/>
            <w:vAlign w:val="bottom"/>
          </w:tcPr>
          <w:p>
            <w:pPr>
              <w:spacing w:after="0"/>
              <w:rPr>
                <w:sz w:val="1"/>
                <w:szCs w:val="1"/>
                <w:color w:val="auto"/>
              </w:rPr>
            </w:pP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216,578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246,691</w:t>
            </w: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957,427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196,825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RECONCILIATION OF CASH, CASH EQUIVALENTS AND RESTRICTED CASH TO AMOUNTS REPORTED WITHIN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6"/>
                <w:szCs w:val="16"/>
                <w:color w:val="auto"/>
              </w:rPr>
              <w:t>THE CONSOLIDATED BALANCE SHEETS: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950,483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183,139</w:t>
            </w:r>
          </w:p>
        </w:tc>
        <w:tc>
          <w:tcPr>
            <w:tcW w:w="0" w:type="dxa"/>
            <w:vAlign w:val="bottom"/>
          </w:tcPr>
          <w:p>
            <w:pPr>
              <w:spacing w:after="0"/>
              <w:rPr>
                <w:sz w:val="1"/>
                <w:szCs w:val="1"/>
                <w:color w:val="auto"/>
              </w:rPr>
            </w:pPr>
          </w:p>
        </w:tc>
      </w:tr>
      <w:tr>
        <w:trPr>
          <w:trHeight w:val="223"/>
        </w:trPr>
        <w:tc>
          <w:tcPr>
            <w:tcW w:w="852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7,258</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and escrow cash included in other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6,428</w:t>
            </w:r>
          </w:p>
        </w:tc>
        <w:tc>
          <w:tcPr>
            <w:tcW w:w="0" w:type="dxa"/>
            <w:vAlign w:val="bottom"/>
          </w:tcPr>
          <w:p>
            <w:pPr>
              <w:spacing w:after="0"/>
              <w:rPr>
                <w:sz w:val="1"/>
                <w:szCs w:val="1"/>
                <w:color w:val="auto"/>
              </w:rPr>
            </w:pPr>
          </w:p>
        </w:tc>
      </w:tr>
      <w:tr>
        <w:trPr>
          <w:trHeight w:val="247"/>
        </w:trPr>
        <w:tc>
          <w:tcPr>
            <w:tcW w:w="852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957,427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196,825</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126,485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134,083</w:t>
            </w:r>
          </w:p>
        </w:tc>
        <w:tc>
          <w:tcPr>
            <w:tcW w:w="0" w:type="dxa"/>
            <w:vAlign w:val="bottom"/>
          </w:tcPr>
          <w:p>
            <w:pPr>
              <w:spacing w:after="0"/>
              <w:rPr>
                <w:sz w:val="1"/>
                <w:szCs w:val="1"/>
                <w:color w:val="auto"/>
              </w:rPr>
            </w:pP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Income taxes (refunded) paid, net</w:t>
            </w:r>
          </w:p>
        </w:tc>
        <w:tc>
          <w:tcPr>
            <w:tcW w:w="2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38,210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20"/>
              <w:spacing w:after="0"/>
              <w:rPr>
                <w:sz w:val="20"/>
                <w:szCs w:val="20"/>
                <w:color w:val="auto"/>
              </w:rPr>
            </w:pPr>
            <w:r>
              <w:rPr>
                <w:rFonts w:ascii="Arial" w:cs="Arial" w:eastAsia="Arial" w:hAnsi="Arial"/>
                <w:sz w:val="16"/>
                <w:szCs w:val="16"/>
                <w:color w:val="auto"/>
              </w:rPr>
              <w:t>Payables for capital expenditures</w:t>
            </w: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14,525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Caesars Entertainment, Inc., a Delaware corporation formerly known as Eldorado Resorts, Inc. (“ERI” or “Eldorado”), and its consolidated subsidiaries which may be referred to as the “Company,” “we,” “our,” or “us” within these financial statements.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Company is a geographically diversified gaming and hospitality company with 23 gaming facilities in 11 states as of June 30, 2020. As of June 30, 2020, the Company’s properties were located in Colorado, Florida, Illinois, Indiana, Iowa, Mississippi, Missouri, Louisiana, Nevada, New Jersey and Ohio, and featured approximately 23,900 slot machines, video lottery terminals (“VLTs”) and e-tables, approximately 660 table games and approximately 11,300 hotel rooms. On July 20, 2020, the Company completed the merger in which a wholly-owned subsidiary of the Company merged with and into Caesars Entertainment Corporation (“Former Caesars”) with Former Caesars surviving as a wholly-owned subsidiary of the Company (the “Merger”) pursuant to the Agreement and Plan of Merger dated as of June 24, 2019 (as amended by Amendment No. 1 to Agreement and Plan of Merger, dated as of August 15, 2019, the “Merger Agreement”). As a result of the Merger, the Company currently owns an aggregate of 54 domestic properties in 16 states with approximately 60,400 slot machines, VLTs and e-tables, approximately 3,350 table games and approximately 51,200 hotel rooms, which includes international operations in five countries outside of the U.S. The Company’s primary source of revenue is generated by gaming operations, and the Company utilizes its hotels, restaurants, bars, entertainment, racing, sportsbook offerings, retail shops and other services to attract customers to its properties.</w:t>
      </w:r>
    </w:p>
    <w:p>
      <w:pPr>
        <w:spacing w:after="0" w:line="13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was founded in 1973 by the Carano family with the opening of the Eldorado Hotel Casino in Reno, Nevada, and in 1993, partnered with MGM Resorts International to build Silver Legacy Resort Casino in Reno, Nevada. Beginning in 2005, the Company grew through a series of acquisitions, including the acquisition of Eldorado Shreveport in 2005, MTR Gaming Group, Inc. in 2014, Circus Circus Reno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11, 2019 and March 8, 2019, respectively, the Company completed its sales of Presque Isle Downs &amp; Casino (“Presque”) and Lady Luck Casino Nemacolin (“Nemacolin”), which are both located in Pennsylvania. On December 6, 2019, the Company completed its sales of Mountaineer Casino, Racetrack and Resort (“Mountaineer”), Isle Casino Cape Girardeau (“Cape Girardeau”) and Lady Luck Casino Caruthersville (“Caruthersville”). Mountaineer is located in West Virginia and Cape Girardeau and Caruthersville are located in Missouri. On July 1, 2020, the Company completed the sales of Isle of Capri Casino Kansas City (“Kansas City”) and Lady Luck Casino Vicksburg (“Vicksburg”). Kansas City is located in Missouri and Vicksburg is located in Mississippi. See Note 5.</w:t>
      </w:r>
    </w:p>
    <w:p>
      <w:pPr>
        <w:spacing w:after="0" w:line="1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the Company’s ticker symbol on the NASDAQ Stock Market changed from “ERI” to “CZR”. In connection with the execution of the Merger Agreement, the Company also entered into a Master Transaction Agreement (the “MTA”) with VICI Properties L.P., a Delaware limited partnership (“VICI”), pursuant to which, among other things, the Company agreed to consummate certain sale and leaseback transactions and amend certain lease agreements with VICI and/or its affiliates, with respect to certain property described in the MTA. See Note 2 for further discussion of the Merger and related transactions.</w:t>
      </w:r>
    </w:p>
    <w:p>
      <w:pPr>
        <w:spacing w:after="0" w:line="1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24, 2020, the Company entered into a definitive purchase agreement with Twin River Worldwide Holdings, Inc. (“Twin River”) and certain of its affiliates for the sale of the equity interests of Eldorado Resort Casino Shreveport Joint Venture and Columbia Properties Tahoe, LLC, the entities that hold Eldorado Resort Casino Shreveport and MontBleu Casino Resort &amp; Spa, for aggregate consideration of $155 million, subject to a working capital adjustment. The definitive agreement provides that the consummation of the sale is subject to satisfaction of customary conditions, including receipt of required regulatory approvals and is expected to close in the first quarter of 2021.</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its review of the Merger, the Indiana Gaming Commission determined on July 16, 2020 that the Company will be required to divest three properties within the state of Indiana in order to avoid undue economic concentrations as conditions to the Indiana Gaming Commission’s approval of the Merger. As a result, the Company plans to enter into agreements to divest of Evansville, as well as two additional properties that the Company acquired as a result of the Merger, prior to December 31,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gridSpan w:val="2"/>
          </w:tcPr>
          <w:p>
            <w:pPr>
              <w:ind w:left="540"/>
              <w:spacing w:after="0"/>
              <w:rPr>
                <w:sz w:val="20"/>
                <w:szCs w:val="20"/>
                <w:color w:val="auto"/>
              </w:rPr>
            </w:pPr>
            <w:r>
              <w:rPr>
                <w:rFonts w:ascii="Arial" w:cs="Arial" w:eastAsia="Arial" w:hAnsi="Arial"/>
                <w:sz w:val="16"/>
                <w:szCs w:val="16"/>
                <w:b w:val="1"/>
                <w:bCs w:val="1"/>
                <w:color w:val="auto"/>
              </w:rPr>
              <w:t>Segment</w:t>
            </w:r>
          </w:p>
        </w:tc>
        <w:tc>
          <w:tcPr>
            <w:tcW w:w="5400" w:type="dxa"/>
            <w:vAlign w:val="bottom"/>
            <w:gridSpan w:val="2"/>
          </w:tcPr>
          <w:p>
            <w:pPr>
              <w:ind w:left="2340"/>
              <w:spacing w:after="0"/>
              <w:rPr>
                <w:sz w:val="20"/>
                <w:szCs w:val="20"/>
                <w:color w:val="auto"/>
              </w:rPr>
            </w:pPr>
            <w:r>
              <w:rPr>
                <w:rFonts w:ascii="Arial" w:cs="Arial" w:eastAsia="Arial" w:hAnsi="Arial"/>
                <w:sz w:val="16"/>
                <w:szCs w:val="16"/>
                <w:b w:val="1"/>
                <w:bCs w:val="1"/>
                <w:color w:val="auto"/>
              </w:rPr>
              <w:t>Property</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 Acquired</w:t>
            </w:r>
          </w:p>
        </w:tc>
        <w:tc>
          <w:tcPr>
            <w:tcW w:w="1680" w:type="dxa"/>
            <w:vAlign w:val="bottom"/>
          </w:tcPr>
          <w:p>
            <w:pPr>
              <w:ind w:left="660"/>
              <w:spacing w:after="0"/>
              <w:rPr>
                <w:sz w:val="20"/>
                <w:szCs w:val="20"/>
                <w:color w:val="auto"/>
              </w:rPr>
            </w:pPr>
            <w:r>
              <w:rPr>
                <w:rFonts w:ascii="Arial" w:cs="Arial" w:eastAsia="Arial" w:hAnsi="Arial"/>
                <w:sz w:val="16"/>
                <w:szCs w:val="16"/>
                <w:b w:val="1"/>
                <w:bCs w:val="1"/>
                <w:color w:val="auto"/>
              </w:rPr>
              <w:t>State</w:t>
            </w:r>
          </w:p>
        </w:tc>
      </w:tr>
      <w:tr>
        <w:trPr>
          <w:trHeight w:val="33"/>
        </w:trPr>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1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West</w:t>
            </w: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Eldorado Resort Casino Reno (“Eldorado Reno”)</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Nevada</w:t>
            </w:r>
          </w:p>
        </w:tc>
      </w:tr>
      <w:tr>
        <w:trPr>
          <w:trHeight w:val="224"/>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Silver Legacy Resort Casino (“Silver Legacy”)</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w:t>
            </w:r>
          </w:p>
        </w:tc>
        <w:tc>
          <w:tcPr>
            <w:tcW w:w="1680" w:type="dxa"/>
            <w:vAlign w:val="bottom"/>
          </w:tcPr>
          <w:p>
            <w:pPr>
              <w:ind w:left="200"/>
              <w:spacing w:after="0"/>
              <w:rPr>
                <w:sz w:val="20"/>
                <w:szCs w:val="20"/>
                <w:color w:val="auto"/>
              </w:rPr>
            </w:pPr>
            <w:r>
              <w:rPr>
                <w:rFonts w:ascii="Arial" w:cs="Arial" w:eastAsia="Arial" w:hAnsi="Arial"/>
                <w:sz w:val="16"/>
                <w:szCs w:val="16"/>
                <w:color w:val="auto"/>
              </w:rPr>
              <w:t>Nevada</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Circus Circus Reno (“Circus Reno”)</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Nevada</w:t>
            </w: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MontBleu Casino Resort &amp; Spa (“MontBleu”)</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1, 2018 (c)</w:t>
            </w:r>
          </w:p>
        </w:tc>
        <w:tc>
          <w:tcPr>
            <w:tcW w:w="1680" w:type="dxa"/>
            <w:vAlign w:val="bottom"/>
          </w:tcPr>
          <w:p>
            <w:pPr>
              <w:ind w:left="200"/>
              <w:spacing w:after="0"/>
              <w:rPr>
                <w:sz w:val="20"/>
                <w:szCs w:val="20"/>
                <w:color w:val="auto"/>
              </w:rPr>
            </w:pPr>
            <w:r>
              <w:rPr>
                <w:rFonts w:ascii="Arial" w:cs="Arial" w:eastAsia="Arial" w:hAnsi="Arial"/>
                <w:sz w:val="16"/>
                <w:szCs w:val="16"/>
                <w:color w:val="auto"/>
              </w:rPr>
              <w:t>Nevada</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Tropicana Laughlin Hotel &amp; Casino (“Laughlin”)</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1, 2018</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Nevada</w:t>
            </w:r>
          </w:p>
        </w:tc>
      </w:tr>
      <w:tr>
        <w:trPr>
          <w:trHeight w:val="224"/>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Casino Hotel - Blackhawk (“Isle Black Hawk”)</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Colorado</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Lady Luck Casino - Black Hawk (“Lady Luck Black Hawk”)</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Colorado</w:t>
            </w: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Midwest (b)</w:t>
            </w: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Isle Casino Waterloo (“Waterloo”)</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Iowa</w:t>
            </w: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Casino Bettendorf (“Bettendorf”)</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Iowa</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Isle of Capri Casino Boonville (“Boonville”)</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Missouri</w:t>
            </w:r>
          </w:p>
        </w:tc>
      </w:tr>
      <w:tr>
        <w:trPr>
          <w:trHeight w:val="224"/>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of Capri Casino Kansas City (“Kansas City”)</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1, 2017 (c)</w:t>
            </w:r>
          </w:p>
        </w:tc>
        <w:tc>
          <w:tcPr>
            <w:tcW w:w="1680" w:type="dxa"/>
            <w:vAlign w:val="bottom"/>
          </w:tcPr>
          <w:p>
            <w:pPr>
              <w:ind w:left="200"/>
              <w:spacing w:after="0"/>
              <w:rPr>
                <w:sz w:val="20"/>
                <w:szCs w:val="20"/>
                <w:color w:val="auto"/>
              </w:rPr>
            </w:pPr>
            <w:r>
              <w:rPr>
                <w:rFonts w:ascii="Arial" w:cs="Arial" w:eastAsia="Arial" w:hAnsi="Arial"/>
                <w:sz w:val="16"/>
                <w:szCs w:val="16"/>
                <w:color w:val="auto"/>
              </w:rPr>
              <w:t>Missouri</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62"/>
        </w:trPr>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23"/>
        </w:trPr>
        <w:tc>
          <w:tcPr>
            <w:tcW w:w="1780" w:type="dxa"/>
            <w:vAlign w:val="bottom"/>
            <w:gridSpan w:val="2"/>
          </w:tcPr>
          <w:p>
            <w:pPr>
              <w:ind w:left="220"/>
              <w:spacing w:after="0"/>
              <w:rPr>
                <w:sz w:val="20"/>
                <w:szCs w:val="20"/>
                <w:color w:val="auto"/>
              </w:rPr>
            </w:pPr>
            <w:r>
              <w:rPr>
                <w:rFonts w:ascii="Arial" w:cs="Arial" w:eastAsia="Arial" w:hAnsi="Arial"/>
                <w:sz w:val="16"/>
                <w:szCs w:val="16"/>
                <w:color w:val="auto"/>
              </w:rPr>
              <w:t>South</w:t>
            </w: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Casino Racing Pompano Park (“Pompano”)</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Florida</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Eldorado Resort Casino Shreveport (“Eldorado Shreveport”)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 (c)</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Louisiana</w:t>
            </w:r>
          </w:p>
        </w:tc>
      </w:tr>
      <w:tr>
        <w:trPr>
          <w:trHeight w:val="224"/>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of Capri Casino Hotel Lake Charles (“Lake Charles”)</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Louisiana</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Belle of Baton Rouge Casino &amp; Hotel (“Baton Rouge”)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1, 2018</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Louisiana</w:t>
            </w: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Isle of Capri Casino Lula (“Lula”)</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Mississippi</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Lady Luck Casino Vicksburg (“Vicksburg”)</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1, 2017 (c)</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Mississippi</w:t>
            </w: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Trop Casino Greenville (“Greenville”)</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2018</w:t>
            </w:r>
          </w:p>
        </w:tc>
        <w:tc>
          <w:tcPr>
            <w:tcW w:w="1680" w:type="dxa"/>
            <w:vAlign w:val="bottom"/>
          </w:tcPr>
          <w:p>
            <w:pPr>
              <w:ind w:left="200"/>
              <w:spacing w:after="0"/>
              <w:rPr>
                <w:sz w:val="20"/>
                <w:szCs w:val="20"/>
                <w:color w:val="auto"/>
              </w:rPr>
            </w:pPr>
            <w:r>
              <w:rPr>
                <w:rFonts w:ascii="Arial" w:cs="Arial" w:eastAsia="Arial" w:hAnsi="Arial"/>
                <w:sz w:val="16"/>
                <w:szCs w:val="16"/>
                <w:color w:val="auto"/>
              </w:rPr>
              <w:t>Mississippi</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62"/>
        </w:trPr>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23"/>
        </w:trPr>
        <w:tc>
          <w:tcPr>
            <w:tcW w:w="1780" w:type="dxa"/>
            <w:vAlign w:val="bottom"/>
            <w:gridSpan w:val="2"/>
          </w:tcPr>
          <w:p>
            <w:pPr>
              <w:ind w:left="220"/>
              <w:spacing w:after="0"/>
              <w:rPr>
                <w:sz w:val="20"/>
                <w:szCs w:val="20"/>
                <w:color w:val="auto"/>
              </w:rPr>
            </w:pPr>
            <w:r>
              <w:rPr>
                <w:rFonts w:ascii="Arial" w:cs="Arial" w:eastAsia="Arial" w:hAnsi="Arial"/>
                <w:sz w:val="16"/>
                <w:szCs w:val="16"/>
                <w:color w:val="auto"/>
              </w:rPr>
              <w:t>East (b)</w:t>
            </w: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Eldorado Gaming Scioto Downs (“Scioto Downs”)</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w:t>
            </w:r>
          </w:p>
        </w:tc>
        <w:tc>
          <w:tcPr>
            <w:tcW w:w="1680" w:type="dxa"/>
            <w:vAlign w:val="bottom"/>
          </w:tcPr>
          <w:p>
            <w:pPr>
              <w:ind w:left="200"/>
              <w:spacing w:after="0"/>
              <w:rPr>
                <w:sz w:val="20"/>
                <w:szCs w:val="20"/>
                <w:color w:val="auto"/>
              </w:rPr>
            </w:pPr>
            <w:r>
              <w:rPr>
                <w:rFonts w:ascii="Arial" w:cs="Arial" w:eastAsia="Arial" w:hAnsi="Arial"/>
                <w:sz w:val="16"/>
                <w:szCs w:val="16"/>
                <w:color w:val="auto"/>
              </w:rPr>
              <w:t>Ohio</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Tropicana Casino and Resort, Atlantic City (“Trop AC”)</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October 1, 2018</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New Jersey</w:t>
            </w: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Central</w:t>
            </w:r>
          </w:p>
        </w:tc>
        <w:tc>
          <w:tcPr>
            <w:tcW w:w="5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Grand Victoria Casino (“Elgin”)</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7, 2018</w:t>
            </w:r>
          </w:p>
        </w:tc>
        <w:tc>
          <w:tcPr>
            <w:tcW w:w="1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Illinois</w:t>
            </w:r>
          </w:p>
        </w:tc>
      </w:tr>
      <w:tr>
        <w:trPr>
          <w:trHeight w:val="223"/>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auto"/>
              </w:rPr>
              <w:t>Lumière Place Casino (“Lumière”)</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2018</w:t>
            </w:r>
          </w:p>
        </w:tc>
        <w:tc>
          <w:tcPr>
            <w:tcW w:w="1680" w:type="dxa"/>
            <w:vAlign w:val="bottom"/>
          </w:tcPr>
          <w:p>
            <w:pPr>
              <w:ind w:left="200"/>
              <w:spacing w:after="0"/>
              <w:rPr>
                <w:sz w:val="20"/>
                <w:szCs w:val="20"/>
                <w:color w:val="auto"/>
              </w:rPr>
            </w:pPr>
            <w:r>
              <w:rPr>
                <w:rFonts w:ascii="Arial" w:cs="Arial" w:eastAsia="Arial" w:hAnsi="Arial"/>
                <w:sz w:val="16"/>
                <w:szCs w:val="16"/>
                <w:color w:val="auto"/>
              </w:rPr>
              <w:t>Missouri</w:t>
            </w:r>
          </w:p>
        </w:tc>
      </w:tr>
      <w:tr>
        <w:trPr>
          <w:trHeight w:val="33"/>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Tropicana Evansville (“Evansville”)</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1, 2018 (c)</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Indiana</w:t>
            </w:r>
          </w:p>
        </w:tc>
      </w:tr>
      <w:tr>
        <w:trPr>
          <w:trHeight w:val="33"/>
        </w:trPr>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Property was aggregated into segment prior to January 1, 2016.</w:t>
      </w:r>
    </w:p>
    <w:p>
      <w:pPr>
        <w:spacing w:after="0" w:line="55" w:lineRule="exact"/>
        <w:rPr>
          <w:rFonts w:ascii="Arial" w:cs="Arial" w:eastAsia="Arial" w:hAnsi="Arial"/>
          <w:sz w:val="14"/>
          <w:szCs w:val="14"/>
          <w:color w:val="auto"/>
        </w:rPr>
      </w:pPr>
    </w:p>
    <w:p>
      <w:pPr>
        <w:ind w:left="660" w:hanging="652"/>
        <w:spacing w:after="0" w:line="273"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spacing w:after="0" w:line="11" w:lineRule="exact"/>
        <w:rPr>
          <w:rFonts w:ascii="Arial" w:cs="Arial" w:eastAsia="Arial" w:hAnsi="Arial"/>
          <w:sz w:val="14"/>
          <w:szCs w:val="14"/>
          <w:color w:val="auto"/>
        </w:rPr>
      </w:pPr>
    </w:p>
    <w:p>
      <w:pPr>
        <w:ind w:left="660" w:right="20" w:hanging="652"/>
        <w:spacing w:after="0" w:line="273" w:lineRule="auto"/>
        <w:tabs>
          <w:tab w:leader="none" w:pos="657" w:val="left"/>
        </w:tabs>
        <w:numPr>
          <w:ilvl w:val="0"/>
          <w:numId w:val="3"/>
        </w:numPr>
        <w:rPr>
          <w:rFonts w:ascii="Arial" w:cs="Arial" w:eastAsia="Arial" w:hAnsi="Arial"/>
          <w:sz w:val="14"/>
          <w:szCs w:val="14"/>
          <w:color w:val="auto"/>
        </w:rPr>
      </w:pPr>
      <w:r>
        <w:rPr>
          <w:rFonts w:ascii="Arial" w:cs="Arial" w:eastAsia="Arial" w:hAnsi="Arial"/>
          <w:sz w:val="14"/>
          <w:szCs w:val="14"/>
          <w:color w:val="auto"/>
        </w:rPr>
        <w:t>Kansas City and Vicksburg were sold on July 1, 2020. The Company entered into an agreement to sell Eldorado Shreveport and MontBleu, which are expected to close in the first quarter of 2021. The Company plans to enter into an agreement to divest Evansville prior to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(“U.S. GAAP”)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five geographic regions and reportable segments. The reportable segments are based on the similar characteristics of the operating segments within the regions in which they operate: West, Midwest, South, East, and Central. See the table above for a listing of properties included in each segment.</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The presentation of financial information herein for periods after the Company’s sales of Presque and Nemacolin on January 11, 2019 and March 8, 2019, respectively, and the Company’s sales of Mountaineer, Cape Girardeau and Caruthersville on December 6, 2019 are not fully comparable to the periods prior to their respective sale dates. See Note 5.</w:t>
      </w:r>
    </w:p>
    <w:p>
      <w:pPr>
        <w:spacing w:after="0" w:line="13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January 2020, an outbreak of a new strain of coronavirus (“COVID-19”) was identified and has since spread throughout much of the world, including the United States. All of the Company’s casino properties were temporarily closed for the period from mid-March 2020 through mid-May 2020 due to orders issued by various state government agencies as part of certain precautionary measures intended to help slow the spread of the COVID-19 public health emergency. On May 18, 2020, the Company began reopening properties and has resumed certain operations at all properties as of June 30, 2020, with the exception of Elgin and Trop AC which reopened on July 1 and July 2, 2020, respectively. As a result of the temporary closures, the COVID-19 public health emergency has had a material adverse effect on the Company’s business, financial condition and results of operations for the three and six months ended June 30, 2020. The Company continued to pay its full-time employees through April 10, 2020, including tips and tokens. Effective April 11, 2020, the Company furloughed approximately 90% of its employees, implemented salary reductions and committed to continue to provide benefits to its employees through June 30, 2020. Subsequently, the benefit coverage for furloughed employees was extended through August 31, 2020. A portion of the workforce has returned to service as the properties have resumed with limited capacities and in compliance with operating restrictions in accordance with governmental orders, directives and guidelines. As a result of these payroll changes combined with other cost saving measures, the Company’s operating expenses were reduced significantly. Due to a triggering event resulting from the COVID-19 public health emergency, the Company recognized impairment charges related to goodwill and trade names during the six months ended June 30, 2020. See Note 8 for details.</w:t>
      </w:r>
    </w:p>
    <w:p>
      <w:pPr>
        <w:spacing w:after="0" w:line="1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15, 2020, in order to address the effects of the property closures resulting from the ongoing COVID-19 public health emergency, the Company obtained waivers on the financial covenant on the existing credit facility agreements and the master lease with GLP Capital, L.P., the operating partnership of Gaming and Leisure Properties, Inc. (“GLPI”), that we entered into in connection with the acquisition of Tropicana (the “GLPI Master Lease”). The amendment to the GLPI Master Lease is subject to the receipt of applicable gaming regulatory approvals, the provision of applicable gaming regulatory notices and the expiration of applicable gaming regulatory advance notice periods. As of June 30, 2020, the amendment was not effective. See Note 11 for details.</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extent of the ongoing and future effects of the COVID-19 public health emergency on the Company’s business and the casino resort industry generally is uncertain, but the Company expects that it will continue to have a significant impact on its business, results of operations and financial condition. The extent and duration of the impact of COVID-19 will ultimately depend on future developments, including but not limited to, the duration and severity of the outbreak, varying levels of restrictions on operations imposed by governmental authorities, the potential for authorities reimposing stay at home orders or additional restrictions in response to continued developments with the COVID-19 public health emergency, the Company’s ability to adapt to evolving operating procedures, the impact on consumer demand and discretionary spending, the length of time it takes for demand to return and the Company’s ability to adjust its cost structures for the duration of the outbreak’s effect on its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2016 (modified in November 2018), the Financial Accounting Standards Board (“FASB”) issued ASU No 2016-13, Financial Instruments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Credit Losses related to the timing of recognizing impairment losses on financial assets. The new guidance lowers the threshold on when losses are incurred, from a determination that a loss is probable to a determination that a loss is expected. The change in guidance is applicable to the Company’s evaluation of the Casino Reinvestment Development Authority (“CRDA”) investments. The guidance is effective for interim and annual periods beginning after December 15, 2019. Adoption of the guidance required a modified-retrospective approach and a cumulative adjustment to retained earnings to the first reporting period that the update is effective. The Company adopted the new guidance on January 1, 2020. Adoption of this guidance did not have a material impact on the Company’s Consolidated Financial Statements.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jc w:val="both"/>
        <w:spacing w:after="0" w:line="296" w:lineRule="auto"/>
        <w:rPr>
          <w:sz w:val="20"/>
          <w:szCs w:val="20"/>
          <w:color w:val="auto"/>
        </w:rPr>
      </w:pPr>
      <w:r>
        <w:rPr>
          <w:rFonts w:ascii="Arial" w:cs="Arial" w:eastAsia="Arial" w:hAnsi="Arial"/>
          <w:sz w:val="16"/>
          <w:szCs w:val="16"/>
          <w:color w:val="auto"/>
        </w:rPr>
        <w:t>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was effective for annual and interim periods beginning after December 15, 2019. The Company adopted the new guidance on January 1, 2020. Adoption of this guidance did not have a material impact on the Company’s Consolidated Financial Statements.</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was effective for annual and interim periods beginning after December 15, 2019. The Company adopted the new guidance on January 1, 2020. Adoption of this guidance did not have a material impact on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This amendment improves disclosures over defined benefit plans and is effective for interim and annual periods ending after December 15, 2020 with early adoption allowed. The Company anticipates adopting this amendment during the first quarter of 2021, and currently does not expect it to have a significant impact on its Consolidated Financial Statements.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2019, the FASB issued ASU 2019-12, Simplifying the Accounting for Income Taxes. This amendment modifies accounting guidelines for income taxes and is effective for annual and interim periods beginning after December 15, 2020 with early adoption allowed. The Company will adopt the new guidance on January 1, 2021. The Company is evaluating the qualitative and quantitative effect the new guidance will have on its Consolidated Financial Statements.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FASB issued ASU 2020-04,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and companies may elect to apply the amendments prospectively through December 31, 2022. The Company is evaluating the qualitative and quantitative effect the new guidance will have on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Related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20, 2020, the Merger was consummated and Former Caesars became a wholly-owned subsidiary of the Company. The strategic rationale for the Merger includes, but is not limited to, the following:</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largest and most diversified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Iconic brands, rewards program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the closing price of $38.00 per share of Company common stock, par value $0.00001 per share (“Company Common Stock”), reported on NASDAQ on July 17, 2020, the aggregate implied value of the aggregate merger consideration paid to former holders of Former Caesars common stock in connection with the Merger was approximately $8.46 billion, including approximately $2.37 billion in the Company Common Stock and approximately $6.09 billion in cash. The aggregate merger consideration transferred also included the repayment of certain outstanding debt balances of Former Caesars and the replacement of equity awards of certain employees attributable to services provided prior to the Merger.</w:t>
      </w:r>
    </w:p>
    <w:p>
      <w:pPr>
        <w:spacing w:after="0" w:line="1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cash consideration paid in the Merger was $12.41 per share (inclusive of the applicable ticking fee) of Former Caesars common stock for which cash consideration was payable and the stock consideration per share of Former Caesars common stock for which stock consideration was payable was 0.3085 shares of Company Common Stock, with a value equal to approximately $12.41 in cash (based on the volume weighted average price per share of Company Common Stock for the 10 trading days ending on July 16, 2020). Following the consummation of the Merger, the Company’s and Former Caesars’ stockholders hold approximately 56% and 44%, respectively, of the outstanding shares of Company Common Stock.</w:t>
      </w:r>
    </w:p>
    <w:p>
      <w:pPr>
        <w:spacing w:after="0" w:line="1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major classes of assets acquired through the Merger include cash, cash equivalents and restricted cash, accounts receivable, including receivables from affiliates, property and equipment, goodwill and intangible assets, and other assets. The major classes of liabilities assumed through the Merger include accounts payable, accrued expenses, contract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48" w:lineRule="auto"/>
        <w:rPr>
          <w:sz w:val="20"/>
          <w:szCs w:val="20"/>
          <w:color w:val="auto"/>
        </w:rPr>
      </w:pPr>
      <w:r>
        <w:rPr>
          <w:rFonts w:ascii="Arial" w:cs="Arial" w:eastAsia="Arial" w:hAnsi="Arial"/>
          <w:sz w:val="18"/>
          <w:szCs w:val="18"/>
          <w:color w:val="auto"/>
        </w:rPr>
        <w:t>financing obligations and long-term debt, which includes $1.1 billion in aggregate principal amount of 5% convertible notes due 2024 that are convertible into the weighted average of the number of shares of Company Common Stock and amount of cash actually received by holders of common stock of Former Caesars that made elections for consideration in the Merger.</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 short period of time from the Merger completion date and the date of these consolidated financial statements and the size and complexity of the transaction, the initial accounting for the business combination is incomplete at this time. The Company is not able to provide the valuation of certain components of consideration transferred or provide the allocation of consideration paid to the assets acquired or liabilities assumed. Supplemental pro forma revenue and earnings of the combined company are predicated on the completion of the business combination accounting and allocation of consideration.</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recognized acquisition-related transaction costs of $12.7 million and $22.0 million for the three and six months ended June 30, 2020, respectively, and $4.5 million for the three and six months ended June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Activity</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July 6, 2020, a wholly-owned subsidiary of the Company issued $3.4 billion aggregate principal amount of 6.250% Senior Secured Notes due 2025 (the “2025 Secured Notes”) and $1.8 billion aggregate principal amount of 8.125% Senior Notes due 2027 (the “2027 Senior Notes”). The Company assumed the obligations under the 2025 Secured Notes and 2027 Senior Notes upon consummation of the Merger. In addition, Caesars Resort Collection (“CRC”), a subsidiary of Former Caesars, issued $1.0 billion aggregate principal amount of 5.750% Senior Secured Notes due 2025 (the “CRC Secured Notes”).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20, 2020, in connection with the closing of the Merger, the Company entered into a new credit agreement which provides a five-year senior secured revolving credit facility for an aggregate principal amount of $1.0 billion (the “ERI Revolving Credit Facility”) and an additional revolving credit facility commitment under the ERI Revolving Credit Facility in an aggregate principal amount equal to $185 million, and CRC entered into an incremental agreement to its existing credit agreement dated as of December 22, 2017 for an aggregate principal amount of $1.8 billion of incremental term loan and an additional $25 million of revolving credit facility commitments. The additional capacities of $185 million under the ERI Revolving Credit Facility and $25 million under the existing CRC revolving credit facility are subject to approval from certain gaming authorities which we expect to receive in the third quarter of 2020. In addition, the borrowing capacity and obligations under CRC’s existing $1.0 billion revolving credit facility remain outstanding following the consummation of the Merger.</w:t>
      </w:r>
    </w:p>
    <w:p>
      <w:pPr>
        <w:spacing w:after="0" w:line="13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portion of the proceeds from these arrangements, as well as cash on hand of the Company, was used (a) to fund a portion of the cash consideration of the Merger, (b) to prepay in full the loans outstanding and terminate all commitments under the Company’s existing Credit Agreement, dated as of April 17, 2017, (c) to satisfy and discharge the Company’s 6% Senior Notes due 2025, the Senior Notes due 2026, and the 7% Senior Notes due 2023, (d) to repay $975 million of the outstanding amount under CRC’s existing revolving credit facility, (e) to repay in full the loans outstanding and terminate all commitments under the CEOC, LLC Credit Agreement, dated as of October 6, 2017, (f) to pay fees and expenses related to the financing arrangements, and (g) for general corporate use. See Note 11 for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closing of the Merger on July 20, 2020, the Company consummated a series of transactions with VICI in accordance with the Master Transaction Agreement (“MTA”) entered on June 24, 2019 and the Purchase and Sales Agreement entered on September 26, 2019. The Company consummated the sale leaseback transactions related to Harrah’s New Orleans, Harrah’s Laughlin and Harrah’s Resort Atlantic City, including the Harrah’s Atlantic City Waterfront Conference Center, for approximately $1.82 billion of net proceeds. Additionally, the Company received a one-time payment from VICI of approximately $1.38 billion for amendments to VICI lease agreements. The Caesars Palace Las Vegas (“CPLV”) Lease with VICI was amended to include Harrah’s Las Vegas (“HLV”) under the CPLV lease and increased HLV’s annual rent by $15 million and CPLV’s annual rent by $84 million. In addition, Harrah’s New Orleans, Harrah’s Laughlin, Harrah’s Resort Atlantic City and the Harrah’s Atlantic City Waterfront Conference Center were added to the Non-CPLV lease with VICI, with an increase in total aggregate annual rent for these properties of $154 million. The CPLV, Non-CPLV and Joliet lease agreements, as well as the Golf Course Use Agreement, were extended such that there will be 15 years remaining until the expiration of the initial term. The amendment also contains a put-call agreement related to the Centaur properties pursuant to which CRC may require VICI or its applicable affiliate to purchase and lease back (as lessor) to the Company or its applicable affiliate(s) the real estate components of the gaming and racetrack facilities of Hoosier Park Racing &amp; Casino (“Hoosier Park”) and Indiana Grand Racing &amp; Casino (“Indiana Grand”) and VICI or its applicable affiliate may require CRC to sell to VICI or its affiliate(s) and lease back (as lessee) the real estate components of such gaming and racetrack facilities.</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15, 2020, the Company entered into a non-binding letter of intent with VICI to borrow a new 5-year, $400 million mortgage loan (the “Convention Center Mortgage Loan”) and sell to VICI approximately 23 acres of land in the vicinity of, or adjacent to, The LINQ, Bally’s Paris and Planet Hollywood in Las Vegas, Nevada and commonly known as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Eastside Land (the “Eastside Land Sale”). The Convention Center Mortgage Loan and the Eastside Land Sale are expected to close concurrently and are subject to customary closing conditions, including completion of due diligence, and negotiation of definitive documents and receipt of regulatory approvals. These transactions are expected to close in the third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As of June 30, 2020, except for the GLPI Master Lease (see Note 10), the Company’s lease agreements do not contain any material residual value guarantees or material restrictive covenants.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8"/>
              </w:rPr>
              <w:t>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right"/>
              <w:ind w:right="12"/>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316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Classification on the</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160" w:type="dxa"/>
            <w:vAlign w:val="bottom"/>
            <w:gridSpan w:val="2"/>
          </w:tcPr>
          <w:p>
            <w:pPr>
              <w:ind w:left="680"/>
              <w:spacing w:after="0"/>
              <w:rPr>
                <w:sz w:val="20"/>
                <w:szCs w:val="20"/>
                <w:color w:val="auto"/>
              </w:rPr>
            </w:pPr>
            <w:r>
              <w:rPr>
                <w:rFonts w:ascii="Arial" w:cs="Arial" w:eastAsia="Arial" w:hAnsi="Arial"/>
                <w:sz w:val="16"/>
                <w:szCs w:val="16"/>
                <w:b w:val="1"/>
                <w:bCs w:val="1"/>
                <w:color w:val="auto"/>
              </w:rPr>
              <w:t>Statement of Operations</w:t>
            </w:r>
          </w:p>
        </w:tc>
        <w:tc>
          <w:tcPr>
            <w:tcW w:w="1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FF0FC"/>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30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20"/>
              <w:spacing w:after="0"/>
              <w:rPr>
                <w:sz w:val="20"/>
                <w:szCs w:val="20"/>
                <w:color w:val="auto"/>
              </w:rPr>
            </w:pPr>
            <w:r>
              <w:rPr>
                <w:rFonts w:ascii="Arial" w:cs="Arial" w:eastAsia="Arial" w:hAnsi="Arial"/>
                <w:sz w:val="18"/>
                <w:szCs w:val="18"/>
                <w:color w:val="auto"/>
              </w:rPr>
              <w:t>Operating lease expense</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Operating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Short-term and variable lease expense</w:t>
            </w:r>
          </w:p>
        </w:tc>
        <w:tc>
          <w:tcPr>
            <w:tcW w:w="31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Operating expense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9,367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23,065</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Interest expense on lease liabilities</w:t>
            </w:r>
          </w:p>
        </w:tc>
        <w:tc>
          <w:tcPr>
            <w:tcW w:w="31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24,632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49,707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49,235</w:t>
            </w:r>
          </w:p>
        </w:tc>
        <w:tc>
          <w:tcPr>
            <w:tcW w:w="0" w:type="dxa"/>
            <w:vAlign w:val="bottom"/>
          </w:tcPr>
          <w:p>
            <w:pPr>
              <w:spacing w:after="0"/>
              <w:rPr>
                <w:sz w:val="1"/>
                <w:szCs w:val="1"/>
                <w:color w:val="auto"/>
              </w:rPr>
            </w:pPr>
          </w:p>
        </w:tc>
      </w:tr>
      <w:tr>
        <w:trPr>
          <w:trHeight w:val="243"/>
        </w:trPr>
        <w:tc>
          <w:tcPr>
            <w:tcW w:w="382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w w:val="94"/>
              </w:rPr>
              <w:t>Depreciation and amortization expense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FF0FC"/>
            </w:tcBorders>
          </w:tcPr>
          <w:p>
            <w:pPr>
              <w:spacing w:after="0"/>
              <w:rPr>
                <w:sz w:val="2"/>
                <w:szCs w:val="2"/>
                <w:color w:val="auto"/>
              </w:rPr>
            </w:pPr>
          </w:p>
        </w:tc>
        <w:tc>
          <w:tcPr>
            <w:tcW w:w="30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expense</w:t>
            </w:r>
          </w:p>
        </w:tc>
        <w:tc>
          <w:tcPr>
            <w:tcW w:w="30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33,950</w:t>
            </w:r>
          </w:p>
        </w:tc>
        <w:tc>
          <w:tcPr>
            <w:tcW w:w="4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42,784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76,112</w:t>
            </w:r>
          </w:p>
        </w:tc>
        <w:tc>
          <w:tcPr>
            <w:tcW w:w="1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85,764</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3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453"/>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33"/>
        </w:trPr>
        <w:tc>
          <w:tcPr>
            <w:tcW w:w="82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10,411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13,698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cash flows for financing obligation and finance leases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44,527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43,862</w:t>
            </w:r>
          </w:p>
        </w:tc>
      </w:tr>
      <w:tr>
        <w:trPr>
          <w:trHeight w:val="27"/>
        </w:trPr>
        <w:tc>
          <w:tcPr>
            <w:tcW w:w="82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which are recorded on a gross basis. Such fees are based upon a predetermined percentage of handle as contracted with the other race tracks.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consolidated statement of operations presents net revenue disaggregated by type or nature of the good or service. A summary of net revenues disaggregated by type of revenue and reportable segment is presented below (amounts in thousands). Refer to Note 1 and Note 16 for additional information on the Company’s reportable segments.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and 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Casino and pari-mutuel commissions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101,479</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6,567</w:t>
            </w: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8,916</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9,508</w:t>
            </w:r>
          </w:p>
        </w:tc>
      </w:tr>
      <w:tr>
        <w:trPr>
          <w:trHeight w:val="27"/>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5"/>
        </w:trPr>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29,937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30,760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126,470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2019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and 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Casino and pari-mutuel commissions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94,871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124,052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457,162</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75,356</w:t>
            </w: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78,391</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26,212</w:t>
            </w: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127,727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116,937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170,455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122,792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637,121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and 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Casino and pari-mutuel commissions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60,253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74,432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106,955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99,708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99,880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441,228</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62,813</w:t>
            </w: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57,292</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38,206</w:t>
            </w: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127,812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129,282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119,553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599,539</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ind w:left="440"/>
              <w:spacing w:after="0"/>
              <w:rPr>
                <w:sz w:val="20"/>
                <w:szCs w:val="20"/>
                <w:color w:val="auto"/>
              </w:rPr>
            </w:pPr>
            <w:r>
              <w:rPr>
                <w:rFonts w:ascii="Arial" w:cs="Arial" w:eastAsia="Arial" w:hAnsi="Arial"/>
                <w:sz w:val="16"/>
                <w:szCs w:val="16"/>
                <w:b w:val="1"/>
                <w:bCs w:val="1"/>
                <w:color w:val="auto"/>
              </w:rPr>
              <w:t>Six Months Ended June 30, 2019</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East</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Central</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Casino and pari-mutuel commissions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108,899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170,392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204,221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249,003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195,333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927,848</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27,765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29,680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150,637</w:t>
            </w:r>
          </w:p>
        </w:tc>
      </w:tr>
      <w:tr>
        <w:trPr>
          <w:trHeight w:val="27"/>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143,175</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4,490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3,493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51,284</w:t>
            </w: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245,822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249,651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336,688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243,264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1,272,944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or for unpaid wagers), and deferred revenues associated with the Company’s interests in William Hill (see Note 7) and Flutter Entertainment PLC (“Flutter”), following Flutter’s acquisition of The Stars Group (“TSG”).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18"/>
          <w:szCs w:val="18"/>
          <w:color w:val="auto"/>
        </w:rPr>
        <w:t>The following table summarizes the activity related to contract and contract-related liabilities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5"/>
              </w:rPr>
              <w:t>Customer Deposits and Other</w:t>
            </w:r>
          </w:p>
        </w:tc>
      </w:tr>
      <w:tr>
        <w:trPr>
          <w:trHeight w:val="210"/>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140"/>
              <w:spacing w:after="0"/>
              <w:rPr>
                <w:sz w:val="20"/>
                <w:szCs w:val="20"/>
                <w:color w:val="auto"/>
              </w:rPr>
            </w:pPr>
            <w:r>
              <w:rPr>
                <w:rFonts w:ascii="Arial" w:cs="Arial" w:eastAsia="Arial" w:hAnsi="Arial"/>
                <w:sz w:val="16"/>
                <w:szCs w:val="16"/>
                <w:b w:val="1"/>
                <w:bCs w:val="1"/>
                <w:color w:val="auto"/>
              </w:rPr>
              <w:t>Outstanding Chip Liability</w:t>
            </w:r>
          </w:p>
        </w:tc>
        <w:tc>
          <w:tcPr>
            <w:tcW w:w="300" w:type="dxa"/>
            <w:vAlign w:val="bottom"/>
          </w:tcPr>
          <w:p>
            <w:pPr>
              <w:spacing w:after="0"/>
              <w:rPr>
                <w:sz w:val="18"/>
                <w:szCs w:val="18"/>
                <w:color w:val="auto"/>
              </w:rPr>
            </w:pPr>
          </w:p>
        </w:tc>
        <w:tc>
          <w:tcPr>
            <w:tcW w:w="2540" w:type="dxa"/>
            <w:vAlign w:val="bottom"/>
            <w:gridSpan w:val="5"/>
          </w:tcPr>
          <w:p>
            <w:pPr>
              <w:ind w:left="240"/>
              <w:spacing w:after="0"/>
              <w:rPr>
                <w:sz w:val="20"/>
                <w:szCs w:val="20"/>
                <w:color w:val="auto"/>
              </w:rPr>
            </w:pPr>
            <w:r>
              <w:rPr>
                <w:rFonts w:ascii="Arial" w:cs="Arial" w:eastAsia="Arial" w:hAnsi="Arial"/>
                <w:sz w:val="16"/>
                <w:szCs w:val="16"/>
                <w:b w:val="1"/>
                <w:bCs w:val="1"/>
                <w:color w:val="auto"/>
              </w:rPr>
              <w:t>Player Loyalty Liability</w:t>
            </w:r>
          </w:p>
        </w:tc>
        <w:tc>
          <w:tcPr>
            <w:tcW w:w="220" w:type="dxa"/>
            <w:vAlign w:val="bottom"/>
          </w:tcPr>
          <w:p>
            <w:pPr>
              <w:spacing w:after="0"/>
              <w:rPr>
                <w:sz w:val="18"/>
                <w:szCs w:val="18"/>
                <w:color w:val="auto"/>
              </w:rPr>
            </w:pPr>
          </w:p>
        </w:tc>
        <w:tc>
          <w:tcPr>
            <w:tcW w:w="25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Deferred Revenue</w:t>
            </w:r>
          </w:p>
        </w:tc>
      </w:tr>
      <w:tr>
        <w:trPr>
          <w:trHeight w:val="33"/>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33"/>
        </w:trPr>
        <w:tc>
          <w:tcPr>
            <w:tcW w:w="28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center"/>
              <w:ind w:left="234"/>
              <w:spacing w:after="0"/>
              <w:rPr>
                <w:sz w:val="20"/>
                <w:szCs w:val="20"/>
                <w:color w:val="auto"/>
              </w:rPr>
            </w:pPr>
            <w:r>
              <w:rPr>
                <w:rFonts w:ascii="Arial" w:cs="Arial" w:eastAsia="Arial" w:hAnsi="Arial"/>
                <w:sz w:val="18"/>
                <w:szCs w:val="18"/>
                <w:color w:val="auto"/>
                <w:w w:val="88"/>
              </w:rPr>
              <w:t>9,770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center"/>
              <w:ind w:left="192"/>
              <w:spacing w:after="0"/>
              <w:rPr>
                <w:sz w:val="20"/>
                <w:szCs w:val="20"/>
                <w:color w:val="auto"/>
              </w:rPr>
            </w:pPr>
            <w:r>
              <w:rPr>
                <w:rFonts w:ascii="Arial" w:cs="Arial" w:eastAsia="Arial" w:hAnsi="Arial"/>
                <w:sz w:val="18"/>
                <w:szCs w:val="18"/>
                <w:color w:val="auto"/>
                <w:w w:val="88"/>
              </w:rPr>
              <w:t>8,930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74"/>
              <w:spacing w:after="0"/>
              <w:rPr>
                <w:sz w:val="20"/>
                <w:szCs w:val="20"/>
                <w:color w:val="auto"/>
              </w:rPr>
            </w:pPr>
            <w:r>
              <w:rPr>
                <w:rFonts w:ascii="Arial" w:cs="Arial" w:eastAsia="Arial" w:hAnsi="Arial"/>
                <w:sz w:val="18"/>
                <w:szCs w:val="18"/>
                <w:color w:val="auto"/>
              </w:rPr>
              <w:t>13,461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17,639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171,641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27,588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260" w:type="dxa"/>
            <w:vAlign w:val="bottom"/>
          </w:tcPr>
          <w:p>
            <w:pPr>
              <w:spacing w:after="0"/>
              <w:rPr>
                <w:sz w:val="21"/>
                <w:szCs w:val="21"/>
                <w:color w:val="auto"/>
              </w:rPr>
            </w:pPr>
          </w:p>
        </w:tc>
        <w:tc>
          <w:tcPr>
            <w:tcW w:w="1040" w:type="dxa"/>
            <w:vAlign w:val="bottom"/>
          </w:tcPr>
          <w:p>
            <w:pPr>
              <w:jc w:val="center"/>
              <w:ind w:left="234"/>
              <w:spacing w:after="0"/>
              <w:rPr>
                <w:sz w:val="20"/>
                <w:szCs w:val="20"/>
                <w:color w:val="auto"/>
              </w:rPr>
            </w:pPr>
            <w:r>
              <w:rPr>
                <w:rFonts w:ascii="Arial" w:cs="Arial" w:eastAsia="Arial" w:hAnsi="Arial"/>
                <w:sz w:val="18"/>
                <w:szCs w:val="18"/>
                <w:color w:val="auto"/>
                <w:w w:val="88"/>
              </w:rPr>
              <w:t>7,041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192"/>
              <w:spacing w:after="0"/>
              <w:rPr>
                <w:sz w:val="20"/>
                <w:szCs w:val="20"/>
                <w:color w:val="auto"/>
              </w:rPr>
            </w:pPr>
            <w:r>
              <w:rPr>
                <w:rFonts w:ascii="Arial" w:cs="Arial" w:eastAsia="Arial" w:hAnsi="Arial"/>
                <w:sz w:val="18"/>
                <w:szCs w:val="18"/>
                <w:color w:val="auto"/>
                <w:w w:val="88"/>
              </w:rPr>
              <w:t>7,802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14,723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167,245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174,287</w:t>
            </w:r>
          </w:p>
        </w:tc>
      </w:tr>
      <w:tr>
        <w:trPr>
          <w:trHeight w:val="27"/>
        </w:trPr>
        <w:tc>
          <w:tcPr>
            <w:tcW w:w="28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Increase / (decrease)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center"/>
              <w:ind w:left="194"/>
              <w:spacing w:after="0"/>
              <w:rPr>
                <w:sz w:val="20"/>
                <w:szCs w:val="20"/>
                <w:color w:val="auto"/>
              </w:rPr>
            </w:pPr>
            <w:r>
              <w:rPr>
                <w:rFonts w:ascii="Arial" w:cs="Arial" w:eastAsia="Arial" w:hAnsi="Arial"/>
                <w:sz w:val="18"/>
                <w:szCs w:val="18"/>
                <w:color w:val="auto"/>
                <w:w w:val="91"/>
              </w:rPr>
              <w:t>(2,729)</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center"/>
              <w:ind w:left="152"/>
              <w:spacing w:after="0"/>
              <w:rPr>
                <w:sz w:val="20"/>
                <w:szCs w:val="20"/>
                <w:color w:val="auto"/>
              </w:rPr>
            </w:pPr>
            <w:r>
              <w:rPr>
                <w:rFonts w:ascii="Arial" w:cs="Arial" w:eastAsia="Arial" w:hAnsi="Arial"/>
                <w:sz w:val="18"/>
                <w:szCs w:val="18"/>
                <w:color w:val="auto"/>
                <w:w w:val="91"/>
              </w:rPr>
              <w:t>(1,128)</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(4,396)</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146,699</w:t>
            </w: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June 30, 2020 balances exclude liabilities related to assets held for sale recorded in 2020 and 2019 (see Note 5). The significant change in customer deposits and other deferred revenue during the six months ended June 30, 2019 was primarily attributed to the initial recognition of the Company’s interests in William Hill, which is recorded in other long-term liabilities on the Consolidated Balance Sheets (see Note 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Assets Held for Sale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Kansas City, Vicksburg, Eldorado Shreveport and MontBleu</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10, 2019, the Company entered into a definitive agreement to sell the equity interests of the entities that hold Vicksburg and Kansas City to Twin River for approximately $230 million, subject to a working capital adjustment. The definitive agreements provide that the consummation of the sales are subject to satisfaction of customary conditions, including receipt of required regulatory approvals. The sale of the equity interests closed on July 1, 2020 and resulted in a gain of approximately $8 million</w:t>
      </w:r>
      <w:r>
        <w:rPr>
          <w:rFonts w:ascii="Arial" w:cs="Arial" w:eastAsia="Arial" w:hAnsi="Arial"/>
          <w:sz w:val="18"/>
          <w:szCs w:val="18"/>
          <w:color w:val="EE2724"/>
        </w:rPr>
        <w:t>.</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24, 2020, the Company entered into a definitive purchase agreement with Twin River and certain of its affiliates for the sale of the equity interests of Eldorado Resort Casino Shreveport Joint Venture and Columbia Properties Tahoe, LLC, the entities that hold Eldorado Shreveport and MontBleu, respectively, for aggregate consideration of $155 million, subject to a working capital adjustment. The definitive agreement provides that the consummation of the sale is subject to satisfaction of customary conditions, including receipt of required regulatory approvals and is expected to close in the first quarter of 2021.</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Kansas City and Vicksburg met the requirements for presentation as assets held for sale under generally accepted accounting principles as of June 30, 2020 and December 31, 2019. Eldorado Shreveport and MontBleu met the requirements for presentation as assets held for sale as of June 30, 2020. However, none of the pending divestitures met the requirements for presentation as discontinued operations and are included in income from continuing operations in the periods presented.</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a result of the agreement to sell MontBleu, an impairment charge totaling $45.6 million was recorded during the six months ended June 30, 2020 due to the carrying value exceeding the estimated net sales proceeds. The impairment charges resulted in a reduction to the carrying amounts of the right-of-use assets, property and equipment, goodwill and other intangibles totaling $17.8 million, $23.2 million and $4.6 million, respectively. See Note 8.</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ind w:firstLine="648"/>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June 30,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Shreveport</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MontBleu</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Kansas City</w:t>
            </w:r>
          </w:p>
        </w:tc>
        <w:tc>
          <w:tcPr>
            <w:tcW w:w="18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Vicksburg</w:t>
            </w:r>
          </w:p>
        </w:tc>
        <w:tc>
          <w:tcPr>
            <w:tcW w:w="26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3,611</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Due from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1,809</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77,503</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6,367</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192,309</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39,623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48,429</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intangibles, net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113,611</w:t>
            </w:r>
          </w:p>
        </w:tc>
      </w:tr>
      <w:tr>
        <w:trPr>
          <w:trHeight w:val="263"/>
        </w:trPr>
        <w:tc>
          <w:tcPr>
            <w:tcW w:w="4740" w:type="dxa"/>
            <w:vAlign w:val="bottom"/>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121,212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67,359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207,393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47,829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443,793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1,853</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1,780</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2,768</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Short-term lease obligation</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8,618</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62,884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110,305</w:t>
            </w:r>
          </w:p>
        </w:tc>
      </w:tr>
      <w:tr>
        <w:trPr>
          <w:trHeight w:val="243"/>
        </w:trPr>
        <w:tc>
          <w:tcPr>
            <w:tcW w:w="474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5,757</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w:t>
            </w:r>
          </w:p>
        </w:tc>
      </w:tr>
      <w:tr>
        <w:trPr>
          <w:trHeight w:val="263"/>
        </w:trPr>
        <w:tc>
          <w:tcPr>
            <w:tcW w:w="4740" w:type="dxa"/>
            <w:vAlign w:val="bottom"/>
          </w:tcPr>
          <w:p>
            <w:pPr>
              <w:ind w:left="220"/>
              <w:spacing w:after="0"/>
              <w:rPr>
                <w:sz w:val="20"/>
                <w:szCs w:val="20"/>
                <w:color w:val="auto"/>
              </w:rPr>
            </w:pPr>
            <w:r>
              <w:rPr>
                <w:rFonts w:ascii="Arial" w:cs="Arial" w:eastAsia="Arial" w:hAnsi="Arial"/>
                <w:sz w:val="18"/>
                <w:szCs w:val="18"/>
                <w:color w:val="auto"/>
              </w:rPr>
              <w:t>Liabilities related to assets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19,843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71,729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38,726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131,674</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assets and liabilities held for sale, accounted for at carrying value as it was lower than fair value, were as follows as of December 31,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w w:val="95"/>
              </w:rPr>
              <w:t>December 31, 2019</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Kansas City</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Vicksburg</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36,135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39,126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70,619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90,329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93,037</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205,766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47,369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253,135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Short-term lease obligation</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lease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33,080</w:t>
            </w:r>
          </w:p>
        </w:tc>
        <w:tc>
          <w:tcPr>
            <w:tcW w:w="0" w:type="dxa"/>
            <w:vAlign w:val="bottom"/>
          </w:tcPr>
          <w:p>
            <w:pPr>
              <w:spacing w:after="0"/>
              <w:rPr>
                <w:sz w:val="1"/>
                <w:szCs w:val="1"/>
                <w:color w:val="auto"/>
              </w:rPr>
            </w:pPr>
          </w:p>
        </w:tc>
      </w:tr>
      <w:tr>
        <w:trPr>
          <w:trHeight w:val="243"/>
        </w:trPr>
        <w:tc>
          <w:tcPr>
            <w:tcW w:w="706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Liabilities related to 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35,799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37,485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0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006" w:gutter="0" w:footer="0" w:header="0"/>
          <w:type w:val="continuous"/>
        </w:sectPr>
      </w:pPr>
    </w:p>
    <w:bookmarkStart w:id="18" w:name="page19"/>
    <w:bookmarkEnd w:id="18"/>
    <w:p>
      <w:pPr>
        <w:ind w:left="660"/>
        <w:spacing w:after="0"/>
        <w:rPr>
          <w:sz w:val="20"/>
          <w:szCs w:val="20"/>
          <w:color w:val="auto"/>
        </w:rPr>
      </w:pPr>
      <w:r>
        <w:rPr>
          <w:rFonts w:ascii="Arial" w:cs="Arial" w:eastAsia="Arial" w:hAnsi="Arial"/>
          <w:sz w:val="17"/>
          <w:szCs w:val="17"/>
          <w:color w:val="auto"/>
        </w:rPr>
        <w:t>The following information presents the net revenues and net (loss) income for the Company’s properties that are held for sale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6"/>
                <w:szCs w:val="16"/>
                <w:b w:val="1"/>
                <w:bCs w:val="1"/>
                <w:color w:val="auto"/>
              </w:rPr>
              <w:t>Three Months Ended June 30, 2020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Shreveport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160"/>
              <w:spacing w:after="0"/>
              <w:rPr>
                <w:sz w:val="20"/>
                <w:szCs w:val="20"/>
                <w:color w:val="auto"/>
              </w:rPr>
            </w:pPr>
            <w:r>
              <w:rPr>
                <w:rFonts w:ascii="Arial" w:cs="Arial" w:eastAsia="Arial" w:hAnsi="Arial"/>
                <w:sz w:val="16"/>
                <w:szCs w:val="16"/>
                <w:b w:val="1"/>
                <w:bCs w:val="1"/>
                <w:color w:val="auto"/>
              </w:rPr>
              <w:t>MontBleu</w:t>
            </w:r>
          </w:p>
        </w:tc>
        <w:tc>
          <w:tcPr>
            <w:tcW w:w="18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w w:val="93"/>
              </w:rPr>
              <w:t>Kansas City</w:t>
            </w:r>
          </w:p>
        </w:tc>
        <w:tc>
          <w:tcPr>
            <w:tcW w:w="200" w:type="dxa"/>
            <w:vAlign w:val="bottom"/>
          </w:tcPr>
          <w:p>
            <w:pPr>
              <w:spacing w:after="0"/>
              <w:rPr>
                <w:sz w:val="18"/>
                <w:szCs w:val="18"/>
                <w:color w:val="auto"/>
              </w:rPr>
            </w:pPr>
          </w:p>
        </w:tc>
        <w:tc>
          <w:tcPr>
            <w:tcW w:w="1100" w:type="dxa"/>
            <w:vAlign w:val="bottom"/>
          </w:tcPr>
          <w:p>
            <w:pPr>
              <w:jc w:val="right"/>
              <w:ind w:right="213"/>
              <w:spacing w:after="0"/>
              <w:rPr>
                <w:sz w:val="20"/>
                <w:szCs w:val="20"/>
                <w:color w:val="auto"/>
              </w:rPr>
            </w:pPr>
            <w:r>
              <w:rPr>
                <w:rFonts w:ascii="Arial" w:cs="Arial" w:eastAsia="Arial" w:hAnsi="Arial"/>
                <w:sz w:val="16"/>
                <w:szCs w:val="16"/>
                <w:b w:val="1"/>
                <w:bCs w:val="1"/>
                <w:color w:val="auto"/>
              </w:rPr>
              <w:t>Vicksburg</w:t>
            </w:r>
          </w:p>
        </w:tc>
      </w:tr>
      <w:tr>
        <w:trPr>
          <w:trHeight w:val="33"/>
        </w:trPr>
        <w:tc>
          <w:tcPr>
            <w:tcW w:w="56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center"/>
              <w:ind w:left="375"/>
              <w:spacing w:after="0"/>
              <w:rPr>
                <w:sz w:val="20"/>
                <w:szCs w:val="20"/>
                <w:color w:val="auto"/>
              </w:rPr>
            </w:pPr>
            <w:r>
              <w:rPr>
                <w:rFonts w:ascii="Arial" w:cs="Arial" w:eastAsia="Arial" w:hAnsi="Arial"/>
                <w:sz w:val="18"/>
                <w:szCs w:val="18"/>
                <w:color w:val="auto"/>
                <w:w w:val="93"/>
              </w:rPr>
              <w:t>3,072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left="375"/>
              <w:spacing w:after="0"/>
              <w:rPr>
                <w:sz w:val="20"/>
                <w:szCs w:val="20"/>
                <w:color w:val="auto"/>
              </w:rPr>
            </w:pPr>
            <w:r>
              <w:rPr>
                <w:rFonts w:ascii="Arial" w:cs="Arial" w:eastAsia="Arial" w:hAnsi="Arial"/>
                <w:sz w:val="18"/>
                <w:szCs w:val="18"/>
                <w:color w:val="auto"/>
                <w:w w:val="93"/>
              </w:rPr>
              <w:t>2,329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(202)</w:t>
            </w:r>
          </w:p>
        </w:tc>
      </w:tr>
      <w:tr>
        <w:trPr>
          <w:trHeight w:val="440"/>
        </w:trPr>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w w:val="94"/>
              </w:rPr>
              <w:t>Six Months Ended June 30, 2020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5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Shreveport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0"/>
              <w:spacing w:after="0"/>
              <w:rPr>
                <w:sz w:val="20"/>
                <w:szCs w:val="20"/>
                <w:color w:val="auto"/>
              </w:rPr>
            </w:pPr>
            <w:r>
              <w:rPr>
                <w:rFonts w:ascii="Arial" w:cs="Arial" w:eastAsia="Arial" w:hAnsi="Arial"/>
                <w:sz w:val="16"/>
                <w:szCs w:val="16"/>
                <w:b w:val="1"/>
                <w:bCs w:val="1"/>
                <w:color w:val="auto"/>
              </w:rPr>
              <w:t>MontBleu</w:t>
            </w:r>
          </w:p>
        </w:tc>
        <w:tc>
          <w:tcPr>
            <w:tcW w:w="18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6"/>
              </w:rPr>
              <w:t>Kansas City</w:t>
            </w:r>
          </w:p>
        </w:tc>
        <w:tc>
          <w:tcPr>
            <w:tcW w:w="200" w:type="dxa"/>
            <w:vAlign w:val="bottom"/>
          </w:tcPr>
          <w:p>
            <w:pPr>
              <w:spacing w:after="0"/>
              <w:rPr>
                <w:sz w:val="18"/>
                <w:szCs w:val="18"/>
                <w:color w:val="auto"/>
              </w:rPr>
            </w:pPr>
          </w:p>
        </w:tc>
        <w:tc>
          <w:tcPr>
            <w:tcW w:w="1100" w:type="dxa"/>
            <w:vAlign w:val="bottom"/>
          </w:tcPr>
          <w:p>
            <w:pPr>
              <w:jc w:val="right"/>
              <w:ind w:right="213"/>
              <w:spacing w:after="0"/>
              <w:rPr>
                <w:sz w:val="20"/>
                <w:szCs w:val="20"/>
                <w:color w:val="auto"/>
              </w:rPr>
            </w:pPr>
            <w:r>
              <w:rPr>
                <w:rFonts w:ascii="Arial" w:cs="Arial" w:eastAsia="Arial" w:hAnsi="Arial"/>
                <w:sz w:val="16"/>
                <w:szCs w:val="16"/>
                <w:b w:val="1"/>
                <w:bCs w:val="1"/>
                <w:color w:val="auto"/>
              </w:rPr>
              <w:t>Vicksburg</w:t>
            </w:r>
          </w:p>
        </w:tc>
      </w:tr>
      <w:tr>
        <w:trPr>
          <w:trHeight w:val="33"/>
        </w:trPr>
        <w:tc>
          <w:tcPr>
            <w:tcW w:w="5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center"/>
              <w:ind w:left="355"/>
              <w:spacing w:after="0"/>
              <w:rPr>
                <w:sz w:val="20"/>
                <w:szCs w:val="20"/>
                <w:color w:val="auto"/>
              </w:rPr>
            </w:pPr>
            <w:r>
              <w:rPr>
                <w:rFonts w:ascii="Arial" w:cs="Arial" w:eastAsia="Arial" w:hAnsi="Arial"/>
                <w:sz w:val="18"/>
                <w:szCs w:val="18"/>
                <w:color w:val="auto"/>
                <w:w w:val="87"/>
              </w:rPr>
              <w:t>11,689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7,081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(675)</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Mountaineer, Caruthersville and Cape Girardeau Divestitures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sales of Mountaineer, Caruthersville and Cape Girardeau were consummated on December 6, 2019. Prior to the closing date, Mountaineer, Cape Girardeau and Caruthersville met the requirements for presentation as assets held for sale. However, they did not meet the requirements for presentation as discontinued operations. Mountaineer was previously reported in the East segment and Cape Girardeau and Caruthersville were reported in Midwest segment.</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information presents the net revenues and net income of Mountaineer, Cape Girardeau and Caruthersville for the three and six months ended June 30,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Three Months Ended June 30, 2019</w:t>
            </w:r>
          </w:p>
        </w:tc>
        <w:tc>
          <w:tcPr>
            <w:tcW w:w="180" w:type="dxa"/>
            <w:vAlign w:val="bottom"/>
          </w:tcPr>
          <w:p>
            <w:pPr>
              <w:spacing w:after="0"/>
              <w:rPr>
                <w:sz w:val="18"/>
                <w:szCs w:val="18"/>
                <w:color w:val="auto"/>
              </w:rPr>
            </w:pPr>
          </w:p>
        </w:tc>
        <w:tc>
          <w:tcPr>
            <w:tcW w:w="4340" w:type="dxa"/>
            <w:vAlign w:val="bottom"/>
            <w:gridSpan w:val="7"/>
          </w:tcPr>
          <w:p>
            <w:pPr>
              <w:jc w:val="center"/>
              <w:ind w:right="113"/>
              <w:spacing w:after="0"/>
              <w:rPr>
                <w:sz w:val="20"/>
                <w:szCs w:val="20"/>
                <w:color w:val="auto"/>
              </w:rPr>
            </w:pPr>
            <w:r>
              <w:rPr>
                <w:rFonts w:ascii="Arial" w:cs="Arial" w:eastAsia="Arial" w:hAnsi="Arial"/>
                <w:sz w:val="16"/>
                <w:szCs w:val="16"/>
                <w:b w:val="1"/>
                <w:bCs w:val="1"/>
                <w:color w:val="auto"/>
                <w:w w:val="91"/>
              </w:rPr>
              <w:t>Six Months Ended June 30, 2019</w:t>
            </w:r>
          </w:p>
        </w:tc>
      </w:tr>
      <w:tr>
        <w:trPr>
          <w:trHeight w:val="33"/>
        </w:trPr>
        <w:tc>
          <w:tcPr>
            <w:tcW w:w="2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Mountaineer</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Cape Girardeau</w:t>
            </w:r>
          </w:p>
        </w:tc>
        <w:tc>
          <w:tcPr>
            <w:tcW w:w="16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Caruthersville</w:t>
            </w: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Mountaineer</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Cape Girardeau</w:t>
            </w:r>
          </w:p>
        </w:tc>
        <w:tc>
          <w:tcPr>
            <w:tcW w:w="160" w:type="dxa"/>
            <w:vAlign w:val="bottom"/>
          </w:tcPr>
          <w:p>
            <w:pPr>
              <w:spacing w:after="0"/>
              <w:rPr>
                <w:sz w:val="18"/>
                <w:szCs w:val="18"/>
                <w:color w:val="auto"/>
              </w:rPr>
            </w:pPr>
          </w:p>
        </w:tc>
        <w:tc>
          <w:tcPr>
            <w:tcW w:w="1280" w:type="dxa"/>
            <w:vAlign w:val="bottom"/>
          </w:tcPr>
          <w:p>
            <w:pPr>
              <w:jc w:val="right"/>
              <w:ind w:right="133"/>
              <w:spacing w:after="0"/>
              <w:rPr>
                <w:sz w:val="20"/>
                <w:szCs w:val="20"/>
                <w:color w:val="auto"/>
              </w:rPr>
            </w:pPr>
            <w:r>
              <w:rPr>
                <w:rFonts w:ascii="Arial" w:cs="Arial" w:eastAsia="Arial" w:hAnsi="Arial"/>
                <w:sz w:val="16"/>
                <w:szCs w:val="16"/>
                <w:b w:val="1"/>
                <w:bCs w:val="1"/>
                <w:color w:val="auto"/>
                <w:w w:val="97"/>
              </w:rPr>
              <w:t>Caruthersville</w:t>
            </w:r>
          </w:p>
        </w:tc>
      </w:tr>
      <w:tr>
        <w:trPr>
          <w:trHeight w:val="33"/>
        </w:trPr>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62,873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17,577</w:t>
            </w:r>
          </w:p>
        </w:tc>
      </w:tr>
      <w:tr>
        <w:trPr>
          <w:trHeight w:val="243"/>
        </w:trPr>
        <w:tc>
          <w:tcPr>
            <w:tcW w:w="2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3,687</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Presque and Nemacolin Divestitures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sale of Presque closed on January 11, 2019 resulting in a gain on sale of $22.1 million, net of final working capital adjustments, for the six months ended June 30, 2019. The sale of Nemacolin closed on March 8, 2019 resulting in a gain on sale of $0.1 million, net of final working capital adjustments, for the six months ended June 30, 2019. Presque and Nemacolin were both previously reported in the East segment.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presents the net revenues and net loss of Presque and Nemacolin prior to the respective divestitures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w w:val="97"/>
              </w:rPr>
              <w:t>Six Months Ended June 30, 2019</w:t>
            </w:r>
          </w:p>
        </w:tc>
      </w:tr>
      <w:tr>
        <w:trPr>
          <w:trHeight w:val="3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Presque</w:t>
            </w:r>
          </w:p>
        </w:tc>
        <w:tc>
          <w:tcPr>
            <w:tcW w:w="240" w:type="dxa"/>
            <w:vAlign w:val="bottom"/>
          </w:tcPr>
          <w:p>
            <w:pPr>
              <w:spacing w:after="0"/>
              <w:rPr>
                <w:sz w:val="18"/>
                <w:szCs w:val="18"/>
                <w:color w:val="auto"/>
              </w:rPr>
            </w:pPr>
          </w:p>
        </w:tc>
        <w:tc>
          <w:tcPr>
            <w:tcW w:w="1280" w:type="dxa"/>
            <w:vAlign w:val="bottom"/>
          </w:tcPr>
          <w:p>
            <w:pPr>
              <w:jc w:val="right"/>
              <w:ind w:right="313"/>
              <w:spacing w:after="0"/>
              <w:rPr>
                <w:sz w:val="20"/>
                <w:szCs w:val="20"/>
                <w:color w:val="auto"/>
              </w:rPr>
            </w:pPr>
            <w:r>
              <w:rPr>
                <w:rFonts w:ascii="Arial" w:cs="Arial" w:eastAsia="Arial" w:hAnsi="Arial"/>
                <w:sz w:val="16"/>
                <w:szCs w:val="16"/>
                <w:b w:val="1"/>
                <w:bCs w:val="1"/>
                <w:color w:val="auto"/>
              </w:rPr>
              <w:t>Nemacolin</w:t>
            </w:r>
          </w:p>
        </w:tc>
      </w:tr>
      <w:tr>
        <w:trPr>
          <w:trHeight w:val="33"/>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4,836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(754)</w:t>
            </w: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amounts include historical operating results, adjusted to eliminate the internal allocation of interest expense that was not be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Offering</w:t>
      </w:r>
    </w:p>
    <w:p>
      <w:pPr>
        <w:spacing w:after="0" w:line="17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On June 19, 2020, the Company completed the public offering of 20,700,000 shares (including the shares sold pursuant to the underwriters’ overallotment option) of Company Common Stock, at an offering price of $39.00 per share, which provided $772.4 million of proceeds, net of fees and estimated expenses of $34.9 million.</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2020, the Company acquired 223,823 shares of common stock under the Share Repurchase Program at an aggregate value of $9.1 million and an average of $40.80 per share. No shares were repurchased during the six months ended June 30, 2020 and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accounts for stock-based compensation in accordance with ASC 718, Compensation—Stock Compensation. Total stock-based compensation expense in the accompanying Consolidated Statements of Operations totaled $4.3 million and $6.5 million during the three months ended June 30, 2020 and 2019, respectively, and $10.0 million and $11.5 million during the six months ended June 30, 2020 and 2019, respectively. These amounts are included in corporate expenses and, in the case of certain property positions, general and administrative expenses in the Company’s Consolidated Statements of Operations. The Company recognized an income tax benefit of $2.8 million for the six months ended June 30, 2020, related to stock-based compensation. The Company recognized an increase in income tax expense of $1.3 million for the three months ended June 30, 2019. The Company recognized a reduction in income tax expense of $1.3 million for the six months ended June 30, 2019 for excess tax benefits related to stock-based compensation.</w:t>
      </w:r>
    </w:p>
    <w:p>
      <w:pPr>
        <w:spacing w:after="0" w:line="14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 summary of the restricted stock units (“RSUs”) activity, including performance awards, for the six months ended June 30, 2020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360" w:type="dxa"/>
            <w:vAlign w:val="bottom"/>
            <w:gridSpan w:val="4"/>
          </w:tcPr>
          <w:p>
            <w:pPr>
              <w:jc w:val="right"/>
              <w:ind w:right="815"/>
              <w:spacing w:after="0"/>
              <w:rPr>
                <w:sz w:val="20"/>
                <w:szCs w:val="20"/>
                <w:color w:val="auto"/>
              </w:rPr>
            </w:pPr>
            <w:r>
              <w:rPr>
                <w:rFonts w:ascii="Arial" w:cs="Arial" w:eastAsia="Arial" w:hAnsi="Arial"/>
                <w:sz w:val="16"/>
                <w:szCs w:val="16"/>
                <w:b w:val="1"/>
                <w:bCs w:val="1"/>
                <w:color w:val="auto"/>
              </w:rPr>
              <w:t>Restricted Stock Units</w:t>
            </w:r>
          </w:p>
        </w:tc>
      </w:tr>
      <w:tr>
        <w:trPr>
          <w:trHeight w:val="33"/>
        </w:trPr>
        <w:tc>
          <w:tcPr>
            <w:tcW w:w="7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7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5"/>
              <w:spacing w:after="0"/>
              <w:rPr>
                <w:sz w:val="20"/>
                <w:szCs w:val="20"/>
                <w:color w:val="auto"/>
              </w:rPr>
            </w:pPr>
            <w:r>
              <w:rPr>
                <w:rFonts w:ascii="Arial" w:cs="Arial" w:eastAsia="Arial" w:hAnsi="Arial"/>
                <w:sz w:val="16"/>
                <w:szCs w:val="16"/>
                <w:b w:val="1"/>
                <w:bCs w:val="1"/>
                <w:color w:val="auto"/>
                <w:w w:val="94"/>
              </w:rPr>
              <w:t>Average Grant</w:t>
            </w:r>
          </w:p>
        </w:tc>
      </w:tr>
      <w:tr>
        <w:trPr>
          <w:trHeight w:val="203"/>
        </w:trPr>
        <w:tc>
          <w:tcPr>
            <w:tcW w:w="7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5"/>
              <w:spacing w:after="0"/>
              <w:rPr>
                <w:sz w:val="20"/>
                <w:szCs w:val="20"/>
                <w:color w:val="auto"/>
              </w:rPr>
            </w:pPr>
            <w:r>
              <w:rPr>
                <w:rFonts w:ascii="Arial" w:cs="Arial" w:eastAsia="Arial" w:hAnsi="Arial"/>
                <w:sz w:val="16"/>
                <w:szCs w:val="16"/>
                <w:b w:val="1"/>
                <w:bCs w:val="1"/>
                <w:color w:val="auto"/>
                <w:w w:val="92"/>
              </w:rPr>
              <w:t>Date</w:t>
            </w:r>
          </w:p>
        </w:tc>
      </w:tr>
      <w:tr>
        <w:trPr>
          <w:trHeight w:val="210"/>
        </w:trPr>
        <w:tc>
          <w:tcPr>
            <w:tcW w:w="7840" w:type="dxa"/>
            <w:vAlign w:val="bottom"/>
          </w:tcPr>
          <w:p>
            <w:pPr>
              <w:spacing w:after="0"/>
              <w:rPr>
                <w:sz w:val="18"/>
                <w:szCs w:val="18"/>
                <w:color w:val="auto"/>
              </w:rPr>
            </w:pPr>
          </w:p>
        </w:tc>
        <w:tc>
          <w:tcPr>
            <w:tcW w:w="1620" w:type="dxa"/>
            <w:vAlign w:val="bottom"/>
          </w:tcPr>
          <w:p>
            <w:pPr>
              <w:jc w:val="right"/>
              <w:ind w:right="533"/>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5"/>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78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outstanding as of December 31, 2019</w:t>
            </w:r>
          </w:p>
        </w:tc>
        <w:tc>
          <w:tcPr>
            <w:tcW w:w="16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1,246,641</w:t>
            </w:r>
          </w:p>
        </w:tc>
        <w:tc>
          <w:tcPr>
            <w:tcW w:w="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35.56</w:t>
            </w:r>
          </w:p>
        </w:tc>
      </w:tr>
      <w:tr>
        <w:trPr>
          <w:trHeight w:val="243"/>
        </w:trPr>
        <w:tc>
          <w:tcPr>
            <w:tcW w:w="7840" w:type="dxa"/>
            <w:vAlign w:val="bottom"/>
          </w:tcPr>
          <w:p>
            <w:pPr>
              <w:ind w:left="220"/>
              <w:spacing w:after="0"/>
              <w:rPr>
                <w:sz w:val="20"/>
                <w:szCs w:val="20"/>
                <w:color w:val="auto"/>
              </w:rPr>
            </w:pPr>
            <w:r>
              <w:rPr>
                <w:rFonts w:ascii="Arial" w:cs="Arial" w:eastAsia="Arial" w:hAnsi="Arial"/>
                <w:sz w:val="18"/>
                <w:szCs w:val="18"/>
                <w:color w:val="auto"/>
              </w:rPr>
              <w:t>Granted (1)</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247,357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57.05</w:t>
            </w:r>
          </w:p>
        </w:tc>
      </w:tr>
      <w:tr>
        <w:trPr>
          <w:trHeight w:val="27"/>
        </w:trPr>
        <w:tc>
          <w:tcPr>
            <w:tcW w:w="7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(443,000)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27.10</w:t>
            </w:r>
          </w:p>
        </w:tc>
      </w:tr>
      <w:tr>
        <w:trPr>
          <w:trHeight w:val="243"/>
        </w:trPr>
        <w:tc>
          <w:tcPr>
            <w:tcW w:w="78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30.74</w:t>
            </w:r>
          </w:p>
        </w:tc>
      </w:tr>
      <w:tr>
        <w:trPr>
          <w:trHeight w:val="27"/>
        </w:trPr>
        <w:tc>
          <w:tcPr>
            <w:tcW w:w="784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r>
      <w:tr>
        <w:trPr>
          <w:trHeight w:val="289"/>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outstanding as of June 30, 2020</w:t>
            </w:r>
          </w:p>
        </w:tc>
        <w:tc>
          <w:tcPr>
            <w:tcW w:w="16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1,039,574</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44.73</w:t>
            </w:r>
          </w:p>
        </w:tc>
      </w:tr>
      <w:tr>
        <w:trPr>
          <w:trHeight w:val="20"/>
        </w:trPr>
        <w:tc>
          <w:tcPr>
            <w:tcW w:w="78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r>
    </w:tbl>
    <w:p>
      <w:pPr>
        <w:spacing w:after="0" w:line="14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are 20,615 RSUs granted to non-employee members of the Board of Directors during the six months ended June 30, 2020.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both June 30, 2020 and 2019, the Company had $27.3 million of unrecognized compensation expense. The RSUs are expected to be recognized over a weighted-average period of 1.7 years.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15,300 stock options exercised for the six months ended June 30, 2020. Outstanding options as of June 30, 2020 totaled 120,656, of which 115,857 options were exercisable.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and Advances to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has made cash contributions totaling $1.0 million and has agreed to contribute a total of approximately 130 to 200 acres of land to the joint venture for the project. As of June 30, 2020 and December 31, 2019, the Company has contributed approximately 20 acres to the joint venture at a fair value of $6.6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jc w:val="both"/>
        <w:ind w:firstLine="648"/>
        <w:spacing w:after="0" w:line="301" w:lineRule="auto"/>
        <w:rPr>
          <w:sz w:val="20"/>
          <w:szCs w:val="20"/>
          <w:color w:val="auto"/>
        </w:rPr>
      </w:pPr>
      <w:r>
        <w:rPr>
          <w:rFonts w:ascii="Arial" w:cs="Arial" w:eastAsia="Arial" w:hAnsi="Arial"/>
          <w:sz w:val="16"/>
          <w:szCs w:val="16"/>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is included in income (loss) from unconsolidated affiliates on the Consolidated Statements of Operations. As of June 30, 2020 and December 31, 2019, the Company’s investment in the joint venture is recorded in investment in and advances to unconsolidated affiliates on the 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September 2018, the Company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 territories</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the Company’s ability to grant to William Hill an online channel that allows William Hill to operate online casino and sports gaming activities in reliance on, and utilizing the benefit of, any licenses granted to the Company or its subsidiaries. As of June 30, 2020 and December 31, 2019, the Company’s receivable from William Hill totaled $0.4 million and $3.5 million, respectively, and is reflected in due from affiliates on the Consolidated Balance Sheets.</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$128.9 million at January 29, 2019 was determined using Level 3 inputs. As of June 30, 2020 and December 31, 2019, the carrying value of the Company’s interest in William Hill US totaled $125.7 million and $127.1 million, respectively, and is recorded in investment in and advances to unconsolidated affiliates on the Consolidated Balance Sheets.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2020 and December 31, 2019, the fair value of the William Hill PLC shares totaled $16.6 million and $29.3 million, respectively, net of a cumulative unrealized loss of $10.7 million and a cumulative unrealized gain of $2.0 million, respectively, and is included in other assets, net on the Consolidated Balance Sheets. The Company recorded an unrealized gain of $6.6 million and an unrealized loss of $1.5 million during the three months ended June 30, 2020 and 2019, respectively. The Company recorded unrealized losses totaling $12.7 million and $4.4 million during the six months ended June 30, 2020 and 2019, respectively.</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recorded deferred revenue associated with the William Hill US and William Hill PLC shares and is recognizing revenue on a straight-line basis over the 25-year agreement term. The Company recognized revenue of $3.7 million and $1.5 million for the three months ended June 30, 2020 and 2019, respectively, and $5.2 million and $2.6 million during the six months ended June 30, 2020 and 2019, respectively. As of June 30, 2020 and December 31, 2019, the balance of the William Hill deferred revenue totaled $136.9 million and $142.1 million, respectively, and is recorded in other long-term liabilities on the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33"/>
        </w:trPr>
        <w:tc>
          <w:tcPr>
            <w:tcW w:w="6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810,187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909,717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licenses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872,158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893,302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146,279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165,479</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Player loyalty programs</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97,935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100,694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3 - 4 years</w:t>
            </w:r>
          </w:p>
        </w:tc>
      </w:tr>
      <w:tr>
        <w:trPr>
          <w:trHeight w:val="237"/>
        </w:trPr>
        <w:tc>
          <w:tcPr>
            <w:tcW w:w="62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20"/>
                <w:szCs w:val="20"/>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1,116,372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1,159,475</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 player loyalty programs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(48,077)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63"/>
        </w:trPr>
        <w:tc>
          <w:tcPr>
            <w:tcW w:w="6260" w:type="dxa"/>
            <w:vAlign w:val="bottom"/>
          </w:tcPr>
          <w:p>
            <w:pPr>
              <w:ind w:left="220"/>
              <w:spacing w:after="0"/>
              <w:rPr>
                <w:sz w:val="20"/>
                <w:szCs w:val="20"/>
                <w:color w:val="auto"/>
              </w:rPr>
            </w:pPr>
            <w:r>
              <w:rPr>
                <w:rFonts w:ascii="Arial" w:cs="Arial" w:eastAsia="Arial" w:hAnsi="Arial"/>
                <w:sz w:val="18"/>
                <w:szCs w:val="18"/>
                <w:color w:val="auto"/>
              </w:rPr>
              <w:t>Total gaming licenses and other intangible assets,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1,056,429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1,111,398</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represents the excess of the purchase prices of acquiring MTR Gaming, Isle, Elgin and Tropicana over the fair market value of the net assets acquired. The following table presents the change to goodwill for the six months ended June 30,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Impairment</w:t>
            </w:r>
          </w:p>
        </w:tc>
        <w:tc>
          <w:tcPr>
            <w:tcW w:w="22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rPr>
              <w:t>Goodwill, net</w:t>
            </w:r>
          </w:p>
        </w:tc>
      </w:tr>
      <w:tr>
        <w:trPr>
          <w:trHeight w:val="33"/>
        </w:trPr>
        <w:tc>
          <w:tcPr>
            <w:tcW w:w="62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31, 2019</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921,408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(11,691)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909,717</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Impairments</w:t>
            </w:r>
          </w:p>
        </w:tc>
        <w:tc>
          <w:tcPr>
            <w:tcW w:w="3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(99,530)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(99,530)</w:t>
            </w:r>
          </w:p>
        </w:tc>
      </w:tr>
      <w:tr>
        <w:trPr>
          <w:trHeight w:val="27"/>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Assets held for sale (see Note 5)</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64"/>
        </w:trPr>
        <w:tc>
          <w:tcPr>
            <w:tcW w:w="624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921,403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(111,216)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810,187</w:t>
            </w: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six months ended June 30, 2020, the Company recognized impairment charges related to goodwill and trade names totaling $99.5 million and $15.6 million, respectively, due to declines in recent performance and the expected impact on future cash flows as a result of COVID-19.</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in conjunction with the classification of MontBleu’s operations as assets held for sale as of June 30, 2020 (see Note 5) as a result of the announced sale, an impairment charge totaling $45.6 million was recorded due to the carrying value exceeding the estimate sales proceeds. Trade names, property, plant and equipment and right-of-use assets were impaired by $4.6 million, $23.2 million and $17.8 million, respectively. Impairment charges recorded by segment for the six months ended June 30, 2020 (in thousands)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West</w:t>
            </w:r>
          </w:p>
        </w:tc>
        <w:tc>
          <w:tcPr>
            <w:tcW w:w="2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South</w:t>
            </w: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Midwest</w:t>
            </w:r>
          </w:p>
        </w:tc>
        <w:tc>
          <w:tcPr>
            <w:tcW w:w="3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33"/>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99,530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20,190</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(see Note 5)</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23,228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Right of use assets (see Note 5)</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17,810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17,810</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102,833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36,600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160,758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with respect to player loyalty programs for the three months ended June 30, 2020 and 2019 totaled $6.7 million and $7.7 million, respectively, and $14.2 million and $15.3 million for the six months ended June 30, 2020 and 2019, respectively, which is included in depreciation and amortization in the Consolidated Statements of Operations. Such amortization expense is expected to be $12.8 million for the remainder of 2020 and $21.2 million and $4.2 million for the years ended December 31, 2021 and 2022,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Coronavirus Aid, Relief, and Economic Security Act (the “CARES Act”) was enacted on March 27, 2020. The CARES Act includes, among other things, refundable payroll tax credits, deferment of employer side social security payments, net operating loss carryback periods, alternative minimum tax credit refunds, modifications to the net interest deduction limitations, and technical amendments regarding the income tax depreciation of qualified improvement property placed in service after December 31, 2017. These amendments allow for retroactive accelerated income tax depreciation on certain of the Company’s leasehold improvement assets. The Company is currently assessing the financial impact of these technical amendments on the business.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2020, the Company’s tax benefit was $33.7 million and $70.8 million, respectively, and for the three and six months ended June 30, 2019, the Company’s tax expense was $10.4 million and $20.8 million, respectively. For the three and six months ended June 30, 2020, the difference between the effective rate and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statutory rate is attributed primarily to goodwill impairments, true-up of certain state tax benefits, state and local income taxes and changes in the valuation allowance. For the three and six months ended June 30, 2019, the difference between the effective rate and the statutory rate is attributed primarily to excess tax benefits associated with stock compensation, state and local income taxes and changes in the valuation allowance.</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there were no unrecognized tax benefits and the Company does not expect a significant increase or decrease to the total amounts of unrecognized tax benefits within the next twelve months. The Company recognizes accrued interest and penalties related to unrecognized tax benefits in income tax expense.</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its consolidated group. With few exceptions, the Company is no longer subject to US federal or state and local tax examinations by tax authorities for years before 2008.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Financing Obligation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prior lease accounting standard, the GLPI Master Lease was accounted for as a failed sale-leaseback financing obligation equal to the fair value of the leased real estate assets and liabilities acquired in purchase accounting in conjunction with the acquisition of Tropicana in 2018. Upon adoption of ASC 842, the Company re-evaluated the GLPI Master Lease and determined this existing failed sale-leaseback transaction would continue to be accounted for as a financing obligation.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GLPI Master Lease provides for the lease of land, buildings, structures and other improvements on the land (including barges and riverboats), easements and similar appurtenances to the land and improvements relating to the operation of the leased properties. The GLPI Master Lease provides for an initial term of 15 years with no purchase option. At the Company’s option, the GLPI Master Lease may be extended for up to four five-year renewal terms beyond the initial 15-year term. If the Company elects to renew the term of the GLPI Master Lease, the renewal will be effective as to all, but not less than all, of the leased property then subject to the GLPI Master Lease. The Company does not have the ability to terminate its obligations under the GLPI Master Lease prior to its expiration without GLPI’s consent.</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June 15, 2020, the Company entered into an Amended and Restated Master Lease with GLPI, which, among other things, (i) extended the initial term from 15 to 20 years (through September 2038), with four five-year renewals at the Company’s option, (ii) commencing October 1, 2020, removed the percentage rent payable in exchange for an increase to the non-escalating portion of land base rent to $23.5 million, (iii) amended the dates on which, and the amounts by which, the escalating portion of base rent escalates, and (iv) provided certain relief under the operating, capital expenditure and financial covenants in the event of facility closures due to public health emergencies, governmental restrictions and certain other instances of unavoidable delay. The GLPI Master Lease provides that the effectiveness is subject to the receipt of applicable gaming regulatory approvals, the provision of applicable gaming regulatory notices and the expiration of applicable gaming regulatory advance notice periods. Subsequent to June 30, 2020, the amendment to the GLPI Master Lease became effective as the Company obtained all necessary approvals and the applicable waiting period expired.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rent payable under the GLPI Master Lease is comprised of “Base Rent” and “Percentage Rent.” Base rent is the sum of:</w:t>
      </w:r>
    </w:p>
    <w:p>
      <w:pPr>
        <w:spacing w:after="0" w:line="171" w:lineRule="exact"/>
        <w:rPr>
          <w:sz w:val="20"/>
          <w:szCs w:val="20"/>
          <w:color w:val="auto"/>
        </w:rPr>
      </w:pPr>
    </w:p>
    <w:p>
      <w:pPr>
        <w:jc w:val="both"/>
        <w:ind w:left="1300" w:hanging="644"/>
        <w:spacing w:after="0" w:line="286" w:lineRule="auto"/>
        <w:tabs>
          <w:tab w:leader="none" w:pos="1295" w:val="left"/>
        </w:tabs>
        <w:numPr>
          <w:ilvl w:val="0"/>
          <w:numId w:val="7"/>
        </w:numPr>
        <w:rPr>
          <w:rFonts w:ascii="Arial" w:cs="Arial" w:eastAsia="Arial" w:hAnsi="Arial"/>
          <w:sz w:val="17"/>
          <w:szCs w:val="17"/>
          <w:color w:val="auto"/>
        </w:rPr>
      </w:pPr>
      <w:r>
        <w:rPr>
          <w:rFonts w:ascii="Arial" w:cs="Arial" w:eastAsia="Arial" w:hAnsi="Arial"/>
          <w:sz w:val="17"/>
          <w:szCs w:val="17"/>
          <w:color w:val="auto"/>
        </w:rPr>
        <w:t>Building Base Rent: a fixed component equal to $60.9 million during the first year of the GLPI Master Lease, and thereafter escalated annually by 2%, subject to a cap that would cause the preceding year’s adjusted revenue to rent ratio for the properties in the aggregate not to fall below 1.20:1.00 for the first five years of the GLPI Master Lease and 1.80:1:00 thereafter; plus</w:t>
      </w:r>
    </w:p>
    <w:p>
      <w:pPr>
        <w:spacing w:after="0" w:line="111"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 Base Rent: an additional fixed component equal to $13.4 million, subject to adjustment in the event of the termination of the GLPI Master Lease with respect to any of the leased properties.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percentage rent payable under the GLPI Master Lease is adjusted every two years based on the actual net revenues of the leased properties during the two-year period then ended. The initial percentage rent, which is fixed for the first two years, is $13.4 million per year. The actual percentage increase is based on actual performance and is subject to change.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The initial annual rent under the terms of the lease was approximately $87.7 million and subject to annual escalations as referenced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GLPI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future lease payments include the minimum lease payments and were adjusted to reflect estimated lease payments as described in the agreements, including an annual escalator of up to 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future minimum payments related to the GLPI Master Lease financing obligation at June 30, 2020 were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(excluding the six months ended June 30, 2020)</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44,736</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90,417</w:t>
            </w:r>
          </w:p>
        </w:tc>
      </w:tr>
      <w:tr>
        <w:trPr>
          <w:trHeight w:val="27"/>
        </w:trPr>
        <w:tc>
          <w:tcPr>
            <w:tcW w:w="9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91,691</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92,990</w:t>
            </w:r>
          </w:p>
        </w:tc>
      </w:tr>
      <w:tr>
        <w:trPr>
          <w:trHeight w:val="27"/>
        </w:trPr>
        <w:tc>
          <w:tcPr>
            <w:tcW w:w="9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94,315</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3,412,359</w:t>
            </w:r>
          </w:p>
        </w:tc>
      </w:tr>
      <w:tr>
        <w:trPr>
          <w:trHeight w:val="27"/>
        </w:trPr>
        <w:tc>
          <w:tcPr>
            <w:tcW w:w="92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future payments</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3,826,508</w:t>
            </w: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Less: Amounts representing interest at 10.2%</w:t>
            </w:r>
          </w:p>
        </w:tc>
        <w:tc>
          <w:tcPr>
            <w:tcW w:w="5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(3,270,816)</w:t>
            </w:r>
          </w:p>
        </w:tc>
      </w:tr>
      <w:tr>
        <w:trPr>
          <w:trHeight w:val="27"/>
        </w:trPr>
        <w:tc>
          <w:tcPr>
            <w:tcW w:w="9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Plus: Residual values</w:t>
            </w:r>
          </w:p>
        </w:tc>
        <w:tc>
          <w:tcPr>
            <w:tcW w:w="5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420,100</w:t>
            </w:r>
          </w:p>
        </w:tc>
      </w:tr>
      <w:tr>
        <w:trPr>
          <w:trHeight w:val="263"/>
        </w:trPr>
        <w:tc>
          <w:tcPr>
            <w:tcW w:w="9260" w:type="dxa"/>
            <w:vAlign w:val="bottom"/>
          </w:tcPr>
          <w:p>
            <w:pPr>
              <w:ind w:left="460"/>
              <w:spacing w:after="0"/>
              <w:rPr>
                <w:sz w:val="20"/>
                <w:szCs w:val="20"/>
                <w:color w:val="auto"/>
              </w:rPr>
            </w:pPr>
            <w:r>
              <w:rPr>
                <w:rFonts w:ascii="Arial" w:cs="Arial" w:eastAsia="Arial" w:hAnsi="Arial"/>
                <w:sz w:val="18"/>
                <w:szCs w:val="18"/>
                <w:color w:val="auto"/>
              </w:rPr>
              <w:t>Financing obligation to GLPI</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975,792</w:t>
            </w:r>
          </w:p>
        </w:tc>
      </w:tr>
      <w:tr>
        <w:trPr>
          <w:trHeight w:val="21"/>
        </w:trPr>
        <w:tc>
          <w:tcPr>
            <w:tcW w:w="9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Total cash payments and interest expense related to the GLPI Master Lease totaled $22.2 million and $24.9 million, respectively, for the three months ended June 30, 2020, and $44.4 million and $49.7 million, respectively, for the six months ended June 30, 2020. Total cash payments and interest expense related to the GLPI Master Lease totaled $21.9 million and $24.6 million, respectively, for the three months ended June 30, 2019, and $43.8 million and $49.2 million, respectively, for the six months ended June 30, 2019. For the initial periods of the GLPI Master Lease, cash payments are less than the interest expense recognized, which causes the failed sale-leaseback obligation to increase during the initial years of the lease term.</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GLPI Master Lease, as amended, contains certain covenants, including minimum capital improvement expenditures and a rent coverage ratio for which certain relief is provided in the event of facility closures due to public health emergencies, governmental restrictions and certain other instances of unavoidable delay.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11. Long-Term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4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498,750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(7,982)</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490,768</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6% Senior Notes due 2026</w:t>
            </w:r>
          </w:p>
        </w:tc>
        <w:tc>
          <w:tcPr>
            <w:tcW w:w="300" w:type="dxa"/>
            <w:vAlign w:val="bottom"/>
          </w:tcPr>
          <w:p>
            <w:pPr>
              <w:spacing w:after="0"/>
              <w:rPr>
                <w:sz w:val="23"/>
                <w:szCs w:val="23"/>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600,000</w:t>
            </w: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(17,958)</w:t>
            </w:r>
          </w:p>
        </w:tc>
      </w:tr>
      <w:tr>
        <w:trPr>
          <w:trHeight w:val="237"/>
        </w:trPr>
        <w:tc>
          <w:tcPr>
            <w:tcW w:w="7900" w:type="dxa"/>
            <w:vAlign w:val="bottom"/>
          </w:tcPr>
          <w:p>
            <w:pPr>
              <w:ind w:left="220"/>
              <w:spacing w:after="0"/>
              <w:rPr>
                <w:sz w:val="20"/>
                <w:szCs w:val="20"/>
                <w:color w:val="auto"/>
              </w:rPr>
            </w:pPr>
            <w:r>
              <w:rPr>
                <w:rFonts w:ascii="Arial" w:cs="Arial" w:eastAsia="Arial" w:hAnsi="Arial"/>
                <w:sz w:val="18"/>
                <w:szCs w:val="18"/>
                <w:color w:val="auto"/>
              </w:rPr>
              <w:t>Net</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583,126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582,042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 Senior Notes due 2025</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875,000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875,000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Plus: Unamortized debt premium</w:t>
            </w:r>
          </w:p>
        </w:tc>
        <w:tc>
          <w:tcPr>
            <w:tcW w:w="3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18,512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20,214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(15,939)</w:t>
            </w:r>
          </w:p>
        </w:tc>
      </w:tr>
      <w:tr>
        <w:trPr>
          <w:trHeight w:val="237"/>
        </w:trPr>
        <w:tc>
          <w:tcPr>
            <w:tcW w:w="7900" w:type="dxa"/>
            <w:vAlign w:val="bottom"/>
          </w:tcPr>
          <w:p>
            <w:pPr>
              <w:ind w:left="220"/>
              <w:spacing w:after="0"/>
              <w:rPr>
                <w:sz w:val="20"/>
                <w:szCs w:val="20"/>
                <w:color w:val="auto"/>
              </w:rPr>
            </w:pPr>
            <w:r>
              <w:rPr>
                <w:rFonts w:ascii="Arial" w:cs="Arial" w:eastAsia="Arial" w:hAnsi="Arial"/>
                <w:sz w:val="18"/>
                <w:szCs w:val="18"/>
                <w:color w:val="auto"/>
              </w:rPr>
              <w:t>Net</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878,869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879,275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Senior Notes due 2023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375,000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(4,923)</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370,077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Lumière Loan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246,000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Long-term notes and other payables</w:t>
            </w:r>
          </w:p>
        </w:tc>
        <w:tc>
          <w:tcPr>
            <w:tcW w:w="3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2,554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(246,175)</w:t>
            </w:r>
          </w:p>
        </w:tc>
      </w:tr>
      <w:tr>
        <w:trPr>
          <w:trHeight w:val="263"/>
        </w:trPr>
        <w:tc>
          <w:tcPr>
            <w:tcW w:w="790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2,670,739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2,324,541</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amortization of the debt issuance costs and the discount and/or premium associated with the Company’s indebtedness totaled $1.6 million and $1.9 million for the three months ended June 30, 2020 and 2019, respectively, and $3.2 million and $3.8 million for the six months ended June 30, 2020 and 2019 respectively. Amortization of debt issuance costs is computed using the effective interest method and is included in interest expense.</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scheduled maturities of long-term debt were $246.1 million for the remainder of 2020, $0.2 million in 2021, $0.2 million in 2022, $483.1 million in 2023, $488.9 million in 2024, and $1.5 billion thereafter. See “Lumière Loan” below regarding $246 million of scheduled maturities during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was party to a credit agreement with JPMorgan Chase Bank, N.A., as administrative agent, and the lenders party thereto dated as of April 17, 2017 (as amended the “Credit Facility”), consisting of a $1.5 billion term loan facility (the “Term Loan Facility” or “Term Loan”) and a $500.0 million revolving credit facility (the “Revolving Credit Facility”). The Company’s obligations under the Revolving Credit Facility were to mature on October 1, 2023 and the Company’s obligations under the Term Loan Facility were to mature on April 17, 2024.</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 to evolve and impact global financial markets, the Company borrowed $465.0 million under its revolving credit facility on March 16, 2020, of which the Company repaid $357.0 million of the outstanding balance as of June 30, 2020. The Company had $372.9 million of available borrowing capacity, after consideration of $19.1 million in outstanding letters of credit under its Revolving Credit Facility, as of June 30, 2020.</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 per annum applicable to loans under the Revolving Credit Facility were, at the Company’s option, either LIBOR plus a margin ranging from 1.75% to 2.50% or a base rate plus a margin from 0.75% to 1.50%. The margin is based on the Company’s total leverage ratio. The interest rate per annum applicable to the loans under the Term Loan Facility was, at the Company’s option, either LIBOR plus 2.25%, or a base rate plus 1.25%; provided, however, that in no event will LIBOR be less than zero or the base rate be less than 1.00%. Additionally, the Company paid a commitment fee on the unused portion of the Revolving Credit Facility of 0.50% per annum. As of June 30, 2020, the weighted average interest rate on the Term Loan and Revolving Credit Facility was 3.25% and 3.13%, respectively.</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5" w:name="page26"/>
    <w:bookmarkEnd w:id="25"/>
    <w:p>
      <w:pPr>
        <w:jc w:val="both"/>
        <w:ind w:firstLine="648"/>
        <w:spacing w:after="0" w:line="296" w:lineRule="auto"/>
        <w:rPr>
          <w:sz w:val="20"/>
          <w:szCs w:val="20"/>
          <w:color w:val="auto"/>
        </w:rPr>
      </w:pPr>
      <w:r>
        <w:rPr>
          <w:rFonts w:ascii="Arial" w:cs="Arial" w:eastAsia="Arial" w:hAnsi="Arial"/>
          <w:sz w:val="16"/>
          <w:szCs w:val="16"/>
          <w:color w:val="auto"/>
        </w:rPr>
        <w:t>On July 6, 2020, the Company issued $3.4 billion aggregate principal amount of 2025 Secured Notes, $1.8 billion aggregate principal amount of 2027 Senior Notes and $1.0 billion aggregate principal amount of CRC Secured Notes in connection with the Merger. Upon the closing of the Merger, a portion of the net proceeds from the issuance of these notes were used to prepay in full all amounts outstanding under the Term Loan and Revolving Credit Facility and to repay the Company’s 6% Senior Notes due 2025, the Senior Notes due 2026, and the 7% Senior Notes due 2023. As a result of these transactions, the Company may incur a loss on extinguishment of debt during the third quarter of 2020, which could be significant.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borrowed $246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On June 24, 2020, the Company received approval from Missouri Gaming Commission to sell Lumière to GLPI and leaseback the property under a long-term financing obligation. The loan is scheduled to mature during 2020; however, the Company classified the loan balance as long-term debt as of June 30, 2020 as the Lumière real estate will be refinanced under a long-term lease, or financing obligation, during the third quarter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GLPI Master Lease Covenant Compliance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ongoing effects of the COVID-19 public health emergency, the Company’s ability to maintain compliance with the financial covenants under the Company’s Credit Facility was negatively impacted. On June 15, 2020, the Company entered into an amendment to the Credit Agreement which provided relief for the financial covenant requirement under the Credit Facility through September 30, 2021. During the covenant relief period the Company is required to maintain a minimum liquidity level, including unrestricted cash and unused commitments under the Revolving Credit Facility of $200.0 million.</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the GLPI Master Lease contains certain operating, capital expenditure and financial covenants thereunder, and the Company’s ability to maintain compliance with these covenants was also negatively impacted. On June 15, 2020, the Company entered into an amendment to the GLPI Master Lease which provides certain relief under these covenants in the event of facility closures due to public health emergencies, governmental restrictions and certain other instances of unavoidable delay. Subsequent to June 30, 2020, the amendment to the GLPI Master Lease became effective as the Company obtained all necessary approvals and the applicable waiting period expired.</w:t>
      </w:r>
    </w:p>
    <w:p>
      <w:pPr>
        <w:spacing w:after="0" w:line="1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 Company was in compliance with all of the applicable financial covenants under the 7% Senior Notes due 2023, 6% Senior Notes due 2025, 6% Senior Notes due 2026, and the Lumière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133"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cash held in money market funds and investments that can be redeemed immediately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Restricted Cash and Investments</w:t>
      </w:r>
      <w:r>
        <w:rPr>
          <w:rFonts w:ascii="Arial" w:cs="Arial" w:eastAsia="Arial" w:hAnsi="Arial"/>
          <w:sz w:val="18"/>
          <w:szCs w:val="18"/>
          <w:color w:val="auto"/>
        </w:rPr>
        <w:t>: The estimated fair values of the Company’s restricted cash and investments are based upon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Restricted investments include shares acquired in conjunction with the Company’s sports betting agreements that contain restrictions related to the ability to liquidate shares within a specified timeframe.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by the Company’s captive insurance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shares acquired in conjunction with the Company’s sports betting agreements.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The fair value of the Company’s long-term debt or other long-term obligations is estimated based on the quoted market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underlying 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June 30, 2020 and December 31, 2019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June 30, 2020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and investments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32,765</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27,978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36,071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 related to restricted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412"/>
        </w:trPr>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and investments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42,609</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27,103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7,531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 in restricted cash and investments and liabilities valued using Level 3 inputs for the six months ended June 30, 2020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513"/>
              <w:spacing w:after="0"/>
              <w:rPr>
                <w:sz w:val="20"/>
                <w:szCs w:val="20"/>
                <w:color w:val="auto"/>
              </w:rPr>
            </w:pPr>
            <w:r>
              <w:rPr>
                <w:rFonts w:ascii="Arial" w:cs="Arial" w:eastAsia="Arial" w:hAnsi="Arial"/>
                <w:sz w:val="16"/>
                <w:szCs w:val="16"/>
                <w:b w:val="1"/>
                <w:bCs w:val="1"/>
                <w:color w:val="auto"/>
              </w:rPr>
              <w:t>Level 3</w:t>
            </w:r>
          </w:p>
        </w:tc>
      </w:t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 Investments</w:t>
            </w:r>
          </w:p>
        </w:tc>
        <w:tc>
          <w:tcPr>
            <w:tcW w:w="180" w:type="dxa"/>
            <w:vAlign w:val="bottom"/>
          </w:tcPr>
          <w:p>
            <w:pPr>
              <w:spacing w:after="0"/>
              <w:rPr>
                <w:sz w:val="18"/>
                <w:szCs w:val="18"/>
                <w:color w:val="auto"/>
              </w:rPr>
            </w:pPr>
          </w:p>
        </w:tc>
        <w:tc>
          <w:tcPr>
            <w:tcW w:w="1500" w:type="dxa"/>
            <w:vAlign w:val="bottom"/>
          </w:tcPr>
          <w:p>
            <w:pPr>
              <w:jc w:val="right"/>
              <w:ind w:right="173"/>
              <w:spacing w:after="0"/>
              <w:rPr>
                <w:sz w:val="20"/>
                <w:szCs w:val="20"/>
                <w:color w:val="auto"/>
              </w:rPr>
            </w:pPr>
            <w:r>
              <w:rPr>
                <w:rFonts w:ascii="Arial" w:cs="Arial" w:eastAsia="Arial" w:hAnsi="Arial"/>
                <w:sz w:val="16"/>
                <w:szCs w:val="16"/>
                <w:b w:val="1"/>
                <w:bCs w:val="1"/>
                <w:color w:val="auto"/>
              </w:rPr>
              <w:t>Other Liabilities</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investment and liabilities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Value of additional investment received</w:t>
            </w:r>
          </w:p>
        </w:tc>
        <w:tc>
          <w:tcPr>
            <w:tcW w:w="12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2,339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(loss)</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670</w:t>
            </w:r>
          </w:p>
        </w:tc>
      </w:tr>
      <w:tr>
        <w:trPr>
          <w:trHeight w:val="264"/>
        </w:trPr>
        <w:tc>
          <w:tcPr>
            <w:tcW w:w="7780" w:type="dxa"/>
            <w:vAlign w:val="bottom"/>
          </w:tcPr>
          <w:p>
            <w:pPr>
              <w:ind w:left="20"/>
              <w:spacing w:after="0"/>
              <w:rPr>
                <w:sz w:val="20"/>
                <w:szCs w:val="20"/>
                <w:color w:val="auto"/>
              </w:rPr>
            </w:pPr>
            <w:r>
              <w:rPr>
                <w:rFonts w:ascii="Arial" w:cs="Arial" w:eastAsia="Arial" w:hAnsi="Arial"/>
                <w:sz w:val="18"/>
                <w:szCs w:val="18"/>
                <w:color w:val="auto"/>
              </w:rPr>
              <w:t>Fair value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22,639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3,009</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and Level 3 investments during the six months ended June 30, 2020.</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November 2018, the Company entered into a 20-year agreement with TSG pursuant to which it agreed to provide TSG with options to obtain access to a second skin for online sports wagering and third skin for real money online gaming and poker, in each case with respect to the Company’s properties in the United States. Under the terms of the agreement, the Company will receive a revenue share from the operation of the applicable verticals by TSG under the Company’s licenses. Pursuant to the terms of the TSG agreement, the Company received 1.1 million TSG common shares, and an additional approximately $5.0 million in TSG common shares became payable to the Company upon TSG’s exercise of its first option; all shares are subject to a one year restriction on transfer from the date they are received. The Company may also receive additional TSG common shares in the future based on TSG net gaming revenue generated in its markets. On May 5, 2020, Flutter completed the acquisition of all of the issued and outstanding common shares of TSG in exchange for 0.2253 Flutter shares per common share of TSG.</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As of June 30, 2020 and December 31, 2019, the fair value of unrestricted shares totaled $15.8 million and $14.0 million, respectively, net of cumulative unrealized gains of $5.5 million and $3.7 million, respectively, and is included in marketable securities on the Consolidated Balance Sheet. In addition, as of June 30, 2020, the fair value of restricted shares in Flutter totaled $6.0 million, net of cumulative unrealized gains of $1.3 million, and is included in restricted cash and investments on the Consolidated Balance Sheet. The Company recorded unrealized gains of $6.5 million and $3.1 million during the three and six months ended June 30, 2020, respectively, and unrealized gains of $0.1 million and $1.5 million during the three and six months ended June 30, 2019, respectively.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440" w:type="dxa"/>
            <w:vAlign w:val="bottom"/>
          </w:tcPr>
          <w:p>
            <w:pPr>
              <w:spacing w:after="0"/>
              <w:rPr>
                <w:sz w:val="18"/>
                <w:szCs w:val="18"/>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Fair</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Fair</w:t>
            </w:r>
          </w:p>
        </w:tc>
      </w:tr>
      <w:tr>
        <w:trPr>
          <w:trHeight w:val="210"/>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440" w:type="dxa"/>
            <w:vAlign w:val="bottom"/>
          </w:tcPr>
          <w:p>
            <w:pPr>
              <w:spacing w:after="0"/>
              <w:rPr>
                <w:sz w:val="18"/>
                <w:szCs w:val="18"/>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8"/>
              </w:rPr>
              <w:t>Value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Value</w:t>
            </w:r>
          </w:p>
        </w:tc>
      </w:tr>
      <w:tr>
        <w:trPr>
          <w:trHeight w:val="33"/>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70"/>
        </w:trPr>
        <w:tc>
          <w:tcPr>
            <w:tcW w:w="5640" w:type="dxa"/>
            <w:vAlign w:val="bottom"/>
          </w:tcPr>
          <w:p>
            <w:pPr>
              <w:ind w:left="220"/>
              <w:spacing w:after="0"/>
              <w:rPr>
                <w:sz w:val="20"/>
                <w:szCs w:val="20"/>
                <w:color w:val="auto"/>
              </w:rPr>
            </w:pPr>
            <w:r>
              <w:rPr>
                <w:rFonts w:ascii="Arial" w:cs="Arial" w:eastAsia="Arial" w:hAnsi="Arial"/>
                <w:sz w:val="18"/>
                <w:szCs w:val="18"/>
                <w:color w:val="auto"/>
              </w:rPr>
              <w:t>7% Senior Notes due 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370,683</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382,943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370,077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390,938</w:t>
            </w:r>
          </w:p>
        </w:tc>
      </w:tr>
      <w:tr>
        <w:trPr>
          <w:trHeight w:val="27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 Senior Notes due 2025</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878,869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914,760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879,275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922,031</w:t>
            </w:r>
          </w:p>
        </w:tc>
      </w:tr>
      <w:tr>
        <w:trPr>
          <w:trHeight w:val="270"/>
        </w:trPr>
        <w:tc>
          <w:tcPr>
            <w:tcW w:w="5640" w:type="dxa"/>
            <w:vAlign w:val="bottom"/>
          </w:tcPr>
          <w:p>
            <w:pPr>
              <w:ind w:left="220"/>
              <w:spacing w:after="0"/>
              <w:rPr>
                <w:sz w:val="20"/>
                <w:szCs w:val="20"/>
                <w:color w:val="auto"/>
              </w:rPr>
            </w:pPr>
            <w:r>
              <w:rPr>
                <w:rFonts w:ascii="Arial" w:cs="Arial" w:eastAsia="Arial" w:hAnsi="Arial"/>
                <w:sz w:val="18"/>
                <w:szCs w:val="18"/>
                <w:color w:val="auto"/>
              </w:rPr>
              <w:t>6% Senior Notes due 2026</w:t>
            </w:r>
          </w:p>
        </w:tc>
        <w:tc>
          <w:tcPr>
            <w:tcW w:w="22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583,126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652,782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582,042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662,250</w:t>
            </w: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481,762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483,882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490,768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498,127</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Lumière Loan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246,000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246,000</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2,553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(loss) income per share computations for the three and six months ended June 30, 2020 and 2019 (dollars in thousands,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available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(99,996)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18,936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(275,634)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57,165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80,053,676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77,682,759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79,009,373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77,625,303</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107,388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105,885</w:t>
            </w:r>
          </w:p>
        </w:tc>
        <w:tc>
          <w:tcPr>
            <w:tcW w:w="0" w:type="dxa"/>
            <w:vAlign w:val="bottom"/>
          </w:tcPr>
          <w:p>
            <w:pPr>
              <w:spacing w:after="0"/>
              <w:rPr>
                <w:sz w:val="1"/>
                <w:szCs w:val="1"/>
                <w:color w:val="auto"/>
              </w:rPr>
            </w:pP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935,142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926,364</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80,053,676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78,725,289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79,009,373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78,657,552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Net (loss) income per common share attributable to common stockholders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vMerge w:val="continue"/>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35"/>
        </w:trPr>
        <w:tc>
          <w:tcPr>
            <w:tcW w:w="57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Net (loss) income per common share attributable to common stockholders –</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 As such, the weighted average shares outstanding - diluted calculation above excludes 79,759 stock options and 266,523 RSUs for the three months ended June 30, 2020, and excludes 93,456 stock options and 446,910 RSUs for the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a party to various legal proceedings. Such proceedings can be costly, time consuming and unpredictable and, therefore, no assurance can be given that the final outcome of such proceedings will not materially impact the Company’s consolidated financial condition or results of operations. While the Company maintains insurance coverage that</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8" w:name="page29"/>
    <w:bookmarkEnd w:id="28"/>
    <w:p>
      <w:pPr>
        <w:ind w:right="500"/>
        <w:spacing w:after="0" w:line="277" w:lineRule="auto"/>
        <w:rPr>
          <w:sz w:val="20"/>
          <w:szCs w:val="20"/>
          <w:color w:val="auto"/>
        </w:rPr>
      </w:pPr>
      <w:r>
        <w:rPr>
          <w:rFonts w:ascii="Arial" w:cs="Arial" w:eastAsia="Arial" w:hAnsi="Arial"/>
          <w:sz w:val="18"/>
          <w:szCs w:val="18"/>
          <w:color w:val="auto"/>
        </w:rPr>
        <w:t>the Company believes is adequate to mitigate the risks of such proceedings, no assurance can be given that the amount or scope of existing insurance coverage will be sufficient to cover losses arising from such matters.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 Company is a party to various legal and administrative proceedings, which have arisen in the normal course of its business. Estimated 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the Company’s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June 30, 2020, Recreational Enterprises, Inc. (“REI”) owned approximately 8.7%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During the six months ended June 30, 2020 and 2019, there were no related party transactions between the Company and the Carano family other than compensation, including salary and equity incentives, and the CSY Lease listed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owns the entire parcel on which Eldorado Reno is located, except for approximately 30,000 square feet which is leased from C. S.</w:t>
      </w:r>
    </w:p>
    <w:p>
      <w:pPr>
        <w:spacing w:after="0" w:line="46" w:lineRule="exact"/>
        <w:rPr>
          <w:sz w:val="20"/>
          <w:szCs w:val="20"/>
          <w:color w:val="auto"/>
        </w:rPr>
      </w:pPr>
    </w:p>
    <w:p>
      <w:pPr>
        <w:jc w:val="both"/>
        <w:ind w:firstLine="8"/>
        <w:spacing w:after="0" w:line="255" w:lineRule="auto"/>
        <w:tabs>
          <w:tab w:leader="none" w:pos="198" w:val="left"/>
        </w:tabs>
        <w:numPr>
          <w:ilvl w:val="0"/>
          <w:numId w:val="9"/>
        </w:numPr>
        <w:rPr>
          <w:rFonts w:ascii="Arial" w:cs="Arial" w:eastAsia="Arial" w:hAnsi="Arial"/>
          <w:sz w:val="18"/>
          <w:szCs w:val="18"/>
          <w:color w:val="auto"/>
        </w:rPr>
      </w:pPr>
      <w:r>
        <w:rPr>
          <w:rFonts w:ascii="Arial" w:cs="Arial" w:eastAsia="Arial" w:hAnsi="Arial"/>
          <w:sz w:val="18"/>
          <w:szCs w:val="18"/>
          <w:color w:val="auto"/>
        </w:rPr>
        <w:t>Y. Associates (“CSY”) which is an entity partially owned by REI (the “CSY Lease”). The CSY Lease expires on June 30, 2057. Rent pursuant to the CSY Lease is $0.6 million annually and paid quarterly during the year. As of June 30, 2020 and December 31, 2019, there were no amounts due to or from CSY.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five geographic regions and reportable segments. The reportable segments are based on the similar characteristics of the operating segments within the regions in which they operate. See Note 1 for a summary of these segments. Also, see Note 5 and Note 8 for a discussion of the impairment of intangibles and long-lived assets related to certain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sets forth, for the periods indicated, certain operating data for the Company’s five reportable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and expenses</w:t>
            </w:r>
          </w:p>
        </w:tc>
        <w:tc>
          <w:tcPr>
            <w:tcW w:w="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West: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8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127,727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245,822</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27,237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(110,265)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31,414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Midwest: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22,787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97,239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194,026</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56,845</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South:</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116,937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249,651</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20,865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46,538</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East: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170,455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336,688</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11,046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24,389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62,374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Central: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122,792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243,264</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11,793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23,556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22,690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55,103</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Corporate and Other:</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(26,120)</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126,470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637,121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599,539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1,272,944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48,939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56,533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99,372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114,290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102,550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(201,507)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226,154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Reconciliations to consolidated net (loss) income:</w:t>
            </w: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 income</w:t>
            </w:r>
          </w:p>
        </w:tc>
        <w:tc>
          <w:tcPr>
            <w:tcW w:w="8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102,550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(201,507)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226,154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Unallocated (loss) income and expenses: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(134,600)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(145,308)</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Unrealized gain (loss) on investments and marketable securities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33,661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70,833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(20,823)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(99,996)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18,936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(275,634)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57,165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5180" w:type="dxa"/>
            <w:vAlign w:val="bottom"/>
          </w:tcPr>
          <w:p>
            <w:pPr>
              <w:spacing w:after="0"/>
              <w:rPr>
                <w:sz w:val="24"/>
                <w:szCs w:val="24"/>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 Net</w:t>
            </w:r>
          </w:p>
        </w:tc>
        <w:tc>
          <w:tcPr>
            <w:tcW w:w="4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West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15,699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49,450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South</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10,098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East</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40"/>
              <w:spacing w:after="0"/>
              <w:rPr>
                <w:sz w:val="20"/>
                <w:szCs w:val="20"/>
                <w:color w:val="auto"/>
              </w:rPr>
            </w:pPr>
            <w:r>
              <w:rPr>
                <w:rFonts w:ascii="Arial" w:cs="Arial" w:eastAsia="Arial" w:hAnsi="Arial"/>
                <w:sz w:val="18"/>
                <w:szCs w:val="18"/>
                <w:color w:val="auto"/>
              </w:rPr>
              <w:t>Central</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5,308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4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220"/>
              <w:spacing w:after="0"/>
              <w:rPr>
                <w:sz w:val="20"/>
                <w:szCs w:val="20"/>
                <w:color w:val="auto"/>
              </w:rPr>
            </w:pPr>
            <w:r>
              <w:rPr>
                <w:rFonts w:ascii="Arial" w:cs="Arial" w:eastAsia="Arial" w:hAnsi="Arial"/>
                <w:sz w:val="18"/>
                <w:szCs w:val="18"/>
                <w:color w:val="auto"/>
              </w:rPr>
              <w:t>Total</w:t>
            </w:r>
          </w:p>
        </w:tc>
        <w:tc>
          <w:tcPr>
            <w:tcW w:w="44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41,014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97,114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0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7"/>
              </w:rPr>
              <w:t>Balance Sheet as of</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Arial" w:cs="Arial" w:eastAsia="Arial" w:hAnsi="Arial"/>
                <w:sz w:val="18"/>
                <w:szCs w:val="18"/>
                <w:color w:val="auto"/>
              </w:rPr>
              <w:t>West</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1,231,649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1,385,982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Midwest</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1,061,521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1,157,884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Arial" w:cs="Arial" w:eastAsia="Arial" w:hAnsi="Arial"/>
                <w:sz w:val="18"/>
                <w:szCs w:val="18"/>
                <w:color w:val="auto"/>
              </w:rPr>
              <w:t>South</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1,034,363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1,132,707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1,533,568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1,588,308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20"/>
              <w:spacing w:after="0"/>
              <w:rPr>
                <w:sz w:val="20"/>
                <w:szCs w:val="20"/>
                <w:color w:val="auto"/>
              </w:rPr>
            </w:pPr>
            <w:r>
              <w:rPr>
                <w:rFonts w:ascii="Arial" w:cs="Arial" w:eastAsia="Arial" w:hAnsi="Arial"/>
                <w:sz w:val="18"/>
                <w:szCs w:val="18"/>
                <w:color w:val="auto"/>
              </w:rPr>
              <w:t>Central</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1,491,265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1,522,023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Other and Eliminations</w:t>
            </w:r>
          </w:p>
        </w:tc>
        <w:tc>
          <w:tcPr>
            <w:tcW w:w="4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(203,919)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(1,146,351)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Arial" w:cs="Arial" w:eastAsia="Arial" w:hAnsi="Arial"/>
                <w:sz w:val="18"/>
                <w:szCs w:val="18"/>
                <w:color w:val="auto"/>
              </w:rPr>
              <w:t>Total</w:t>
            </w:r>
          </w:p>
        </w:tc>
        <w:tc>
          <w:tcPr>
            <w:tcW w:w="4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6,148,447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5,640,553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0" w:type="dxa"/>
            <w:vAlign w:val="bottom"/>
            <w:vMerge w:val="restart"/>
          </w:tcPr>
          <w:p>
            <w:pPr>
              <w:jc w:val="right"/>
              <w:ind w:right="267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Caesars Entertainment, Inc., a Delaware corporation formerly known as Eldorado Resorts, Inc. (“ERI” or “Eldorado”), is referred to as the “Company,” or the “Registrant,” and together with its subsidiaries may also be referred to as “we,” “us” or “our.”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geographically diversified gaming and hospitality company with 23 gaming facilities in 11 states as of June 30, 2020. As of June 30, 2020, our properties were located in Colorado, Florida, Illinois, Indiana, Iowa, Mississippi, Missouri, Louisiana, Nevada, New Jersey and Ohio, and featured approximately 23,900 slot machines, video lottery terminals (“VLTs”) and e-tables, approximately 660 table games and approximately 11,300 hotel rooms. On July 20, 2020, we completed the merger in which a wholly-owned subsidiary of the Company merged with and into Caesars Entertainment Corporation (“Former Caesars”) with Former Caesars surviving as a wholly-owned subsidiary of the Company (the “Merger”) pursuant to the Agreement and Plan of Merger dated as of June 24, 2019 (as amended by Amendment No. 1 to Agreement and Plan of Merger, dated as of August 15, 2019, the “Merger Agreement”). As a result of the Merger, we currently own an aggregate of 54 domestic properties in 16 states with approximately 60,400 slot machines, VLTs and e-tables, approximately 3,350 table games and approximately 51,200 hotel rooms, which includes international operations in five countries outside of the U.S. Our primary source of revenue is generated by gaming operations, and we utilize our hotels, restaurants, bars, entertainment, racing, sportsbook offerings, retail shops and other services to attract customers to our properties.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were founded in 1973 by the Carano family with the opening of the Eldorado Hotel Casino in Reno, Nevada and in 1993 partnered with MGM Resorts International to build Silver Legacy Resort Casino in Reno, Nevada. Beginning in 2005, we grew through a series of acquisitions, including the acquisition of Eldorado Shreveport in 2005, MTR Gaming Group, Inc. in 2014, Circus Circus Reno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we owned 18 of our casinos and leased five casinos that are subject to a master lease with GLP Capital, L.P., the operating partnership of Gaming and Leisure Properties, Inc. (“GLPI”), that we entered into in connection with the Tropicana Acquisition on October 1, 2018 (as amended, the “GLPI Master Lease”). See full description under the “GLPI Master Lease”.</w:t>
      </w:r>
    </w:p>
    <w:p>
      <w:pPr>
        <w:spacing w:after="0" w:line="1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our ticker symbol on the NASDAQ Stock Market changed from “ERI” to “CZR”. In connection with the execution of the Merger Agreement, we also entered into a Master Transaction Agreement (the “MTA”) with VICI Properties L.P., a Delaware limited partnership (“VICI”), pursuant to which, among other things, we agreed to consummate certain sale and leaseback transactions and amend certain lease agreements with VICI and/or its affiliates, with respect to certain property described in the MTA.</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periodically divest of assets in order to raise capital. We also divested certain assets, and will be required to divest additional assets, in connection with obtaining required regulatory approvals in preparation of the Merger. A summary of recently completed and planned divestitures of our properties as of June 30, 2020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Segment</w:t>
            </w:r>
          </w:p>
        </w:tc>
        <w:tc>
          <w:tcPr>
            <w:tcW w:w="5480" w:type="dxa"/>
            <w:vAlign w:val="bottom"/>
            <w:gridSpan w:val="2"/>
          </w:tcPr>
          <w:p>
            <w:pPr>
              <w:ind w:left="2320"/>
              <w:spacing w:after="0"/>
              <w:rPr>
                <w:sz w:val="20"/>
                <w:szCs w:val="20"/>
                <w:color w:val="auto"/>
              </w:rPr>
            </w:pPr>
            <w:r>
              <w:rPr>
                <w:rFonts w:ascii="Arial" w:cs="Arial" w:eastAsia="Arial" w:hAnsi="Arial"/>
                <w:sz w:val="16"/>
                <w:szCs w:val="16"/>
                <w:b w:val="1"/>
                <w:bCs w:val="1"/>
                <w:color w:val="auto"/>
              </w:rPr>
              <w:t>Property</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Date Sold</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State</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East</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Presque Isle Downs &amp; Casino (“Presque”)</w:t>
            </w:r>
          </w:p>
        </w:tc>
        <w:tc>
          <w:tcPr>
            <w:tcW w:w="2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January 11, 2019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Pennsylvania</w:t>
            </w:r>
          </w:p>
        </w:tc>
      </w:tr>
      <w:tr>
        <w:trPr>
          <w:trHeight w:val="223"/>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East</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Lady Luck Casino Nemacolin (“Nemacolin”)</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March 8, 2019</w:t>
            </w:r>
          </w:p>
        </w:tc>
        <w:tc>
          <w:tcPr>
            <w:tcW w:w="1660" w:type="dxa"/>
            <w:vAlign w:val="bottom"/>
          </w:tcPr>
          <w:p>
            <w:pPr>
              <w:jc w:val="center"/>
              <w:spacing w:after="0"/>
              <w:rPr>
                <w:sz w:val="20"/>
                <w:szCs w:val="20"/>
                <w:color w:val="auto"/>
              </w:rPr>
            </w:pPr>
            <w:r>
              <w:rPr>
                <w:rFonts w:ascii="Arial" w:cs="Arial" w:eastAsia="Arial" w:hAnsi="Arial"/>
                <w:sz w:val="16"/>
                <w:szCs w:val="16"/>
                <w:color w:val="auto"/>
                <w:w w:val="90"/>
              </w:rPr>
              <w:t>Pennsylvania</w:t>
            </w:r>
          </w:p>
        </w:tc>
      </w:tr>
      <w:tr>
        <w:trPr>
          <w:trHeight w:val="3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East</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Mountaineer Casino, Racetrack and Resort (“Mountaineer”)</w:t>
            </w:r>
          </w:p>
        </w:tc>
        <w:tc>
          <w:tcPr>
            <w:tcW w:w="2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December 6, 2019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West Virginia</w:t>
            </w:r>
          </w:p>
        </w:tc>
      </w:tr>
      <w:tr>
        <w:trPr>
          <w:trHeight w:val="223"/>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Midwest</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Isle Casino Cape Girardeau (“Cape Girardeau”)</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December 6, 2019</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Missouri</w:t>
            </w:r>
          </w:p>
        </w:tc>
      </w:tr>
      <w:tr>
        <w:trPr>
          <w:trHeight w:val="3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Midwest</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Lady Luck Casino Caruthersville (“Caruthersville”)</w:t>
            </w:r>
          </w:p>
        </w:tc>
        <w:tc>
          <w:tcPr>
            <w:tcW w:w="2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December 6, 2019</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r>
      <w:tr>
        <w:trPr>
          <w:trHeight w:val="223"/>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Midwest</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July 1, 2020 (a)</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Missouri</w:t>
            </w:r>
          </w:p>
        </w:tc>
      </w:tr>
      <w:tr>
        <w:trPr>
          <w:trHeight w:val="3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South</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Lady Luck Casino Vicksburg (“Vicksburg”)</w:t>
            </w:r>
          </w:p>
        </w:tc>
        <w:tc>
          <w:tcPr>
            <w:tcW w:w="2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July 1, 2020 (a)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Mississippi</w:t>
            </w:r>
          </w:p>
        </w:tc>
      </w:tr>
      <w:tr>
        <w:trPr>
          <w:trHeight w:val="224"/>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South</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N/A (b)</w:t>
            </w:r>
          </w:p>
        </w:tc>
        <w:tc>
          <w:tcPr>
            <w:tcW w:w="1660" w:type="dxa"/>
            <w:vAlign w:val="bottom"/>
          </w:tcPr>
          <w:p>
            <w:pPr>
              <w:jc w:val="center"/>
              <w:spacing w:after="0"/>
              <w:rPr>
                <w:sz w:val="20"/>
                <w:szCs w:val="20"/>
                <w:color w:val="auto"/>
              </w:rPr>
            </w:pPr>
            <w:r>
              <w:rPr>
                <w:rFonts w:ascii="Arial" w:cs="Arial" w:eastAsia="Arial" w:hAnsi="Arial"/>
                <w:sz w:val="16"/>
                <w:szCs w:val="16"/>
                <w:color w:val="auto"/>
                <w:w w:val="90"/>
              </w:rPr>
              <w:t>Louisiana</w:t>
            </w:r>
          </w:p>
        </w:tc>
      </w:tr>
      <w:tr>
        <w:trPr>
          <w:trHeight w:val="3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West</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N/A (b)</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Nevada</w:t>
            </w:r>
          </w:p>
        </w:tc>
      </w:tr>
      <w:tr>
        <w:trPr>
          <w:trHeight w:val="223"/>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Central</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Tropicana Evansville (“Evansville”)</w:t>
            </w:r>
          </w:p>
        </w:tc>
        <w:tc>
          <w:tcPr>
            <w:tcW w:w="2660" w:type="dxa"/>
            <w:vAlign w:val="bottom"/>
            <w:gridSpan w:val="2"/>
          </w:tcPr>
          <w:p>
            <w:pPr>
              <w:jc w:val="center"/>
              <w:ind w:right="200"/>
              <w:spacing w:after="0"/>
              <w:rPr>
                <w:sz w:val="20"/>
                <w:szCs w:val="20"/>
                <w:color w:val="auto"/>
              </w:rPr>
            </w:pPr>
            <w:r>
              <w:rPr>
                <w:rFonts w:ascii="Arial" w:cs="Arial" w:eastAsia="Arial" w:hAnsi="Arial"/>
                <w:sz w:val="16"/>
                <w:szCs w:val="16"/>
                <w:color w:val="auto"/>
              </w:rPr>
              <w:t>N/A (c)</w:t>
            </w:r>
          </w:p>
        </w:tc>
        <w:tc>
          <w:tcPr>
            <w:tcW w:w="1660" w:type="dxa"/>
            <w:vAlign w:val="bottom"/>
          </w:tcPr>
          <w:p>
            <w:pPr>
              <w:jc w:val="center"/>
              <w:spacing w:after="0"/>
              <w:rPr>
                <w:sz w:val="20"/>
                <w:szCs w:val="20"/>
                <w:color w:val="auto"/>
              </w:rPr>
            </w:pPr>
            <w:r>
              <w:rPr>
                <w:rFonts w:ascii="Arial" w:cs="Arial" w:eastAsia="Arial" w:hAnsi="Arial"/>
                <w:sz w:val="16"/>
                <w:szCs w:val="16"/>
                <w:color w:val="auto"/>
                <w:w w:val="95"/>
              </w:rPr>
              <w:t>Indiana</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both"/>
        <w:ind w:left="660" w:hanging="652"/>
        <w:spacing w:after="0" w:line="286" w:lineRule="auto"/>
        <w:tabs>
          <w:tab w:leader="none" w:pos="6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July 10, 2019, we entered into a definitive agreement to sell Kansas City and Vicksburg to Twin River Worldwide Holdings, Inc. (“Twin River”) for cash consideration of approximately $230 million, subject to a working capital adjustment. The transaction closed on July 1, 2020. Kansas City and Vicksburg met the requirements for presentation as assets held for sale as of June 30, 2020 and December 31, 2019.</w:t>
      </w:r>
    </w:p>
    <w:p>
      <w:pPr>
        <w:spacing w:after="0" w:line="111" w:lineRule="exact"/>
        <w:rPr>
          <w:rFonts w:ascii="Arial" w:cs="Arial" w:eastAsia="Arial" w:hAnsi="Arial"/>
          <w:sz w:val="17"/>
          <w:szCs w:val="17"/>
          <w:color w:val="auto"/>
        </w:rPr>
      </w:pPr>
    </w:p>
    <w:p>
      <w:pPr>
        <w:jc w:val="both"/>
        <w:ind w:left="660" w:hanging="652"/>
        <w:spacing w:after="0" w:line="272"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April 24, 2020, we entered into a definitive purchase agreement with Twin River to sell the equity interests of Eldorado Resort Casino Shreveport Joint Venture and Columbia Properties Tahoe, LLC, the entities that hold Eldorado Shreveport and MontBleu for aggregate consideration of $155 million and terminated the prior agreement to sell those assets. The agreement is subject to regulatory approvals and is expected to close in the first quarter of 2021. Eldorado Shreveport and MontBleu met the requirements for presentation as assets held for sale under generally accepted accounting principles as of June 30, 2020. In conjunction with the classification of MontBleu’s operations as assets held for sale as a result of the announced sale, an impairment charge totaling $45.6 million was recorded during the six months ended June 30, 2020 due to the carrying value exceeding the estimated net sales proceeds.</w:t>
      </w:r>
    </w:p>
    <w:p>
      <w:pPr>
        <w:spacing w:after="0" w:line="123" w:lineRule="exact"/>
        <w:rPr>
          <w:rFonts w:ascii="Arial" w:cs="Arial" w:eastAsia="Arial" w:hAnsi="Arial"/>
          <w:sz w:val="17"/>
          <w:szCs w:val="17"/>
          <w:color w:val="auto"/>
        </w:rPr>
      </w:pPr>
    </w:p>
    <w:p>
      <w:pPr>
        <w:jc w:val="both"/>
        <w:ind w:left="660" w:hanging="652"/>
        <w:spacing w:after="0" w:line="259"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its review of the Merger, the Indiana Gaming Commission determined on July 16, 2020 that we will be required to divest three properties within the state of Indiana in order to avoid undue economic concentrations as conditions to the Indiana Gaming Commission’s approval of the Merger. As a result, we plan to enter into agreements to divest of Evansville, as well as two additional properties that we acquired as a result of the Merger, prior to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ours. The strategic rationale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4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largest and most diversified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Iconic brands, rewards program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the closing price of $38.00 per share of Company common stock, par value $0.00001 per share (“Company Common Stock”), reported on NASDAQ on July 17, 2020, the aggregate implied value of the aggregate merger consideration paid to former holders of Former Caesars common stock in connection with the Merger was approximately $8.46 billion, including approximately $2.37 billion in Company Common Stock and approximately $6.09 billion in cash. The aggregate merger consideration transferred also included the repayment of certain outstanding debt balances of Former Caesars and the replacement of equity awards of certain employees attributable to services provided prior to the Merger.</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cash consideration paid in the Merger was $12.41 per share (inclusive of the applicable ticking fee) of Former Caesars common stock for which cash consideration was payable and the stock consideration per share of Former Caesars common stock for which stock consideration was payable was 0.3085 shares of Company Common Stock, with a value equal to approximately $12.41 in cash (based on the volume weighted average price per share of Company Common Stock for the 10 trading days ending on July 16, 2020). Following the consummation of the Merger, Eldorado’s and Former Caesars’ stockholders hold approximately 56% and 44%, respectively, of the outstanding shares of Company Common Stock.</w:t>
      </w:r>
    </w:p>
    <w:p>
      <w:pPr>
        <w:spacing w:after="0" w:line="1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major classes of assets acquired through the Merger include cash, cash equivalents and restricted cash, accounts receivable, including receivables from affiliates, property and equipment, goodwill and intangible assets, and other assets. The major classes of liabilities assumed through the Merger include accounts payable, accrued expenses, contract liabilities, financing obligations and long-term debt, which includes $1.1 billion in aggregate principal amount of 5% convertible notes due 2024 that are convertible into the weighted average of the number of shares of Company Common Stock and amount of cash actually received by holders of common stock of Former Caesars that made elections for consideration in the Merger.</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 short period of time from the Merger completion date and the date of these consolidated financial statements and the size and complexity of the transaction, the initial accounting for the business combination is incomplete at this time. We are not able to provide the valuation of certain components of consideration transferred or provide the allocation of consideration paid to the assets acquired or liabilities assumed. Supplemental pro forma revenue and earnings of the combined company are predicated on the completion of the business combination accounting and allocation of consideration.</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acquisition-related transaction costs of $12.7 million and $22.0 million for the three and six months ended June 30, 2020, respectively, and $4.5 million for the three and six months ended June 30,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Debt and Financing Activity</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6, 2020, a wholly-owned subsidiary of ours issued $3.4 billion aggregate principal amount of 6.250% Senior Secured Notes due 2025 (the “2025 Secured Notes”) and $1.8 billion aggregate principal amount of 8.125% Senior Notes due 2027 (the “2027 Senior Notes”). We assumed the obligations under the 2025 Secured Notes and 2027 Senior Notes upon consummation of the Merger. In addition, Caesars Resort Collection (“CRC”), a subsidiary of Former Caesars, issued $1.0 billion aggregate principal amount of 5.750% Senior Secured Notes due 2025 (the “CRC Secured Notes”).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20, 2020, in connection with the closing of the Merger, we entered into a new credit agreement which provides a five-year senior secured revolving credit facility for an aggregate principal amount of $1.0 billion (the “ERI Revolving Credit Facility”) and an additional revolving credit facility commitment under the ERI Revolving Credit Facility in an aggregate principal amount equal to $185 million, and CRC entered into an incremental agreement to its existing credit agreement dated as of December 22, 2017 for an aggregate principal amount of $1.8 billion of incremental term loan and an additional $25 million of revolving credit facility commitments. The additional capacities of $185 million under the ERI Revolving Credit Facility and $25 million under the existing CRC revolving credit facility are subject to approval from certain gaming authorities which we expect to receive in the third quarter of 2020. In addition, the borrowing capacity and obligations under CRC’s existing $1.0 billion revolving credit facility remain outstanding following the consummation of the Merger.</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portion of the proceeds from these arrangements, as well as our cash on hand, was used (a) to fund a portion of the cash consideration of the Merger, (b) to prepay in full the loans outstanding and terminate all commitments under our existing Credit Agreement, dated as of April 17, 2017, (c) to satisfy and discharge our 6% Senior Notes due 2025, the Senior Notes due 2026 and the 7% Senior Notes due 2023, (d) to repay $975 million of the outstanding amount under CRC’s existing revolving credit facility, (e) to repay in full the loans outstanding and terminate all commitments under the CEOC, LLC Credit Agreement, dated as of October 6, 2017, (f) to pay fees and expenses related to the financing arrangements, and (g) for general corporate use. See Note 11.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closing of the Merger on July 20, 2020, we consummated a series of transactions with VICI in accordance with the Master Transaction Agreement (“MTA”) entered on June 24, 2019 and the Purchase and Sales Agreement entered on September 26, 2019. We consummated the sale leaseback transactions related to Harrah’s New Orleans, Harrah’s Laughlin and Harrah’s Resort Atlantic City, including the Harrah’s Atlantic City Waterfront Conference Center, for approximately $1.82 billion of net proceeds. Additionally, we received a one-time payment from VICI of approximately $1.38 billion for amendments to VICI lease agreements. The Caesars Palace Las Vegas (“CPLV”) Lease with VICI was amended to include Harrah’s Las Vegas (“HLV”) under the CPLV lease and increased HLV’s annual rent by $15 million and CPLV’s annual rent by $84 million. In addition, Harrah’s New Orleans, Harrah’s Laughlin, Harrah’s Resort Atlantic City and the Harrah’s Atlantic City Waterfront Conference Center were added to the Non-CPLV lease with VICI, with an increase in total aggregate annual rent for these properties of $154 million. The CPLV, Non-CPLV and Joliet lease agreements, as well as the Golf Course Use Agreement, were extended such that there will be 15 years remaining until the expiration of the initial term. The amendment also contains a put-call agreement related to the Centaur properties pursuant to which CRC may require VICI or its applicable affiliate to purchase and lease back (as lessor) to the Company or its applicable affiliate(s) the real estate components of the gaming and racetrack facilities of Hoosier Park Racing &amp; Casino (“Hoosier Park”) and Indiana Grand Racing &amp; Casino (“Indiana Grand”) and VICI or its applicable affiliate may require CRC to sell to VICI or its affiliate(s) and lease back (as lessee) the real estate components of such gaming and racetrack facilities.</w:t>
      </w:r>
    </w:p>
    <w:p>
      <w:pPr>
        <w:spacing w:after="0" w:line="12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15, 2020, we entered into a non-binding letter of intent with VICI to borrow a new 5-year, $400 million mortgage loan (the “Convention Center Mortgage Loan”) and sell to VICI approximately 23 acres of land in the vicinity of, or adjacent to, The LINQ, Bally’s Paris and Planet Hollywood in Las Vegas, Nevada and commonly known as the Eastside Land (the “Eastside Land Sale”). The Convention Center Mortgage Loan and the Eastside Land Sale are expected to close concurrently and are subject to customary closing conditions, including completion of due diligence, and negotiation of definitive documents and receipt of regulatory approvals. These transactions are expected to close in the third quarter of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Development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color w:val="auto"/>
        </w:rPr>
        <w:t>gaming activities utilizing our second skin available with respect to properties in such territories</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terms of the agreement, we received a 20% ownership interest in William Hill US valued at approximately $128.9 million as well as 13.4 million ordinary shares of William Hill PLC with an initial value of approximately $27.3 million upon closing of the transaction in January 2019. Our profit and losses attributable to William Hill US are included in income (loss) from unconsolidated affiliates on the Consolidated Statements of Operations. The amortization of deferred revenues associated with our equity interests is included in other revenue within our corporate and other segment. Additionally, we receive a profit share from the operations of betting and other gaming activities associated with our properties, which is included in other revenue at the respective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an additional $5.0 million in TSG common shares became payable to us upon TSG’s exercise of its first option, which shares we received in the fourth quarter of 2019. In December 2019, we sold approximately 0.5 million of our TSG common shares at the request of William Hill and remitted the proceeds to them in accordance with the terms of our William Hill agreement. We may also receive additional TSG common shares in the future based on TSG net gaming revenue generated in our markets. Upon entry into the TSG agreement, we recorded deferred revenue associated with the shares received and recognize revenue, which is included in other revenue within our corporate and other segment. On May 5, 2020, Flutter Entertainment PLC (“Flutter”) completed the acquisition of all of the issued and outstanding common shares of TSG in exchange for 0.2253 Flutter shares per common share of TSG.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Pompano Joint Venture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have made cash contributions totaling $1.0 million and have agreed to contribute a total of approximately 130 to 200 acres of land to the joint venture for the project. As of June 30, 2020, we have contributed approximately 20 acres to the joint venture at an approximate fair value of $6.6 million.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income (loss) from unconsolidated affiliates on the Consolidated Statements of Operations.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Segment</w:t>
            </w:r>
          </w:p>
        </w:tc>
        <w:tc>
          <w:tcPr>
            <w:tcW w:w="5740" w:type="dxa"/>
            <w:vAlign w:val="bottom"/>
            <w:gridSpan w:val="2"/>
          </w:tcPr>
          <w:p>
            <w:pPr>
              <w:ind w:left="2480"/>
              <w:spacing w:after="0"/>
              <w:rPr>
                <w:sz w:val="20"/>
                <w:szCs w:val="20"/>
                <w:color w:val="auto"/>
              </w:rPr>
            </w:pPr>
            <w:r>
              <w:rPr>
                <w:rFonts w:ascii="Arial" w:cs="Arial" w:eastAsia="Arial" w:hAnsi="Arial"/>
                <w:sz w:val="16"/>
                <w:szCs w:val="16"/>
                <w:b w:val="1"/>
                <w:bCs w:val="1"/>
                <w:color w:val="auto"/>
              </w:rPr>
              <w:t>Property</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Date Acquired</w:t>
            </w:r>
          </w:p>
        </w:tc>
        <w:tc>
          <w:tcPr>
            <w:tcW w:w="1680" w:type="dxa"/>
            <w:vAlign w:val="bottom"/>
          </w:tcPr>
          <w:p>
            <w:pPr>
              <w:ind w:left="660"/>
              <w:spacing w:after="0"/>
              <w:rPr>
                <w:sz w:val="20"/>
                <w:szCs w:val="20"/>
                <w:color w:val="auto"/>
              </w:rPr>
            </w:pPr>
            <w:r>
              <w:rPr>
                <w:rFonts w:ascii="Arial" w:cs="Arial" w:eastAsia="Arial" w:hAnsi="Arial"/>
                <w:sz w:val="16"/>
                <w:szCs w:val="16"/>
                <w:b w:val="1"/>
                <w:bCs w:val="1"/>
                <w:color w:val="auto"/>
              </w:rPr>
              <w:t>State</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15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West</w:t>
            </w: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Eldorado Resort Casino Reno (“Eldorado Reno”)</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1"/>
              </w:rPr>
              <w:t>(a)</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Nevada</w:t>
            </w:r>
          </w:p>
        </w:tc>
      </w:tr>
      <w:tr>
        <w:trPr>
          <w:trHeight w:val="224"/>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Silver Legacy Resort Casino (“Silver Legacy”)</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(a)</w:t>
            </w:r>
          </w:p>
        </w:tc>
        <w:tc>
          <w:tcPr>
            <w:tcW w:w="1680" w:type="dxa"/>
            <w:vAlign w:val="bottom"/>
          </w:tcPr>
          <w:p>
            <w:pPr>
              <w:ind w:left="200"/>
              <w:spacing w:after="0"/>
              <w:rPr>
                <w:sz w:val="20"/>
                <w:szCs w:val="20"/>
                <w:color w:val="auto"/>
              </w:rPr>
            </w:pPr>
            <w:r>
              <w:rPr>
                <w:rFonts w:ascii="Arial" w:cs="Arial" w:eastAsia="Arial" w:hAnsi="Arial"/>
                <w:sz w:val="16"/>
                <w:szCs w:val="16"/>
                <w:color w:val="auto"/>
              </w:rPr>
              <w:t>Nevada</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Circus Circus Reno (“Circus Reno”)</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1"/>
              </w:rPr>
              <w:t>(a)</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Nevada</w:t>
            </w: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MontBleu Casino Resort &amp; Spa (“MontBleu”)</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October 1, 2018 (c)</w:t>
            </w:r>
          </w:p>
        </w:tc>
        <w:tc>
          <w:tcPr>
            <w:tcW w:w="1680" w:type="dxa"/>
            <w:vAlign w:val="bottom"/>
          </w:tcPr>
          <w:p>
            <w:pPr>
              <w:ind w:left="200"/>
              <w:spacing w:after="0"/>
              <w:rPr>
                <w:sz w:val="20"/>
                <w:szCs w:val="20"/>
                <w:color w:val="auto"/>
              </w:rPr>
            </w:pPr>
            <w:r>
              <w:rPr>
                <w:rFonts w:ascii="Arial" w:cs="Arial" w:eastAsia="Arial" w:hAnsi="Arial"/>
                <w:sz w:val="16"/>
                <w:szCs w:val="16"/>
                <w:color w:val="auto"/>
              </w:rPr>
              <w:t>Nevada</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Tropicana Laughlin Hotel &amp; Casino (“Laughlin”)</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2"/>
              </w:rPr>
              <w:t>October 1, 2018</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Nevada</w:t>
            </w:r>
          </w:p>
        </w:tc>
      </w:tr>
      <w:tr>
        <w:trPr>
          <w:trHeight w:val="224"/>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Casino Hotel - Blackhawk (“Isle Black Hawk”)</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Colorado</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Lady Luck Casino - Black Hawk (“Lady Luck Black Hawk”)</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Colorado</w:t>
            </w: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5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Midwest (b)</w:t>
            </w: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Isle Casino Waterloo (“Waterloo”)</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Iowa</w:t>
            </w: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Casino Bettendorf (“Bettendorf”)</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Iowa</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Isle of Capri Casino Boonville (“Boonville”)</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Missouri</w:t>
            </w:r>
          </w:p>
        </w:tc>
      </w:tr>
      <w:tr>
        <w:trPr>
          <w:trHeight w:val="224"/>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of Capri Casino Kansas City (“Kansas City”)</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May 1, 2017 (c)</w:t>
            </w:r>
          </w:p>
        </w:tc>
        <w:tc>
          <w:tcPr>
            <w:tcW w:w="1680" w:type="dxa"/>
            <w:vAlign w:val="bottom"/>
          </w:tcPr>
          <w:p>
            <w:pPr>
              <w:ind w:left="200"/>
              <w:spacing w:after="0"/>
              <w:rPr>
                <w:sz w:val="20"/>
                <w:szCs w:val="20"/>
                <w:color w:val="auto"/>
              </w:rPr>
            </w:pPr>
            <w:r>
              <w:rPr>
                <w:rFonts w:ascii="Arial" w:cs="Arial" w:eastAsia="Arial" w:hAnsi="Arial"/>
                <w:sz w:val="16"/>
                <w:szCs w:val="16"/>
                <w:color w:val="auto"/>
              </w:rPr>
              <w:t>Missouri</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24"/>
        </w:trPr>
        <w:tc>
          <w:tcPr>
            <w:tcW w:w="1500" w:type="dxa"/>
            <w:vAlign w:val="bottom"/>
            <w:gridSpan w:val="2"/>
          </w:tcPr>
          <w:p>
            <w:pPr>
              <w:ind w:left="220"/>
              <w:spacing w:after="0"/>
              <w:rPr>
                <w:sz w:val="20"/>
                <w:szCs w:val="20"/>
                <w:color w:val="auto"/>
              </w:rPr>
            </w:pPr>
            <w:r>
              <w:rPr>
                <w:rFonts w:ascii="Arial" w:cs="Arial" w:eastAsia="Arial" w:hAnsi="Arial"/>
                <w:sz w:val="16"/>
                <w:szCs w:val="16"/>
                <w:color w:val="auto"/>
              </w:rPr>
              <w:t>South</w:t>
            </w: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Casino Racing Pompano Park (“Pompano”)</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Florida</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Eldorado Resort Casino Shreveport (“Eldorado Shreveport”)</w:t>
            </w:r>
          </w:p>
        </w:tc>
        <w:tc>
          <w:tcPr>
            <w:tcW w:w="232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3"/>
              </w:rPr>
              <w:t>(a) (c)</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Louisiana</w:t>
            </w: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of Capri Casino Hotel Lake Charles (“Lake Charles”)</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Louisiana</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Belle of Baton Rouge Casino &amp; Hotel (“Baton Rouge”)</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2"/>
              </w:rPr>
              <w:t>October 1, 2018</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Louisiana</w:t>
            </w:r>
          </w:p>
        </w:tc>
      </w:tr>
      <w:tr>
        <w:trPr>
          <w:trHeight w:val="224"/>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Isle of Capri Casino Lula (“Lula”)</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May 1, 2017</w:t>
            </w:r>
          </w:p>
        </w:tc>
        <w:tc>
          <w:tcPr>
            <w:tcW w:w="1680" w:type="dxa"/>
            <w:vAlign w:val="bottom"/>
          </w:tcPr>
          <w:p>
            <w:pPr>
              <w:ind w:left="200"/>
              <w:spacing w:after="0"/>
              <w:rPr>
                <w:sz w:val="20"/>
                <w:szCs w:val="20"/>
                <w:color w:val="auto"/>
              </w:rPr>
            </w:pPr>
            <w:r>
              <w:rPr>
                <w:rFonts w:ascii="Arial" w:cs="Arial" w:eastAsia="Arial" w:hAnsi="Arial"/>
                <w:sz w:val="16"/>
                <w:szCs w:val="16"/>
                <w:color w:val="auto"/>
              </w:rPr>
              <w:t>Mississippi</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Lady Luck Casino Vicksburg (“Vicksburg”)</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5"/>
              </w:rPr>
              <w:t>May 1, 2017 (c)</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Mississippi</w:t>
            </w:r>
          </w:p>
        </w:tc>
      </w:tr>
      <w:tr>
        <w:trPr>
          <w:trHeight w:val="223"/>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Trop Casino Greenville (“Greenville”)</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October 1, 2018</w:t>
            </w:r>
          </w:p>
        </w:tc>
        <w:tc>
          <w:tcPr>
            <w:tcW w:w="1680" w:type="dxa"/>
            <w:vAlign w:val="bottom"/>
          </w:tcPr>
          <w:p>
            <w:pPr>
              <w:ind w:left="200"/>
              <w:spacing w:after="0"/>
              <w:rPr>
                <w:sz w:val="20"/>
                <w:szCs w:val="20"/>
                <w:color w:val="auto"/>
              </w:rPr>
            </w:pPr>
            <w:r>
              <w:rPr>
                <w:rFonts w:ascii="Arial" w:cs="Arial" w:eastAsia="Arial" w:hAnsi="Arial"/>
                <w:sz w:val="16"/>
                <w:szCs w:val="16"/>
                <w:color w:val="auto"/>
              </w:rPr>
              <w:t>Mississippi</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24"/>
        </w:trPr>
        <w:tc>
          <w:tcPr>
            <w:tcW w:w="1500" w:type="dxa"/>
            <w:vAlign w:val="bottom"/>
            <w:gridSpan w:val="2"/>
          </w:tcPr>
          <w:p>
            <w:pPr>
              <w:ind w:left="220"/>
              <w:spacing w:after="0"/>
              <w:rPr>
                <w:sz w:val="20"/>
                <w:szCs w:val="20"/>
                <w:color w:val="auto"/>
              </w:rPr>
            </w:pPr>
            <w:r>
              <w:rPr>
                <w:rFonts w:ascii="Arial" w:cs="Arial" w:eastAsia="Arial" w:hAnsi="Arial"/>
                <w:sz w:val="16"/>
                <w:szCs w:val="16"/>
                <w:color w:val="auto"/>
              </w:rPr>
              <w:t>East (b)</w:t>
            </w: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Eldorado Gaming Scioto Downs (“Scioto Downs”)</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(a)</w:t>
            </w:r>
          </w:p>
        </w:tc>
        <w:tc>
          <w:tcPr>
            <w:tcW w:w="1680" w:type="dxa"/>
            <w:vAlign w:val="bottom"/>
          </w:tcPr>
          <w:p>
            <w:pPr>
              <w:ind w:left="200"/>
              <w:spacing w:after="0"/>
              <w:rPr>
                <w:sz w:val="20"/>
                <w:szCs w:val="20"/>
                <w:color w:val="auto"/>
              </w:rPr>
            </w:pPr>
            <w:r>
              <w:rPr>
                <w:rFonts w:ascii="Arial" w:cs="Arial" w:eastAsia="Arial" w:hAnsi="Arial"/>
                <w:sz w:val="16"/>
                <w:szCs w:val="16"/>
                <w:color w:val="auto"/>
              </w:rPr>
              <w:t>Ohio</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Tropicana Casino and Resort, Atlantic City (“Trop AC”)</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2"/>
              </w:rPr>
              <w:t>October 1, 2018</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New Jersey</w:t>
            </w:r>
          </w:p>
        </w:tc>
      </w:t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6"/>
        </w:trPr>
        <w:tc>
          <w:tcPr>
            <w:tcW w:w="15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Central</w:t>
            </w:r>
          </w:p>
        </w:tc>
        <w:tc>
          <w:tcPr>
            <w:tcW w:w="57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Grand Victoria Casino (“Elgin”)</w:t>
            </w:r>
          </w:p>
        </w:tc>
        <w:tc>
          <w:tcPr>
            <w:tcW w:w="232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1"/>
              </w:rPr>
              <w:t>August 7, 2018</w:t>
            </w:r>
          </w:p>
        </w:tc>
        <w:tc>
          <w:tcPr>
            <w:tcW w:w="1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Illinois</w:t>
            </w:r>
          </w:p>
        </w:tc>
      </w:tr>
      <w:tr>
        <w:trPr>
          <w:trHeight w:val="224"/>
        </w:trPr>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40" w:type="dxa"/>
            <w:vAlign w:val="bottom"/>
            <w:gridSpan w:val="2"/>
          </w:tcPr>
          <w:p>
            <w:pPr>
              <w:ind w:left="200"/>
              <w:spacing w:after="0"/>
              <w:rPr>
                <w:sz w:val="20"/>
                <w:szCs w:val="20"/>
                <w:color w:val="auto"/>
              </w:rPr>
            </w:pPr>
            <w:r>
              <w:rPr>
                <w:rFonts w:ascii="Arial" w:cs="Arial" w:eastAsia="Arial" w:hAnsi="Arial"/>
                <w:sz w:val="16"/>
                <w:szCs w:val="16"/>
                <w:color w:val="auto"/>
              </w:rPr>
              <w:t>Lumière Place Casino (“Lumière”)</w:t>
            </w: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October 1, 2018</w:t>
            </w:r>
          </w:p>
        </w:tc>
        <w:tc>
          <w:tcPr>
            <w:tcW w:w="1680" w:type="dxa"/>
            <w:vAlign w:val="bottom"/>
          </w:tcPr>
          <w:p>
            <w:pPr>
              <w:ind w:left="200"/>
              <w:spacing w:after="0"/>
              <w:rPr>
                <w:sz w:val="20"/>
                <w:szCs w:val="20"/>
                <w:color w:val="auto"/>
              </w:rPr>
            </w:pPr>
            <w:r>
              <w:rPr>
                <w:rFonts w:ascii="Arial" w:cs="Arial" w:eastAsia="Arial" w:hAnsi="Arial"/>
                <w:sz w:val="16"/>
                <w:szCs w:val="16"/>
                <w:color w:val="auto"/>
              </w:rPr>
              <w:t>Missouri</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7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Tropicana Evansville (“Evansville”)</w:t>
            </w:r>
          </w:p>
        </w:tc>
        <w:tc>
          <w:tcPr>
            <w:tcW w:w="232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1"/>
              </w:rPr>
              <w:t>October 1, 2018 (c)</w:t>
            </w:r>
          </w:p>
        </w:tc>
        <w:tc>
          <w:tcPr>
            <w:tcW w:w="1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Indiana</w:t>
            </w:r>
          </w:p>
        </w:tc>
      </w:tr>
      <w:tr>
        <w:trPr>
          <w:trHeight w:val="33"/>
        </w:trPr>
        <w:tc>
          <w:tcPr>
            <w:tcW w:w="13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r>
    </w:tbl>
    <w:p>
      <w:pPr>
        <w:spacing w:after="0" w:line="14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Property was aggregated into segment prior to January 1, 2016.</w:t>
      </w:r>
    </w:p>
    <w:p>
      <w:pPr>
        <w:spacing w:after="0" w:line="55" w:lineRule="exact"/>
        <w:rPr>
          <w:rFonts w:ascii="Arial" w:cs="Arial" w:eastAsia="Arial" w:hAnsi="Arial"/>
          <w:sz w:val="14"/>
          <w:szCs w:val="14"/>
          <w:color w:val="auto"/>
        </w:rPr>
      </w:pPr>
    </w:p>
    <w:p>
      <w:pPr>
        <w:ind w:left="660" w:hanging="652"/>
        <w:spacing w:after="0" w:line="273"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Presque was sold on January 11, 2019, Nemacolin was sold on March 8, 2019 and Mountaineer was sold on December 6, 2019. All three properties were previously reported in the East segment. Cape Girardeau and Caruthersville were sold on December 6, 2019. Both properties were previously reported in the Midwest segment.</w:t>
      </w:r>
    </w:p>
    <w:p>
      <w:pPr>
        <w:spacing w:after="0" w:line="11" w:lineRule="exact"/>
        <w:rPr>
          <w:rFonts w:ascii="Arial" w:cs="Arial" w:eastAsia="Arial" w:hAnsi="Arial"/>
          <w:sz w:val="14"/>
          <w:szCs w:val="14"/>
          <w:color w:val="auto"/>
        </w:rPr>
      </w:pPr>
    </w:p>
    <w:p>
      <w:pPr>
        <w:ind w:left="660" w:hanging="652"/>
        <w:spacing w:after="0" w:line="312" w:lineRule="auto"/>
        <w:tabs>
          <w:tab w:leader="none" w:pos="657"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entered into agreements to sell Kansas City, Vicksburg, Eldorado Shreveport and MontBleu. The Kansas City and Vicksburg sales closed on July 1, 2020. The Eldorado Shreveport and MontBleu sales are expected to close in the first quarter of 2021. We plan to reach an agreement to divest of Evansville prior to December 31, 2020.</w:t>
      </w:r>
    </w:p>
    <w:p>
      <w:pPr>
        <w:spacing w:after="0" w:line="1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Our principal operating activities occur in five geographic regions and reportable segments. The reportable segments are based on the similar characteristics of the operating segments within the regions in which they operate: West, Midwest, South, East, and Central. See the table above for a listing of properties included in each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financial information included in this Item 2 for periods after our sales of Presque and Nemacolin on January 11, 2019 and March 8, 2019, respectively, and our sales of Mountaineer, Cape Girardeau and Caruthersville on December 6, 2019 are not fully comparable to the periods prior to their respective sale dates. See Note 5.</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this MD&amp;A in conjunction with our unaudited consolidated financial statements and the notes to those statements included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Factors Impacting Financial Results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and six months ended June 30, 2020 and 2019.</w:t>
      </w:r>
    </w:p>
    <w:p>
      <w:pPr>
        <w:spacing w:after="0" w:line="116" w:lineRule="exact"/>
        <w:rPr>
          <w:sz w:val="20"/>
          <w:szCs w:val="20"/>
          <w:color w:val="auto"/>
        </w:rPr>
      </w:pPr>
    </w:p>
    <w:p>
      <w:pPr>
        <w:jc w:val="both"/>
        <w:ind w:left="1300" w:hanging="644"/>
        <w:spacing w:after="0" w:line="285" w:lineRule="auto"/>
        <w:tabs>
          <w:tab w:leader="none" w:pos="1295"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COVID-19 Public Health Emergency – </w:t>
      </w:r>
      <w:r>
        <w:rPr>
          <w:rFonts w:ascii="Arial" w:cs="Arial" w:eastAsia="Arial" w:hAnsi="Arial"/>
          <w:sz w:val="16"/>
          <w:szCs w:val="16"/>
          <w:color w:val="auto"/>
        </w:rPr>
        <w:t>In January 2020, an outbreak of a new strain of coronavirus was identified and has since spread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much of the world, including the United States. All of our casino properties were temporarily closed for the period from mid-March 2020 through mid-May 2020 due to orders issued by various state government agencies as part of certain precautionary measures intended to help slow the spread of the COVID-19 public health emergency. On May 18, 2020, we began reopening our properties and have resumed certain operations at all of our properties as of June 30, 2020, with the exception of Elgin and Trop AC which reopened on July 1 and July 2, 2020, respectively. As a result of the temporary closures, the COVID-19 public health emergency has had a material adverse effect on our business, financial condition and results of operations for the three and six months ended June 30, 2020. We continued to pay our full-time employees through April 10, 2020, including tips and tokens. Effective April 11, 2020, we furloughed approximately 90% of our employees, implemented salary reductions and committed to continue to provide benefits to our employees through June 30, 2020. Subsequently, the benefit coverage for furloughed employees was extended through August 31, 2020. A portion of the workforce has returned to service as the properties have resumed with limited capacities and in compliance with operating restrictions in accordance with governmental orders, directives and guidelines. As a result of these payroll changes combined with other cost saving measures, our daily operating expenses were reduced significantly. On June 15, 2020, in order to address the effects of the property closures resulting from the ongoing COVID-19 public health emergency, we obtained waivers on the financial covenant on our existing credit facility agreements and GLPI Master Lease. The amendment to our GLPI Master Lease is subject to the receipt of applicable gaming regulatory approvals, the provision of applicable gaming regulatory notices and the expiration of applicable gaming regulatory advance notice periods. As of June 30, 2020, the amendment was not effective.</w:t>
      </w:r>
    </w:p>
    <w:p>
      <w:pPr>
        <w:spacing w:after="0" w:line="119" w:lineRule="exact"/>
        <w:rPr>
          <w:rFonts w:ascii="Arial" w:cs="Arial" w:eastAsia="Arial" w:hAnsi="Arial"/>
          <w:sz w:val="16"/>
          <w:szCs w:val="16"/>
          <w:b w:val="1"/>
          <w:bCs w:val="1"/>
          <w:i w:val="1"/>
          <w:iCs w:val="1"/>
          <w:color w:val="auto"/>
        </w:rPr>
      </w:pPr>
    </w:p>
    <w:p>
      <w:pPr>
        <w:jc w:val="both"/>
        <w:ind w:left="1300"/>
        <w:spacing w:after="0" w:line="254"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extent of the ongoing and future effects of the COVID-19 public health emergency on our business and the casino resort industry generally is uncertain, but we expect that it will continue to have a significant impact on our business, results of operations and financial condition. The extent and duration of the impact of COVID-19 will ultimately depend on future developments, including but not limited to, the duration and severity of the outbreak, varying levels of restrictions on operations imposed by governmental authorities, the potential for authorities reimposing stay at home orders or additional restrictions in response to continued developments with the COVID-19 public health emergency, our ability to adapt to evolving operating procedures, the impact on consumer demand and discretionary spending, the length of time it takes for demand to return and our ability to adjust our cost structures for the duration of the outbreak’s impact on our operations.</w:t>
      </w:r>
    </w:p>
    <w:p>
      <w:pPr>
        <w:spacing w:after="0" w:line="137" w:lineRule="exact"/>
        <w:rPr>
          <w:rFonts w:ascii="Arial" w:cs="Arial" w:eastAsia="Arial" w:hAnsi="Arial"/>
          <w:sz w:val="16"/>
          <w:szCs w:val="16"/>
          <w:b w:val="1"/>
          <w:bCs w:val="1"/>
          <w:i w:val="1"/>
          <w:iCs w:val="1"/>
          <w:color w:val="auto"/>
        </w:rPr>
      </w:pPr>
    </w:p>
    <w:p>
      <w:pPr>
        <w:jc w:val="both"/>
        <w:ind w:left="1300" w:hanging="644"/>
        <w:spacing w:after="0" w:line="301" w:lineRule="auto"/>
        <w:tabs>
          <w:tab w:leader="none" w:pos="129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Caesars Acquisition </w:t>
      </w:r>
      <w:r>
        <w:rPr>
          <w:rFonts w:ascii="Arial" w:cs="Arial" w:eastAsia="Arial" w:hAnsi="Arial"/>
          <w:sz w:val="16"/>
          <w:szCs w:val="16"/>
          <w:color w:val="auto"/>
        </w:rPr>
        <w:t>– The Merger closed on July 20, 2020. Transaction costs related to our acquisition of Caesars totaled $12.7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$22.0 million for the three and six months ended June 30, 2020, respectively, and $4.5 million for the three and six months ended June 30, 2019. Pursuant to the MTA with VICI, we are required to reimburse VICI for 50% of any prepayment penalties in connection with VICI’s payoff related to its CPLV loan, regardless of whether the Merger closing occurs. As of June 30, 2020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left="1300"/>
        <w:spacing w:after="0" w:line="277" w:lineRule="auto"/>
        <w:rPr>
          <w:sz w:val="20"/>
          <w:szCs w:val="20"/>
          <w:color w:val="auto"/>
        </w:rPr>
      </w:pPr>
      <w:r>
        <w:rPr>
          <w:rFonts w:ascii="Arial" w:cs="Arial" w:eastAsia="Arial" w:hAnsi="Arial"/>
          <w:sz w:val="18"/>
          <w:szCs w:val="18"/>
          <w:color w:val="auto"/>
        </w:rPr>
        <w:t>December 31, 2019, our proportionate share of VICI’s prepayment penalty paid in 2019 was accrued and totaled approximately $55.4 million.</w:t>
      </w:r>
    </w:p>
    <w:p>
      <w:pPr>
        <w:spacing w:after="0" w:line="116" w:lineRule="exact"/>
        <w:rPr>
          <w:sz w:val="20"/>
          <w:szCs w:val="20"/>
          <w:color w:val="auto"/>
        </w:rPr>
      </w:pPr>
    </w:p>
    <w:p>
      <w:pPr>
        <w:jc w:val="both"/>
        <w:ind w:left="1300" w:hanging="644"/>
        <w:spacing w:after="0" w:line="259" w:lineRule="auto"/>
        <w:tabs>
          <w:tab w:leader="none" w:pos="129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Presque and Nemacolin Divestitures - </w:t>
      </w:r>
      <w:r>
        <w:rPr>
          <w:rFonts w:ascii="Arial" w:cs="Arial" w:eastAsia="Arial" w:hAnsi="Arial"/>
          <w:sz w:val="18"/>
          <w:szCs w:val="18"/>
          <w:color w:val="auto"/>
        </w:rPr>
        <w:t>The sales of Presque and Nemacolin did not meet the requirements for presentation as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are included in income from continuing operations for the periods prior to their respective closing dates for the six months ended June 30, 2019. We closed the sales of Presque and Nemacolin on January 11, 2019 and March 8, 2019, respectively, and recorded a net gain of $22.2 million.</w:t>
      </w:r>
    </w:p>
    <w:p>
      <w:pPr>
        <w:spacing w:after="0" w:line="132" w:lineRule="exact"/>
        <w:rPr>
          <w:rFonts w:ascii="Arial" w:cs="Arial" w:eastAsia="Arial" w:hAnsi="Arial"/>
          <w:sz w:val="18"/>
          <w:szCs w:val="18"/>
          <w:i w:val="1"/>
          <w:iCs w:val="1"/>
          <w:color w:val="auto"/>
        </w:rPr>
      </w:pPr>
    </w:p>
    <w:p>
      <w:pPr>
        <w:jc w:val="both"/>
        <w:ind w:left="1300" w:hanging="644"/>
        <w:spacing w:after="0" w:line="259" w:lineRule="auto"/>
        <w:tabs>
          <w:tab w:leader="none" w:pos="129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Mountaineer, Cape Girardeau and Caruthersville Divestitures </w:t>
      </w:r>
      <w:r>
        <w:rPr>
          <w:rFonts w:ascii="Arial" w:cs="Arial" w:eastAsia="Arial" w:hAnsi="Arial"/>
          <w:sz w:val="18"/>
          <w:szCs w:val="18"/>
          <w:color w:val="auto"/>
        </w:rPr>
        <w:t>– The sales of Mountaineer, Cape Girardeau and Caruthersville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meet the requirements for presentation as discontinued operations and are included in income from continuing operations for the periods prior to their closing date for the three and six months ended June 30, 2019. We closed the sales of these properties on December 6, 2019 and recorded a net gain of $28.6 million during the fourth quarter of 2019.</w:t>
      </w:r>
    </w:p>
    <w:p>
      <w:pPr>
        <w:spacing w:after="0" w:line="132" w:lineRule="exact"/>
        <w:rPr>
          <w:rFonts w:ascii="Arial" w:cs="Arial" w:eastAsia="Arial" w:hAnsi="Arial"/>
          <w:sz w:val="18"/>
          <w:szCs w:val="18"/>
          <w:i w:val="1"/>
          <w:iCs w:val="1"/>
          <w:color w:val="auto"/>
        </w:rPr>
      </w:pPr>
    </w:p>
    <w:p>
      <w:pPr>
        <w:jc w:val="both"/>
        <w:ind w:left="1300" w:hanging="644"/>
        <w:spacing w:after="0" w:line="279" w:lineRule="auto"/>
        <w:tabs>
          <w:tab w:leader="none" w:pos="129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Eldorado Shreveport and MontBleu Divestitures - </w:t>
      </w:r>
      <w:r>
        <w:rPr>
          <w:rFonts w:ascii="Arial" w:cs="Arial" w:eastAsia="Arial" w:hAnsi="Arial"/>
          <w:sz w:val="17"/>
          <w:szCs w:val="17"/>
          <w:color w:val="auto"/>
        </w:rPr>
        <w:t>The sales of Eldorado Shreveport and MontBleu did not meet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as discontinued operations and are included in income from continuing operations. In conjunction with the classification of MontBleu’s operations as assets held for sale as a result of the announced sale, an impairment charge totaling $45.6 million was recorded during the six months ended June 30, 2020 due to the carrying value exceeding the estimated net sales proceeds.</w:t>
      </w:r>
    </w:p>
    <w:p>
      <w:pPr>
        <w:spacing w:after="0" w:line="117" w:lineRule="exact"/>
        <w:rPr>
          <w:rFonts w:ascii="Arial" w:cs="Arial" w:eastAsia="Arial" w:hAnsi="Arial"/>
          <w:sz w:val="17"/>
          <w:szCs w:val="17"/>
          <w:i w:val="1"/>
          <w:iCs w:val="1"/>
          <w:color w:val="auto"/>
        </w:rPr>
      </w:pPr>
    </w:p>
    <w:p>
      <w:pPr>
        <w:jc w:val="both"/>
        <w:ind w:left="1300" w:hanging="644"/>
        <w:spacing w:after="0" w:line="263" w:lineRule="auto"/>
        <w:tabs>
          <w:tab w:leader="none" w:pos="129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As a result of declines in recent performance and the expected impact on future cash flows as a result of COVID-19, we recognized impairment charges related to goodwill and trade names totaling $99.5 million and $15.6 million, respectively, during the six months ended June 30, 2020.</w:t>
      </w:r>
    </w:p>
    <w:p>
      <w:pPr>
        <w:spacing w:after="0" w:line="129" w:lineRule="exact"/>
        <w:rPr>
          <w:rFonts w:ascii="Arial" w:cs="Arial" w:eastAsia="Arial" w:hAnsi="Arial"/>
          <w:sz w:val="18"/>
          <w:szCs w:val="18"/>
          <w:i w:val="1"/>
          <w:iCs w:val="1"/>
          <w:color w:val="auto"/>
        </w:rPr>
      </w:pPr>
    </w:p>
    <w:p>
      <w:pPr>
        <w:jc w:val="both"/>
        <w:ind w:left="1300" w:hanging="644"/>
        <w:spacing w:after="0" w:line="259"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Weather and Construction Disruption </w:t>
      </w:r>
      <w:r>
        <w:rPr>
          <w:rFonts w:ascii="Arial" w:cs="Arial" w:eastAsia="Arial" w:hAnsi="Arial"/>
          <w:sz w:val="18"/>
          <w:szCs w:val="18"/>
          <w:color w:val="auto"/>
        </w:rPr>
        <w:t>- All of our segments were negatively impacted by severe weather, including flooding,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2019 compared to the same current year period. Additionally, our West segment was negatively impacted by disruption to our casino floor and hotel availability associated with renovation projects at our Black Hawk properties during the construction period from January to June 2019.</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divestitures of Presque, Nemacolin and Mountaineer, Cape Girardeau and Caruthersville in January, March and December 2019, respectively, are collectively referred to as the “Divestitures.”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Six Months Ended</w:t>
            </w:r>
          </w:p>
        </w:tc>
        <w:tc>
          <w:tcPr>
            <w:tcW w:w="1360" w:type="dxa"/>
            <w:vAlign w:val="bottom"/>
          </w:tcPr>
          <w:p>
            <w:pPr>
              <w:spacing w:after="0"/>
              <w:rPr>
                <w:sz w:val="17"/>
                <w:szCs w:val="17"/>
                <w:color w:val="auto"/>
              </w:rPr>
            </w:pPr>
          </w:p>
        </w:tc>
      </w:tr>
      <w:tr>
        <w:trPr>
          <w:trHeight w:val="210"/>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555"/>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center"/>
              <w:ind w:left="595"/>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60" w:type="dxa"/>
            <w:vAlign w:val="bottom"/>
          </w:tcPr>
          <w:p>
            <w:pPr>
              <w:jc w:val="right"/>
              <w:ind w:right="332"/>
              <w:spacing w:after="0"/>
              <w:rPr>
                <w:sz w:val="20"/>
                <w:szCs w:val="20"/>
                <w:color w:val="auto"/>
              </w:rPr>
            </w:pPr>
            <w:r>
              <w:rPr>
                <w:rFonts w:ascii="Arial" w:cs="Arial" w:eastAsia="Arial" w:hAnsi="Arial"/>
                <w:sz w:val="16"/>
                <w:szCs w:val="16"/>
                <w:b w:val="1"/>
                <w:bCs w:val="1"/>
                <w:color w:val="auto"/>
              </w:rPr>
              <w:t>Change</w:t>
            </w:r>
          </w:p>
        </w:tc>
      </w:tr>
      <w:tr>
        <w:trPr>
          <w:trHeight w:val="33"/>
        </w:trPr>
        <w:tc>
          <w:tcPr>
            <w:tcW w:w="28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126,470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637,121</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599,539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w w:val="99"/>
              </w:rPr>
              <w:t>1,272,944</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(78,327)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102,550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(201,507)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226,154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7"/>
        </w:trPr>
        <w:tc>
          <w:tcPr>
            <w:tcW w:w="2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(99,996)</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18,936</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(275,634)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57,165</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r>
      <w:tr>
        <w:trPr>
          <w:trHeight w:val="27"/>
        </w:trPr>
        <w:tc>
          <w:tcPr>
            <w:tcW w:w="28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Net revenues declined $510.7 million and $673.4 million, or 80.1% and 52.9%,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 compared to the same prior year periods. Excluding the impact of the Divestitures, net revenues decreased $455.0 million and $555.1 million, or 78.2% and 48.1%, for the three and six months ended June 30, 2020, respectively, compared to the same prior year periods. The decline in net revenues was primarily due to the negative impact of COVID-19 and the resulting closure of our properties in mid-March 2020, which began reopening mid-May 2020 based on state orders and restrictions.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(loss) income declined $180.9 million and $427.7 million, or 176.4% and 189.1%, for the three and six months ended June 30, 2020, respectively, compared to the same prior year periods. Excluding the impact of the Divestitures, operating (loss) income decreased $170.6 million and $408.2 million, or 184.9% and 197.5%, for the three and six months ended June 30, 2020, respectively. The changes in operating (loss) income were mainly due to the negative impact of COVID-19 on net revenues in addition to transaction costs associated with the acquisition of Caesars and impairment charges totaling $160.8 million recorded during the six months ended June 30,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jc w:val="both"/>
        <w:ind w:firstLine="648"/>
        <w:spacing w:after="0" w:line="255" w:lineRule="auto"/>
        <w:rPr>
          <w:sz w:val="20"/>
          <w:szCs w:val="20"/>
          <w:color w:val="auto"/>
        </w:rPr>
      </w:pPr>
      <w:r>
        <w:rPr>
          <w:rFonts w:ascii="Arial" w:cs="Arial" w:eastAsia="Arial" w:hAnsi="Arial"/>
          <w:sz w:val="18"/>
          <w:szCs w:val="18"/>
          <w:color w:val="auto"/>
        </w:rPr>
        <w:t>Net (loss) income decreased $118.9 million and $332.8 million, or 628.1% and 582.2%, for the three and six months ended June 30, 2020, respectively, compared to the same prior year periods. Excluding the impact of the Divestitures, net (loss) income decreased $111.1 million and $317.7 million or 1001.5% and 755.5% for the three and six months ended June 30, 2020, respectively. The changes to net (loss) income, including Divestitures, were principally due to the same factors impacting operating (loss) income, offset by the benefit for income taxes totaling $33.7 million for the three months ended June 30, 2020 as compared to a provision of $10.4 million for the comparative period and a benefit of $70.8 million for six months ended June 30, 2020 as compared to a provision of $20.8 million for the comparative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Net (Loss) Income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highlight our net revenues and net (loss) income by reportable segment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9"/>
              </w:rPr>
              <w:t>Net Revenues for the</w:t>
            </w:r>
          </w:p>
        </w:tc>
        <w:tc>
          <w:tcPr>
            <w:tcW w:w="280" w:type="dxa"/>
            <w:vAlign w:val="bottom"/>
          </w:tcPr>
          <w:p>
            <w:pPr>
              <w:spacing w:after="0"/>
              <w:rPr>
                <w:sz w:val="17"/>
                <w:szCs w:val="17"/>
                <w:color w:val="auto"/>
              </w:rPr>
            </w:pPr>
          </w:p>
        </w:tc>
        <w:tc>
          <w:tcPr>
            <w:tcW w:w="2700" w:type="dxa"/>
            <w:vAlign w:val="bottom"/>
            <w:gridSpan w:val="4"/>
          </w:tcPr>
          <w:p>
            <w:pPr>
              <w:jc w:val="center"/>
              <w:ind w:right="211"/>
              <w:spacing w:after="0"/>
              <w:rPr>
                <w:sz w:val="20"/>
                <w:szCs w:val="20"/>
                <w:color w:val="auto"/>
              </w:rPr>
            </w:pPr>
            <w:r>
              <w:rPr>
                <w:rFonts w:ascii="Arial" w:cs="Arial" w:eastAsia="Arial" w:hAnsi="Arial"/>
                <w:sz w:val="16"/>
                <w:szCs w:val="16"/>
                <w:b w:val="1"/>
                <w:bCs w:val="1"/>
                <w:color w:val="auto"/>
                <w:w w:val="91"/>
              </w:rPr>
              <w:t>Net (Loss) Income for the</w:t>
            </w: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Three Months Ended June 30,</w:t>
            </w:r>
          </w:p>
        </w:tc>
        <w:tc>
          <w:tcPr>
            <w:tcW w:w="280" w:type="dxa"/>
            <w:vAlign w:val="bottom"/>
          </w:tcPr>
          <w:p>
            <w:pPr>
              <w:spacing w:after="0"/>
              <w:rPr>
                <w:sz w:val="18"/>
                <w:szCs w:val="18"/>
                <w:color w:val="auto"/>
              </w:rPr>
            </w:pPr>
          </w:p>
        </w:tc>
        <w:tc>
          <w:tcPr>
            <w:tcW w:w="270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1"/>
              </w:rPr>
              <w:t>Three Months Ended June 30,</w:t>
            </w:r>
          </w:p>
        </w:tc>
      </w:tr>
      <w:tr>
        <w:trPr>
          <w:trHeight w:val="3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11,348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22,787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11"/>
              <w:spacing w:after="0"/>
              <w:rPr>
                <w:sz w:val="20"/>
                <w:szCs w:val="20"/>
                <w:color w:val="auto"/>
              </w:rPr>
            </w:pPr>
            <w:r>
              <w:rPr>
                <w:rFonts w:ascii="Arial" w:cs="Arial" w:eastAsia="Arial" w:hAnsi="Arial"/>
                <w:sz w:val="18"/>
                <w:szCs w:val="18"/>
                <w:color w:val="auto"/>
                <w:w w:val="87"/>
              </w:rPr>
              <w:t>21,435</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12,747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East</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21,226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170,455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11"/>
              <w:spacing w:after="0"/>
              <w:rPr>
                <w:sz w:val="20"/>
                <w:szCs w:val="20"/>
                <w:color w:val="auto"/>
              </w:rPr>
            </w:pPr>
            <w:r>
              <w:rPr>
                <w:rFonts w:ascii="Arial" w:cs="Arial" w:eastAsia="Arial" w:hAnsi="Arial"/>
                <w:sz w:val="18"/>
                <w:szCs w:val="18"/>
                <w:color w:val="auto"/>
                <w:w w:val="87"/>
              </w:rPr>
              <w:t>15,981</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Central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13,070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191"/>
              <w:spacing w:after="0"/>
              <w:rPr>
                <w:sz w:val="20"/>
                <w:szCs w:val="20"/>
                <w:color w:val="auto"/>
              </w:rPr>
            </w:pPr>
            <w:r>
              <w:rPr>
                <w:rFonts w:ascii="Arial" w:cs="Arial" w:eastAsia="Arial" w:hAnsi="Arial"/>
                <w:sz w:val="18"/>
                <w:szCs w:val="18"/>
                <w:color w:val="auto"/>
                <w:w w:val="92"/>
              </w:rPr>
              <w:t>(55,645)</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126,470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637,121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18,936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r>
      <w:tr>
        <w:trPr>
          <w:trHeight w:val="379"/>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9"/>
              </w:rPr>
              <w:t>Net Revenues for the</w:t>
            </w:r>
          </w:p>
        </w:tc>
        <w:tc>
          <w:tcPr>
            <w:tcW w:w="280" w:type="dxa"/>
            <w:vAlign w:val="bottom"/>
          </w:tcPr>
          <w:p>
            <w:pPr>
              <w:spacing w:after="0"/>
              <w:rPr>
                <w:sz w:val="24"/>
                <w:szCs w:val="24"/>
                <w:color w:val="auto"/>
              </w:rPr>
            </w:pPr>
          </w:p>
        </w:tc>
        <w:tc>
          <w:tcPr>
            <w:tcW w:w="2700" w:type="dxa"/>
            <w:vAlign w:val="bottom"/>
            <w:gridSpan w:val="4"/>
          </w:tcPr>
          <w:p>
            <w:pPr>
              <w:jc w:val="center"/>
              <w:ind w:right="211"/>
              <w:spacing w:after="0"/>
              <w:rPr>
                <w:sz w:val="20"/>
                <w:szCs w:val="20"/>
                <w:color w:val="auto"/>
              </w:rPr>
            </w:pPr>
            <w:r>
              <w:rPr>
                <w:rFonts w:ascii="Arial" w:cs="Arial" w:eastAsia="Arial" w:hAnsi="Arial"/>
                <w:sz w:val="16"/>
                <w:szCs w:val="16"/>
                <w:b w:val="1"/>
                <w:bCs w:val="1"/>
                <w:color w:val="auto"/>
                <w:w w:val="91"/>
              </w:rPr>
              <w:t>Net (Loss) Income for the</w:t>
            </w: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Six Months Ended June 30,</w:t>
            </w:r>
          </w:p>
        </w:tc>
        <w:tc>
          <w:tcPr>
            <w:tcW w:w="280" w:type="dxa"/>
            <w:vAlign w:val="bottom"/>
          </w:tcPr>
          <w:p>
            <w:pPr>
              <w:spacing w:after="0"/>
              <w:rPr>
                <w:sz w:val="18"/>
                <w:szCs w:val="18"/>
                <w:color w:val="auto"/>
              </w:rPr>
            </w:pPr>
          </w:p>
        </w:tc>
        <w:tc>
          <w:tcPr>
            <w:tcW w:w="270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135,427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15,665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83,580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194,026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11"/>
              <w:spacing w:after="0"/>
              <w:rPr>
                <w:sz w:val="20"/>
                <w:szCs w:val="20"/>
                <w:color w:val="auto"/>
              </w:rPr>
            </w:pPr>
            <w:r>
              <w:rPr>
                <w:rFonts w:ascii="Arial" w:cs="Arial" w:eastAsia="Arial" w:hAnsi="Arial"/>
                <w:sz w:val="18"/>
                <w:szCs w:val="18"/>
                <w:color w:val="auto"/>
                <w:w w:val="87"/>
              </w:rPr>
              <w:t>43,590</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127,812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32,956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East</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129,282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336,688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11"/>
              <w:spacing w:after="0"/>
              <w:rPr>
                <w:sz w:val="20"/>
                <w:szCs w:val="20"/>
                <w:color w:val="auto"/>
              </w:rPr>
            </w:pPr>
            <w:r>
              <w:rPr>
                <w:rFonts w:ascii="Arial" w:cs="Arial" w:eastAsia="Arial" w:hAnsi="Arial"/>
                <w:sz w:val="18"/>
                <w:szCs w:val="18"/>
                <w:color w:val="auto"/>
                <w:w w:val="87"/>
              </w:rPr>
              <w:t>27,149</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Central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119,553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25,948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(83,099)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191"/>
              <w:spacing w:after="0"/>
              <w:rPr>
                <w:sz w:val="20"/>
                <w:szCs w:val="20"/>
                <w:color w:val="auto"/>
              </w:rPr>
            </w:pPr>
            <w:r>
              <w:rPr>
                <w:rFonts w:ascii="Arial" w:cs="Arial" w:eastAsia="Arial" w:hAnsi="Arial"/>
                <w:sz w:val="18"/>
                <w:szCs w:val="18"/>
                <w:color w:val="auto"/>
                <w:w w:val="92"/>
              </w:rPr>
              <w:t>(88,143)</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599,539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1,272,944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(275,634)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211"/>
              <w:spacing w:after="0"/>
              <w:rPr>
                <w:sz w:val="20"/>
                <w:szCs w:val="20"/>
                <w:color w:val="auto"/>
              </w:rPr>
            </w:pPr>
            <w:r>
              <w:rPr>
                <w:rFonts w:ascii="Arial" w:cs="Arial" w:eastAsia="Arial" w:hAnsi="Arial"/>
                <w:sz w:val="18"/>
                <w:szCs w:val="18"/>
                <w:color w:val="auto"/>
                <w:w w:val="87"/>
              </w:rPr>
              <w:t>57,165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Three Months Ended June 30, 2020 Compared to the Three Months Ended June 30,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Variance</w:t>
            </w: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Gaming and Pari-Mutuel Commissions: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Midwest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21,119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85,223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(64,104)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South</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East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124,052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(104,275)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Central</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(79,519)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Arial" w:cs="Arial" w:eastAsia="Arial" w:hAnsi="Arial"/>
                <w:sz w:val="18"/>
                <w:szCs w:val="18"/>
                <w:color w:val="auto"/>
              </w:rPr>
              <w:t>Total Gaming and Pari-Mutuel Commissions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101,479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457,162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(355,683)</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Non-gaming:</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West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72,234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(57,573)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South</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Central</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Arial" w:cs="Arial" w:eastAsia="Arial" w:hAnsi="Arial"/>
                <w:sz w:val="18"/>
                <w:szCs w:val="18"/>
                <w:color w:val="auto"/>
              </w:rPr>
              <w:t>Total Non-gaming</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24,991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179,959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(154,968)</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637,121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(510,651)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and Pari-Mutuel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West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(15,548)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Midwest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South</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13,319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45,377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(32,058)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Central</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(40,241)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Gaming and Pari-Mutuel Commissions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203,240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(159,886)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Non-gaming</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Midwest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South</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East</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(21,327)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Central</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5560" w:type="dxa"/>
            <w:vAlign w:val="bottom"/>
          </w:tcPr>
          <w:p>
            <w:pPr>
              <w:ind w:left="340"/>
              <w:spacing w:after="0"/>
              <w:rPr>
                <w:sz w:val="20"/>
                <w:szCs w:val="20"/>
                <w:color w:val="auto"/>
              </w:rPr>
            </w:pPr>
            <w:r>
              <w:rPr>
                <w:rFonts w:ascii="Arial" w:cs="Arial" w:eastAsia="Arial" w:hAnsi="Arial"/>
                <w:sz w:val="18"/>
                <w:szCs w:val="18"/>
                <w:color w:val="auto"/>
              </w:rPr>
              <w:t>Total Non-gaming</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15,275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95,356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(80,081)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Marketing and promotions</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(26,975)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(52,569)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21,051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6"/>
        </w:trPr>
        <w:tc>
          <w:tcPr>
            <w:tcW w:w="55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190,585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525,691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(335,106)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57" w:right="379" w:bottom="1440" w:gutter="0" w:footer="0" w:header="0"/>
        </w:sect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three months ended June 30, 2020 compared to the same prior year period, gaming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pari-mutuel commissions declined 77.8%. Excluding the impact of the Divestitures, gaming revenues and pari-mutuel commissions decreased 75.2% for the three months ended June 30, 2020 compared to the same prior year period mainly due to reductions in casino volume and pari-mutuel commissions associated with the impact of COVID-19 and the related closures of our properties and race tracks in mid-March 2020 until reopening of properties starting mid-May 2020.</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Non-gaming Revenues</w:t>
      </w:r>
      <w:r>
        <w:rPr>
          <w:rFonts w:ascii="Arial" w:cs="Arial" w:eastAsia="Arial" w:hAnsi="Arial"/>
          <w:sz w:val="16"/>
          <w:szCs w:val="16"/>
          <w:color w:val="auto"/>
        </w:rPr>
        <w:t>. Non-gaming revenues decreased 86.1% for the three months ended June 30, 2020 compared to the same prior year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impact of the Divestitures, non-gaming revenues declined 85.5% for the three months ended June 30, 2020 compared to the same prior year period mainly due to the impact of COVID-19 and the related closures of our properties, including hotels, restaurants and entertainment venues in mid-March 2020 until reopening of hotels and restaurants starting mid-May 2020 based on government reopening guidelines.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Gaming expenses and pari-mutuel commissions declined 78.7%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compared to the same prior year period. Excluding the impact of the Divestitures, gaming expenses and pari-mutuel commissions decreased 75.4% for the three months ended June 30, 2020 compared to the same prior year period in conjunction with the previously discussed decrease in gaming revenues and pari-mutuel commissions.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Non-gaming expenses declined 84.0% for the three months ended June 30, 2020 compared to the same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impact of the Divestitures, non-gaming expenses decreased 83.2% for the three months ended June 30, 2020 compared to the same prior year period in conjunction with the previously discussed decrease in non-gaming revenues.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Marketing and promotions expenses declined 84.1% for the three months ended June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prior year period. Excluding the impact of the Divestitures, marketing and promotions expense decreased 83.2% for the three months ended June 30, 2020 compared to the same prior year period. This decline was primarily due to the reduction or elimination of marketing and promotions expenses during the closure of our properties from mid-March 2020 through mid-May 2020.</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declined 44.8% for the three months ended June 30,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prior year period. Excluding the impact of the Divestitures, general and administrative expenses decreased 40.4% for the three months ended June 30, 2020 compared to the same prior year period mainly due to the reduction of general and administrative expenses, including utilities and payroll expenses, following the closure of our properties in mid-March 2020 until reopening started in mid-May 2020.</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For the three months ended June 30, 2020 compared to the same prior year period, corporate expenses decreased 38.0%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reductions in salaries and wages due to the COVID-19 impact and a decrease in stock compensation expense for the three months ended June 30, 2020 compared to the same prior year period.</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For the three months ended June 30, 2020 compared to the same prior year period,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declined 13.4% mainly due to ceasing depreciation and amortization expense on assets held for sale. Excluding the impact of the Divestitures, depreciation and amortization expense decreased 7.6% for the three months ended June 30, 2020 compared to the same prior year period mainly due to many assets becoming fully depreciated in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Six Months Ended June 30, 2020 Compared to the Six Months Ended June 30,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42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8"/>
                <w:szCs w:val="18"/>
                <w:color w:val="auto"/>
              </w:rPr>
            </w:pP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Gaming and Pari-Mutuel Commissions: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West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60,253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108,899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(48,646)</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Midwest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74,432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170,392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(95,960)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South</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106,955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204,221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(97,266)</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East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99,708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249,003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(149,295)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Central</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99,880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195,333</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(95,453)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7"/>
        </w:trPr>
        <w:tc>
          <w:tcPr>
            <w:tcW w:w="5620" w:type="dxa"/>
            <w:vAlign w:val="bottom"/>
          </w:tcPr>
          <w:p>
            <w:pPr>
              <w:ind w:left="340"/>
              <w:spacing w:after="0"/>
              <w:rPr>
                <w:sz w:val="20"/>
                <w:szCs w:val="20"/>
                <w:color w:val="auto"/>
              </w:rPr>
            </w:pPr>
            <w:r>
              <w:rPr>
                <w:rFonts w:ascii="Arial" w:cs="Arial" w:eastAsia="Arial" w:hAnsi="Arial"/>
                <w:sz w:val="18"/>
                <w:szCs w:val="18"/>
                <w:color w:val="auto"/>
              </w:rPr>
              <w:t>Total Gaming and Pari-Mutuel Commissions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441,228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927,848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(486,620)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Non-gaming:</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West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75,174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136,923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(61,749)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Midwest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9,148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South</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20,857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(24,573)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East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29,574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87,685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(58,111)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Central</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47,931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(28,258)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Total Non-gaming</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158,311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345,096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(186,785)</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599,539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1,272,944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(673,405)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Gaming and Pari-Mutuel Commissions: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West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41,910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Midwest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31,261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68,656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(37,395)</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South</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55,066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95,318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(40,252)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East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49,875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120,343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(70,468)</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Central</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(46,734)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300" w:type="dxa"/>
            <w:vAlign w:val="bottom"/>
            <w:tcBorders>
              <w:top w:val="single" w:sz="8" w:color="auto"/>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202,510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CFF0FC"/>
            </w:tcBorders>
            <w:shd w:val="clear" w:color="auto" w:fill="CFF0FC"/>
          </w:tcPr>
          <w:p>
            <w:pPr>
              <w:spacing w:after="0"/>
              <w:rPr>
                <w:sz w:val="22"/>
                <w:szCs w:val="22"/>
                <w:color w:val="auto"/>
              </w:rPr>
            </w:pPr>
          </w:p>
        </w:tc>
        <w:tc>
          <w:tcPr>
            <w:tcW w:w="980" w:type="dxa"/>
            <w:vAlign w:val="bottom"/>
            <w:tcBorders>
              <w:top w:val="single" w:sz="8" w:color="auto"/>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413,546</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CFF0FC"/>
            </w:tcBorders>
            <w:shd w:val="clear" w:color="auto" w:fill="CFF0FC"/>
          </w:tcPr>
          <w:p>
            <w:pPr>
              <w:spacing w:after="0"/>
              <w:rPr>
                <w:sz w:val="22"/>
                <w:szCs w:val="22"/>
                <w:color w:val="auto"/>
              </w:rPr>
            </w:pPr>
          </w:p>
        </w:tc>
        <w:tc>
          <w:tcPr>
            <w:tcW w:w="108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(211,036)</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Non-gaming</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West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44,162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77,796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(33,634)</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Midwest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South</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15,249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28,100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East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20,919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46,358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(25,439)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Central</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13,794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25,558</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Total Non-gaming</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99,979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190,640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(90,661)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Marketing and promotions</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64,381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(34,323)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156,537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237,319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(80,782)</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160,758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159,800</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16,680.6 %</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99,372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114,290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(14,918)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FF0FC"/>
            </w:tcBorders>
            <w:shd w:val="clear" w:color="auto" w:fill="CFF0FC"/>
          </w:tcPr>
          <w:p>
            <w:pPr>
              <w:jc w:val="right"/>
              <w:ind w:right="71"/>
              <w:spacing w:after="0"/>
              <w:rPr>
                <w:sz w:val="20"/>
                <w:szCs w:val="20"/>
                <w:color w:val="auto"/>
              </w:rPr>
            </w:pPr>
            <w:r>
              <w:rPr>
                <w:rFonts w:ascii="Arial" w:cs="Arial" w:eastAsia="Arial" w:hAnsi="Arial"/>
                <w:sz w:val="18"/>
                <w:szCs w:val="18"/>
                <w:color w:val="auto"/>
              </w:rPr>
              <w:t>778,746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1,058,939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(280,193)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2" w:name="page43"/>
    <w:bookmarkEnd w:id="42"/>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For the six months ended June 30, 2020 compared to the same prior year period, gaming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pari-mutuel commissions declined 52.4%. Excluding the impact of the Divestitures, gaming revenues and pari-mutuel commissions decreased 46.5% for the six months ended June 30, 2020 compared to the same prior year period mainly due to reductions in casino volume and pari-mutuel commissions associated with the impact of COVID-19 and the related closures of our properties and race tracks in mid-March 2020 until reopening of properties starting mid-May 2020.</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Non-gaming Revenues</w:t>
      </w:r>
      <w:r>
        <w:rPr>
          <w:rFonts w:ascii="Arial" w:cs="Arial" w:eastAsia="Arial" w:hAnsi="Arial"/>
          <w:sz w:val="16"/>
          <w:szCs w:val="16"/>
          <w:color w:val="auto"/>
        </w:rPr>
        <w:t>. Non-gaming revenues decreased 54.1% for the six months ended June 30, 2020 compared to the same prior year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impact of the Divestitures, non-gaming revenues declined 52.0% for the six months ended June 30, 2020 compared to the same prior year period mainly due to the impact of COVID-19 and the related closures of our properties, including hotels, restaurants and entertainment venues in mid-March 2020 until reopening of hotels and restaurants starting mid-May 2020 based on government reopening guidelines.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Gaming expenses and pari-mutuel commissions declined 51.0%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compared to the same prior year period. Excluding the impact of the Divestitures, gaming expenses and pari-mutuel commissions decreased 42.9% for the six months ended June 30, 2020 compared to the same prior year period in conjunction with the previously discussed decrease in gaming revenues and pari-mutuel commissions.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Non-gaming expenses declined 47.6% for the six months ended June 30, 2020 compared to the same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impact of the Divestitures, non-gaming expenses decreased 44.9% for the six months ended June 30, 2020 compared to the same prior year period in conjunction with the previously discussed decrease in non-gaming revenues.</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Marketing and Promotions Expenses</w:t>
      </w:r>
      <w:r>
        <w:rPr>
          <w:rFonts w:ascii="Arial" w:cs="Arial" w:eastAsia="Arial" w:hAnsi="Arial"/>
          <w:sz w:val="16"/>
          <w:szCs w:val="16"/>
          <w:color w:val="auto"/>
        </w:rPr>
        <w:t>. Marketing and promotions expenses declined 53.3% for the six months ended June 30,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prior year period. Excluding the impact of the Divestitures, marketing and promotions expense decreased 50.1% for the six months ended June 30, 2020 compared to the same prior year period. This decline was primarily due to savings achieved via the termination of certain marketing contracts, reductions in direct mail costs and continued company-wide changes in marketing and promotional activity. Additionally, to the extent possible, marketing and promotions expenses were reduced or eliminated during the closure of our properties from mid-March 2020 through mid-May 2020.</w:t>
      </w:r>
    </w:p>
    <w:p>
      <w:pPr>
        <w:spacing w:after="0" w:line="10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declined 34.0% for the six months ended June 30,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prior year period. Excluding the impact of the Divestitures, general and administrative expenses decreased 28.5% for the six months ended June 30, 2020 compared to the same prior year period mainly due to the centralization of certain services provided to our properties and realized savings achieved through the continued consolidation of purchasing programs. Additionally, general and administrative expenses, including utilities and payroll expenses, were reduced following the closure of our properties in mid-March 2020 until reopening started in mid-May 2020.</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Corporate Expenses</w:t>
      </w:r>
      <w:r>
        <w:rPr>
          <w:rFonts w:ascii="Arial" w:cs="Arial" w:eastAsia="Arial" w:hAnsi="Arial"/>
          <w:sz w:val="17"/>
          <w:szCs w:val="17"/>
          <w:color w:val="auto"/>
        </w:rPr>
        <w:t>. For the six months ended June 30, 2020 compared to the same prior year period, corporate expenses decreased 21.9%</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reductions in salaries and wages, stock compensation expense, corporate bonus expense, captive insurance expense, certain professional fees and travel costs due to the COVID-19 impact for the six months ended June 30, 2020 compared to the same prior year period.</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For the six months ended June 30, 2020 compared to the same prior year period,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declined 13.1% mainly due to ceasing depreciation and amortization expense on assets held for sale. Excluding the impact of the Divestitures, depreciation and amortization expense decreased 6.7% for the six months ended June 30, 2020 compared to the same prior year period mainly due to many assets becoming fully depreciated in 2019.</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Six Months Ended June 30, 2020 and 2019</w:t>
      </w:r>
    </w:p>
    <w:p>
      <w:pPr>
        <w:spacing w:after="0" w:line="1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(loss) income before interest expense,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equipment, and (gain) loss related to divestitures. Adjusted EBITDA also excludes the expense associated with our GLPI Master Lease as the transaction was accounted for as a financing obligation and the associated expense is included in interest expense.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GLPI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summarizes our Adjusted EBITDA for our operating segments for the three and six months ended June 30, 2020 and 2019, respectively, in addition to reconciling net (loss) income to Adjusted EBITDA in accordance with US GAAP (unaudited,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2020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(99,996)</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32,330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68,136</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(33,661)</w:t>
            </w: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6"/>
                <w:szCs w:val="16"/>
                <w:color w:val="auto"/>
              </w:rPr>
              <w:t>Unrealized gain on investments and</w:t>
            </w:r>
          </w:p>
        </w:tc>
        <w:tc>
          <w:tcPr>
            <w:tcW w:w="24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(12,806)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(12,806)</w:t>
            </w:r>
          </w:p>
        </w:tc>
        <w:tc>
          <w:tcPr>
            <w:tcW w:w="0" w:type="dxa"/>
            <w:vAlign w:val="bottom"/>
          </w:tcPr>
          <w:p>
            <w:pPr>
              <w:spacing w:after="0"/>
              <w:rPr>
                <w:sz w:val="1"/>
                <w:szCs w:val="1"/>
                <w:color w:val="auto"/>
              </w:rPr>
            </w:pPr>
          </w:p>
        </w:tc>
      </w:tr>
      <w:tr>
        <w:trPr>
          <w:trHeight w:val="216"/>
        </w:trPr>
        <w:tc>
          <w:tcPr>
            <w:tcW w:w="294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48,939</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 (1)</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12,697</w:t>
            </w:r>
          </w:p>
        </w:tc>
        <w:tc>
          <w:tcPr>
            <w:tcW w:w="0" w:type="dxa"/>
            <w:vAlign w:val="bottom"/>
          </w:tcPr>
          <w:p>
            <w:pPr>
              <w:spacing w:after="0"/>
              <w:rPr>
                <w:sz w:val="1"/>
                <w:szCs w:val="1"/>
                <w:color w:val="auto"/>
              </w:rPr>
            </w:pPr>
          </w:p>
        </w:tc>
      </w:tr>
      <w:tr>
        <w:trPr>
          <w:trHeight w:val="224"/>
        </w:trPr>
        <w:tc>
          <w:tcPr>
            <w:tcW w:w="2940" w:type="dxa"/>
            <w:vAlign w:val="bottom"/>
          </w:tcPr>
          <w:p>
            <w:pPr>
              <w:ind w:left="20"/>
              <w:spacing w:after="0"/>
              <w:rPr>
                <w:sz w:val="20"/>
                <w:szCs w:val="20"/>
                <w:color w:val="auto"/>
              </w:rPr>
            </w:pPr>
            <w:r>
              <w:rPr>
                <w:rFonts w:ascii="Arial" w:cs="Arial" w:eastAsia="Arial" w:hAnsi="Arial"/>
                <w:sz w:val="16"/>
                <w:szCs w:val="16"/>
                <w:color w:val="auto"/>
              </w:rPr>
              <w:t>Other (2)</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(9,948)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3,593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(10,383)</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2019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Includes Divestitures: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11,348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21,435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12,747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15,981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13,070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(55,645)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18,936</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71,798</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10,418</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loss on investments and</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26"/>
        </w:trPr>
        <w:tc>
          <w:tcPr>
            <w:tcW w:w="29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56,533</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6,509</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Transaction expenses (1)</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5,777</w:t>
            </w:r>
          </w:p>
        </w:tc>
        <w:tc>
          <w:tcPr>
            <w:tcW w:w="0" w:type="dxa"/>
            <w:vAlign w:val="bottom"/>
          </w:tcPr>
          <w:p>
            <w:pPr>
              <w:spacing w:after="0"/>
              <w:rPr>
                <w:sz w:val="1"/>
                <w:szCs w:val="1"/>
                <w:color w:val="auto"/>
              </w:rPr>
            </w:pPr>
          </w:p>
        </w:tc>
      </w:tr>
      <w:tr>
        <w:trPr>
          <w:trHeight w:val="247"/>
        </w:trPr>
        <w:tc>
          <w:tcPr>
            <w:tcW w:w="2960" w:type="dxa"/>
            <w:vAlign w:val="bottom"/>
            <w:gridSpan w:val="2"/>
          </w:tcPr>
          <w:p>
            <w:pPr>
              <w:ind w:left="16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34,305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36,753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29,109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47,418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39,602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(8,526)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178,661</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Divestitures: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7,844</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7"/>
        </w:trPr>
        <w:tc>
          <w:tcPr>
            <w:tcW w:w="29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 Divestitures (4)</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7,932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5,904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13,836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Excluding Divestitures: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11,092</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71,798</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8,021</w:t>
            </w:r>
          </w:p>
        </w:tc>
        <w:tc>
          <w:tcPr>
            <w:tcW w:w="0" w:type="dxa"/>
            <w:vAlign w:val="bottom"/>
          </w:tcPr>
          <w:p>
            <w:pPr>
              <w:spacing w:after="0"/>
              <w:rPr>
                <w:sz w:val="1"/>
                <w:szCs w:val="1"/>
                <w:color w:val="auto"/>
              </w:rPr>
            </w:pPr>
          </w:p>
        </w:tc>
      </w:tr>
      <w:tr>
        <w:trPr>
          <w:trHeight w:val="206"/>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Unrealized loss on investments and</w:t>
            </w:r>
          </w:p>
        </w:tc>
        <w:tc>
          <w:tcPr>
            <w:tcW w:w="22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16"/>
        </w:trPr>
        <w:tc>
          <w:tcPr>
            <w:tcW w:w="2960" w:type="dxa"/>
            <w:vAlign w:val="bottom"/>
            <w:gridSpan w:val="2"/>
          </w:tcPr>
          <w:p>
            <w:pPr>
              <w:ind w:left="26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52,940</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6,505</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 (1)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5,779</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Excluding Divestitures (5)</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34,305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29,109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41,514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39,602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164,825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2020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(275,634)</w:t>
            </w: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8,529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63,053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134,600</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(70,833)</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loss on investments and</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26"/>
        </w:trPr>
        <w:tc>
          <w:tcPr>
            <w:tcW w:w="29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13,906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99,372</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9,971</w:t>
            </w:r>
          </w:p>
        </w:tc>
        <w:tc>
          <w:tcPr>
            <w:tcW w:w="0" w:type="dxa"/>
            <w:vAlign w:val="bottom"/>
          </w:tcPr>
          <w:p>
            <w:pPr>
              <w:spacing w:after="0"/>
              <w:rPr>
                <w:sz w:val="1"/>
                <w:szCs w:val="1"/>
                <w:color w:val="auto"/>
              </w:rPr>
            </w:pPr>
          </w:p>
        </w:tc>
      </w:tr>
      <w:tr>
        <w:trPr>
          <w:trHeight w:val="223"/>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Transaction expenses (1)</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21,991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21,991</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103,387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162,337</w:t>
            </w:r>
          </w:p>
        </w:tc>
        <w:tc>
          <w:tcPr>
            <w:tcW w:w="0" w:type="dxa"/>
            <w:vAlign w:val="bottom"/>
          </w:tcPr>
          <w:p>
            <w:pPr>
              <w:spacing w:after="0"/>
              <w:rPr>
                <w:sz w:val="1"/>
                <w:szCs w:val="1"/>
                <w:color w:val="auto"/>
              </w:rPr>
            </w:pPr>
          </w:p>
        </w:tc>
      </w:tr>
      <w:tr>
        <w:trPr>
          <w:trHeight w:val="247"/>
        </w:trPr>
        <w:tc>
          <w:tcPr>
            <w:tcW w:w="2940" w:type="dxa"/>
            <w:vAlign w:val="bottom"/>
          </w:tcPr>
          <w:p>
            <w:pPr>
              <w:ind w:left="120"/>
              <w:spacing w:after="0"/>
              <w:rPr>
                <w:sz w:val="20"/>
                <w:szCs w:val="20"/>
                <w:color w:val="auto"/>
              </w:rPr>
            </w:pPr>
            <w:r>
              <w:rPr>
                <w:rFonts w:ascii="Arial" w:cs="Arial" w:eastAsia="Arial" w:hAnsi="Arial"/>
                <w:sz w:val="16"/>
                <w:szCs w:val="16"/>
                <w:b w:val="1"/>
                <w:bCs w:val="1"/>
                <w:color w:val="auto"/>
              </w:rPr>
              <w:t>Adjusted EBITDA</w:t>
            </w: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20,359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26,435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15,228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12,337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33,490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(15,685)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92,164</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Six Months Ended June 30, 2019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Midwest</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East</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Central</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Includes Divestitures: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43,590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32,956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27,149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25,948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(88,143)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57,165</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145,308</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20,823</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investments and</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114,290</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11,457</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Transaction expenses (1)</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(15,774)</w:t>
            </w:r>
          </w:p>
        </w:tc>
        <w:tc>
          <w:tcPr>
            <w:tcW w:w="0" w:type="dxa"/>
            <w:vAlign w:val="bottom"/>
          </w:tcPr>
          <w:p>
            <w:pPr>
              <w:spacing w:after="0"/>
              <w:rPr>
                <w:sz w:val="1"/>
                <w:szCs w:val="1"/>
                <w:color w:val="auto"/>
              </w:rPr>
            </w:pPr>
          </w:p>
        </w:tc>
      </w:tr>
      <w:tr>
        <w:trPr>
          <w:trHeight w:val="247"/>
        </w:trPr>
        <w:tc>
          <w:tcPr>
            <w:tcW w:w="2960" w:type="dxa"/>
            <w:vAlign w:val="bottom"/>
          </w:tcPr>
          <w:p>
            <w:pPr>
              <w:ind w:left="16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58,348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73,077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67,780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86,922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77,925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345,313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Divestitures: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15,116</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4,346</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7,810</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Divestitures (6)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16,654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10,737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27,391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Excluding Divestitures: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33,703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32,956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21,920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25,948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(88,143)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42,049</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145,285</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16,477</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investments and</w:t>
            </w: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106,480</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11,439</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Transaction expenses (1)</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(3)</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(15,852)</w:t>
            </w:r>
          </w:p>
        </w:tc>
        <w:tc>
          <w:tcPr>
            <w:tcW w:w="0" w:type="dxa"/>
            <w:vAlign w:val="bottom"/>
          </w:tcPr>
          <w:p>
            <w:pPr>
              <w:spacing w:after="0"/>
              <w:rPr>
                <w:sz w:val="1"/>
                <w:szCs w:val="1"/>
                <w:color w:val="auto"/>
              </w:rPr>
            </w:pPr>
          </w:p>
        </w:tc>
      </w:tr>
      <w:tr>
        <w:trPr>
          <w:trHeight w:val="247"/>
        </w:trPr>
        <w:tc>
          <w:tcPr>
            <w:tcW w:w="2960" w:type="dxa"/>
            <w:vAlign w:val="bottom"/>
          </w:tcPr>
          <w:p>
            <w:pPr>
              <w:ind w:left="120"/>
              <w:spacing w:after="0"/>
              <w:rPr>
                <w:sz w:val="20"/>
                <w:szCs w:val="20"/>
                <w:color w:val="auto"/>
              </w:rPr>
            </w:pPr>
            <w:r>
              <w:rPr>
                <w:rFonts w:ascii="Arial" w:cs="Arial" w:eastAsia="Arial" w:hAnsi="Arial"/>
                <w:sz w:val="16"/>
                <w:szCs w:val="16"/>
                <w:b w:val="1"/>
                <w:bCs w:val="1"/>
                <w:color w:val="auto"/>
              </w:rPr>
              <w:t>Total Excluding Divestitures (5)</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58,348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56,423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67,780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76,185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77,925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317,922</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652"/>
        <w:spacing w:after="0" w:line="308"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Transaction expenses primarily represent costs related to the pending acquisition of Caesars for the three and six months ended June 30, 2020 and 2019, and costs related to the acquisitions of Elgin and Tropicana for the three and six months ended June 30, 2019.</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for the three and six months ended June 30, 2020, is comprised of severance expense, (gain) loss on the sale or disposal of property and equipment, equity in loss of unconsolidated affiliate, and selling costs associated with the divestitures of Kansas City, Vicksburg, Shreveport, and MontBleu. For the six months ended June 30, 2020, other is also comprised of impairment charges.</w:t>
      </w:r>
    </w:p>
    <w:p>
      <w:pPr>
        <w:spacing w:after="0" w:line="129"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for the three and six months ended June 30, 2019, is comprised of severance expense, (gain) loss on the sale or disposal of property and equipment, equity in loss of unconsolidated affiliate, and the gain associated with the sales of Presque and Nemacolin. For the six months ended June 30, 2019, other is also comprised of impairment charges.</w:t>
      </w:r>
    </w:p>
    <w:p>
      <w:pPr>
        <w:spacing w:after="0" w:line="129"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Figures are for Mountaineer, Cape Girardeau and Caruthersville for the three months ended June 30,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jc w:val="both"/>
        <w:ind w:left="660" w:hanging="652"/>
        <w:spacing w:after="0" w:line="272"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figures for the three months ended June 30, 2019 exclude the results of operations for Mountaineer, Cape Girardeau and Caruthersville. Total figures for the six months ended June 30, 2019 exclude the results of operations for Presque for the period beginning January 1, 2019 and ending January 11, 2019, Nemacolin for the period beginning January 1, 2019 and ending March 8, 2019, and Mountaineer, Cape Girardeau and Caruthersville for the six months ended June 30, 2019.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123" w:lineRule="exact"/>
        <w:rPr>
          <w:rFonts w:ascii="Arial" w:cs="Arial" w:eastAsia="Arial" w:hAnsi="Arial"/>
          <w:sz w:val="17"/>
          <w:szCs w:val="17"/>
          <w:color w:val="auto"/>
        </w:rPr>
      </w:pPr>
    </w:p>
    <w:p>
      <w:pPr>
        <w:ind w:left="660" w:hanging="652"/>
        <w:spacing w:after="0" w:line="308"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Figures are for Presque for the period beginning January 1, 2019 and ending January 11, 2019, Nemacolin for the period beginning January 1, 2019 and ending March 8, 2019 and Mountaineer, Cape Girardeau and Caruthersville for the six months ended June 30,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holding company and our only significant assets are ownership interests in our subsidiaries. Our ability to fund our obligations depends on existing cash on hand, contracted asset sales, cash flow from our subsidiaries and our ability to raise capital. Our primary sources of liquidity and capital resources have been existing cash on hand, cash flow from operations, borrowings under our revolving credit facility, proceeds from the issuance of debt and equity securities and proceeds from completed asset sales.</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cash requirements fluctuate significantly depending on our decisions with respect to business acquisitions or divestitures and strategic capital investments to maintain the quality of our properties. Beginning on May 18, 2020, we began reopening our properties and as of June 30, 2020 we have resumed operations at all of our properties, with the exception of Elgin and Trop AC which reopened on July 1 and July 2, 2020, respectively. In an effort to mitigate the impacts of COVID-19 on our business and maintain liquidity, we furloughed approximately 90% of our employees beginning on April 11, 2020. A portion of the workforce has returned to service as the properties have resumed with limited capacities and in compliance with operating restrictions in accordance with governmental orders, directives and guidelines. As a result of these payroll changes combined with other cost saving measures, our operating expenses were reduced significantly.</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expect that our primary capital requirements going forward will relate to the operation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2020 are expected to significantly increase as a result of the additional properties acquired in the Merger. In addition to our future capital expenditures for the normal course of business, we funded $400 million to escrow as of the closing of the Merger and will utilize those funds in accordance with a three year capital expenditure plan in the state of New Jersey. We will also be required to fund a similar escrow account with $25 million for improvements at our racing properties within the state of Indiana. During the remainder of 2020, we plan to spend an estimated </w:t>
      </w:r>
      <w:r>
        <w:rPr>
          <w:rFonts w:ascii="Arial" w:cs="Arial" w:eastAsia="Arial" w:hAnsi="Arial"/>
          <w:sz w:val="17"/>
          <w:szCs w:val="17"/>
          <w:color w:val="212529"/>
        </w:rPr>
        <w:t>$150 million to</w:t>
      </w:r>
      <w:r>
        <w:rPr>
          <w:rFonts w:ascii="Arial" w:cs="Arial" w:eastAsia="Arial" w:hAnsi="Arial"/>
          <w:sz w:val="17"/>
          <w:szCs w:val="17"/>
          <w:color w:val="auto"/>
        </w:rPr>
        <w:t xml:space="preserve"> $175 million on capital expenditures. </w:t>
      </w:r>
      <w:r>
        <w:rPr>
          <w:rFonts w:ascii="Arial" w:cs="Arial" w:eastAsia="Arial" w:hAnsi="Arial"/>
          <w:sz w:val="17"/>
          <w:szCs w:val="17"/>
          <w:color w:val="212529"/>
        </w:rPr>
        <w:t>We expect to use cash on hand and cash generated from operations to meet such obligations.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 to evolve and impact global financial markets, we borrowed $465.0 million under our revolving credit facility on March 16, 2020. We repaid $357.0 million during the second quarter and had $108.0 million outstanding as of June 30, 2020. In addition, we had $372.9 million of available borrowing capacity, after consideration of $19.1 million in outstanding letters of credit, under our Revolving Credit Facility. On July 1, 2020, we utilized proceeds from the sale of our interests in Kansas City and Vicksburg to pay down the remaining $108.0 million on the revolving credit facility.</w:t>
      </w:r>
    </w:p>
    <w:p>
      <w:pPr>
        <w:spacing w:after="0" w:line="13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June 19, 2020, we completed a public offering of 20,700,000 shares (including the shares sold pursuant to the underwriters’ option) of common stock, at a public offering price of $39.00 per share, with proceeds of $772.4 million, net of fees and estimated expenses of $34.9 million.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As of June 30, 2020, our cash on hand and revolving borrowing capacity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ind w:right="435"/>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9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right"/>
              <w:ind w:right="45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950,483</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Revolver capacity</w:t>
            </w:r>
          </w:p>
        </w:tc>
        <w:tc>
          <w:tcPr>
            <w:tcW w:w="32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392,000</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 capacity committed to 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(19,135)</w:t>
            </w:r>
          </w:p>
        </w:tc>
      </w:tr>
      <w:tr>
        <w:trPr>
          <w:trHeight w:val="237"/>
        </w:trPr>
        <w:tc>
          <w:tcPr>
            <w:tcW w:w="926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1,323,348</w:t>
            </w:r>
          </w:p>
        </w:tc>
      </w:tr>
      <w:tr>
        <w:trPr>
          <w:trHeight w:val="27"/>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6, 2020, we issued $3.4 billion of 2025 Secured Notes, $1.8 billion of 2027 Senior Notes and $1.0 billion of CRC Secured Notes in connection with the Merger (collectively, the “Debt Financing”).</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July 20, 2020, in connection with the Merger, we consummated the sale leaseback transactions related to Harrah’s New Orleans, Harrah’s Laughlin and Harrah’s Resort Atlantic City, including the Harrah’s Atlantic City Waterfront Conference Center, for approximately $1.82 billion of net proceeds. Additionally, we received a one-time payment from VICI of approximately $1.38 billion for amendments to VICI Leases. Furthermore, we entered into the ERI Revolving Credit Facility which provides for a five-year senior secured revolving credit facility in an aggregate principal amount of $1.2 billion, including an incremental agreement which is, as discussed below, subject to regulatory approval. In addition, the borrowing capacity and obligations under CRC’s existing $1.0 billion revolving credit facility remain outstanding following the consummation of the Merger.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consummation of the Merger, on July 20, 2020, our current and future liquidity significantly changed. A portion of the proceeds from our newly issued debt and proceeds we received from VICI, as well as cash on hand generated from our sale of common stock, were used</w:t>
      </w:r>
    </w:p>
    <w:p>
      <w:pPr>
        <w:jc w:val="both"/>
        <w:ind w:firstLine="8"/>
        <w:spacing w:after="0" w:line="292" w:lineRule="auto"/>
        <w:tabs>
          <w:tab w:leader="none" w:pos="2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fund a portion of the cash consideration of the Merger, (b) to prepay in full the loans outstanding and terminate all commitments under our existing Credit Agreement, dated as of April 17, 2017, (c) to satisfy and discharge our Senior Notes, (d) to repay $975 million of the outstanding amount under the existing CRC revolving credit facility, (e) to repay in full the loans outstanding and terminate all commitments under the existing CEOC, LLC Credit Agreement, dated as of October 6, 2017, (f) to pay fees and expenses related to the financing arrangements, and (g) for general corporate use. As a result of these transactions, we may incur a loss on extinguishment of debt during the third quarter of 2020, which could be significant.</w:t>
      </w:r>
    </w:p>
    <w:p>
      <w:pPr>
        <w:spacing w:after="0" w:line="1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the completion of the transactions described in conjunction with the closing of the Merger, we estimate our total liquidity to be approximately $4.3 billion, which includes approximately $2.3 billion of cash on hand, and $2.0 billion of availability on our revolving credit facilities. We expect to obtain an additional $210 million of capacity on our revolving credit facilities upon regulatory approval and generate approximately $500 million of additional proceeds from VICI with a sale of excess land and a new mortgage note during the third quarter of 2020.</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significant portion of our liquidity needs are for debt service and payments associated with our leases. In addition to our newly issued debt, our debt obligations increased as a result of outstanding debt of Former Caesars that remained outstanding following the consummation of the Merger. Our estimated debt service (including principal and interest) is $200 million for the remainder of 2020. The convertible notes assumed in connection with the Merger are expected to be settled during 2020. The convertible notes are convertible into weighted average of the number of shares of Company Common Stock and amount of cash actually received per share by holders of common stock of Former Caesars that made elections for consideration in the Merger. We currently estimate a cash payment of approximately $1.3 billion to settle the convertible notes during 2020. We lease certain real property assets from third parties, including GLPI and VICI. We estimate our lease payments to be approximately $540 million for the remainder of 2020.</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 April 24, 2020, we entered into a definitive purchase agreement with Twin River to sell Eldorado Shreveport and MontBleu for aggregate consideration of $155 million. The agreement is subject to regulatory approvals and expected to close in the first quarter of 2021. </w:t>
      </w:r>
      <w:r>
        <w:rPr>
          <w:rFonts w:ascii="Arial" w:cs="Arial" w:eastAsia="Arial" w:hAnsi="Arial"/>
          <w:sz w:val="17"/>
          <w:szCs w:val="17"/>
          <w:color w:val="212529"/>
        </w:rPr>
        <w:t>We also expect to enter</w:t>
      </w:r>
      <w:r>
        <w:rPr>
          <w:rFonts w:ascii="Arial" w:cs="Arial" w:eastAsia="Arial" w:hAnsi="Arial"/>
          <w:sz w:val="17"/>
          <w:szCs w:val="17"/>
          <w:color w:val="auto"/>
        </w:rPr>
        <w:t xml:space="preserve"> </w:t>
      </w:r>
      <w:r>
        <w:rPr>
          <w:rFonts w:ascii="Arial" w:cs="Arial" w:eastAsia="Arial" w:hAnsi="Arial"/>
          <w:sz w:val="17"/>
          <w:szCs w:val="17"/>
          <w:color w:val="212529"/>
        </w:rPr>
        <w:t>into agreements to divest three properties in the state of Indiana as required by the Indiana Gaming Commission prior to December 31, 2020.</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borrowings incurred under the ERI Revolving Credit Facility, the CRC revolving credit facility and Convention Center Mortgage</w:t>
      </w:r>
      <w:r>
        <w:rPr>
          <w:rFonts w:ascii="Arial" w:cs="Arial" w:eastAsia="Arial" w:hAnsi="Arial"/>
          <w:sz w:val="17"/>
          <w:szCs w:val="17"/>
          <w:color w:val="auto"/>
        </w:rPr>
        <w:t xml:space="preserve"> </w:t>
      </w:r>
      <w:r>
        <w:rPr>
          <w:rFonts w:ascii="Arial" w:cs="Arial" w:eastAsia="Arial" w:hAnsi="Arial"/>
          <w:sz w:val="17"/>
          <w:szCs w:val="17"/>
          <w:color w:val="212529"/>
        </w:rPr>
        <w:t>Loan and cash generated from operations, the equity offering consummated in July 2020 and the announced asset sales, net of associated taxes, will be sufficient to fund our operations, capital requirements and service our outstanding indebtedness for the next twelve months. However, the COVID-19 public health emergency has had, and is expected to continue to have, an adverse effect on our business, financial condition and results of operations and has caused, and may continue to cause, disruption in the financial markets. While we have undertaken efforts to mitigate the impacts of COVID-19 on our business and maintain liquidity, the extent of the ongoing and future effects of the COVID-19 public health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212529"/>
        </w:rPr>
        <w:t>emergency on our business, results of operations and financial condition is uncertain and may adversely impact our liquidity in the future. Our ability to access additional capital may be adversely affected by the disruption in the financial markets caused by the COVID-19 public health emergency, restrictions on incurring additional indebtedness contained in the agreements governing our indebtedness and the impact of the public health emergency on our business, results of operations and financial condition.</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212529"/>
        </w:rPr>
        <w:t>Operating Cash Flows</w:t>
      </w:r>
      <w:r>
        <w:rPr>
          <w:rFonts w:ascii="Arial" w:cs="Arial" w:eastAsia="Arial" w:hAnsi="Arial"/>
          <w:sz w:val="18"/>
          <w:szCs w:val="18"/>
          <w:color w:val="212529"/>
        </w:rPr>
        <w:t>. For the</w:t>
      </w:r>
      <w:r>
        <w:rPr>
          <w:rFonts w:ascii="Arial" w:cs="Arial" w:eastAsia="Arial" w:hAnsi="Arial"/>
          <w:sz w:val="18"/>
          <w:szCs w:val="18"/>
          <w:i w:val="1"/>
          <w:iCs w:val="1"/>
          <w:color w:val="212529"/>
        </w:rPr>
        <w:t xml:space="preserve"> </w:t>
      </w:r>
      <w:r>
        <w:rPr>
          <w:rFonts w:ascii="Arial" w:cs="Arial" w:eastAsia="Arial" w:hAnsi="Arial"/>
          <w:sz w:val="18"/>
          <w:szCs w:val="18"/>
          <w:color w:val="000000"/>
        </w:rPr>
        <w:t>six</w:t>
      </w:r>
      <w:r>
        <w:rPr>
          <w:rFonts w:ascii="Arial" w:cs="Arial" w:eastAsia="Arial" w:hAnsi="Arial"/>
          <w:sz w:val="18"/>
          <w:szCs w:val="18"/>
          <w:i w:val="1"/>
          <w:iCs w:val="1"/>
          <w:color w:val="212529"/>
        </w:rPr>
        <w:t xml:space="preserve"> </w:t>
      </w:r>
      <w:r>
        <w:rPr>
          <w:rFonts w:ascii="Arial" w:cs="Arial" w:eastAsia="Arial" w:hAnsi="Arial"/>
          <w:sz w:val="18"/>
          <w:szCs w:val="18"/>
          <w:color w:val="212529"/>
        </w:rPr>
        <w:t>months ended</w:t>
      </w:r>
      <w:r>
        <w:rPr>
          <w:rFonts w:ascii="Arial" w:cs="Arial" w:eastAsia="Arial" w:hAnsi="Arial"/>
          <w:sz w:val="18"/>
          <w:szCs w:val="18"/>
          <w:i w:val="1"/>
          <w:iCs w:val="1"/>
          <w:color w:val="212529"/>
        </w:rPr>
        <w:t xml:space="preserve"> </w:t>
      </w:r>
      <w:r>
        <w:rPr>
          <w:rFonts w:ascii="Arial" w:cs="Arial" w:eastAsia="Arial" w:hAnsi="Arial"/>
          <w:sz w:val="18"/>
          <w:szCs w:val="18"/>
          <w:color w:val="000000"/>
        </w:rPr>
        <w:t>June 30, 2020</w:t>
      </w:r>
      <w:r>
        <w:rPr>
          <w:rFonts w:ascii="Arial" w:cs="Arial" w:eastAsia="Arial" w:hAnsi="Arial"/>
          <w:sz w:val="18"/>
          <w:szCs w:val="18"/>
          <w:color w:val="212529"/>
        </w:rPr>
        <w:t>, cash flows used by operating activities totaled</w:t>
      </w:r>
      <w:r>
        <w:rPr>
          <w:rFonts w:ascii="Arial" w:cs="Arial" w:eastAsia="Arial" w:hAnsi="Arial"/>
          <w:sz w:val="18"/>
          <w:szCs w:val="18"/>
          <w:i w:val="1"/>
          <w:iCs w:val="1"/>
          <w:color w:val="212529"/>
        </w:rPr>
        <w:t xml:space="preserve"> </w:t>
      </w:r>
      <w:r>
        <w:rPr>
          <w:rFonts w:ascii="Arial" w:cs="Arial" w:eastAsia="Arial" w:hAnsi="Arial"/>
          <w:sz w:val="18"/>
          <w:szCs w:val="18"/>
          <w:color w:val="000000"/>
        </w:rPr>
        <w:t>$80.5 million</w:t>
      </w:r>
      <w:r>
        <w:rPr>
          <w:rFonts w:ascii="Arial" w:cs="Arial" w:eastAsia="Arial" w:hAnsi="Arial"/>
          <w:sz w:val="18"/>
          <w:szCs w:val="18"/>
          <w:i w:val="1"/>
          <w:iCs w:val="1"/>
          <w:color w:val="212529"/>
        </w:rPr>
        <w:t xml:space="preserve"> </w:t>
      </w:r>
      <w:r>
        <w:rPr>
          <w:rFonts w:ascii="Arial" w:cs="Arial" w:eastAsia="Arial" w:hAnsi="Arial"/>
          <w:sz w:val="18"/>
          <w:szCs w:val="18"/>
          <w:color w:val="212529"/>
        </w:rPr>
        <w:t>compared to</w:t>
      </w:r>
      <w:r>
        <w:rPr>
          <w:rFonts w:ascii="Arial" w:cs="Arial" w:eastAsia="Arial" w:hAnsi="Arial"/>
          <w:sz w:val="18"/>
          <w:szCs w:val="18"/>
          <w:i w:val="1"/>
          <w:iCs w:val="1"/>
          <w:color w:val="212529"/>
        </w:rPr>
        <w:t xml:space="preserve"> </w:t>
      </w:r>
      <w:r>
        <w:rPr>
          <w:rFonts w:ascii="Arial" w:cs="Arial" w:eastAsia="Arial" w:hAnsi="Arial"/>
          <w:sz w:val="18"/>
          <w:szCs w:val="18"/>
          <w:color w:val="000000"/>
        </w:rPr>
        <w:t>$127.9</w:t>
      </w:r>
      <w:r>
        <w:rPr>
          <w:rFonts w:ascii="Arial" w:cs="Arial" w:eastAsia="Arial" w:hAnsi="Arial"/>
          <w:sz w:val="18"/>
          <w:szCs w:val="18"/>
          <w:i w:val="1"/>
          <w:iCs w:val="1"/>
          <w:color w:val="212529"/>
        </w:rPr>
        <w:t xml:space="preserve"> </w:t>
      </w:r>
      <w:r>
        <w:rPr>
          <w:rFonts w:ascii="Arial" w:cs="Arial" w:eastAsia="Arial" w:hAnsi="Arial"/>
          <w:sz w:val="18"/>
          <w:szCs w:val="18"/>
          <w:color w:val="000000"/>
        </w:rPr>
        <w:t xml:space="preserve">million provided </w:t>
      </w:r>
      <w:r>
        <w:rPr>
          <w:rFonts w:ascii="Arial" w:cs="Arial" w:eastAsia="Arial" w:hAnsi="Arial"/>
          <w:sz w:val="18"/>
          <w:szCs w:val="18"/>
          <w:color w:val="212529"/>
        </w:rPr>
        <w:t>for the same prior year period. Our operating cash flows generally follow trends in operating income, excluding non-cash charges.</w:t>
      </w:r>
      <w:r>
        <w:rPr>
          <w:rFonts w:ascii="Arial" w:cs="Arial" w:eastAsia="Arial" w:hAnsi="Arial"/>
          <w:sz w:val="18"/>
          <w:szCs w:val="18"/>
          <w:color w:val="000000"/>
        </w:rPr>
        <w:t xml:space="preserve"> </w:t>
      </w:r>
      <w:r>
        <w:rPr>
          <w:rFonts w:ascii="Arial" w:cs="Arial" w:eastAsia="Arial" w:hAnsi="Arial"/>
          <w:sz w:val="18"/>
          <w:szCs w:val="18"/>
          <w:color w:val="212529"/>
        </w:rPr>
        <w:t xml:space="preserve">Changes in the balance sheet accounts and the timing of significant payments, including </w:t>
      </w:r>
      <w:r>
        <w:rPr>
          <w:rFonts w:ascii="Arial" w:cs="Arial" w:eastAsia="Arial" w:hAnsi="Arial"/>
          <w:sz w:val="18"/>
          <w:szCs w:val="18"/>
          <w:color w:val="000000"/>
        </w:rPr>
        <w:t>interest</w:t>
      </w:r>
      <w:r>
        <w:rPr>
          <w:rFonts w:ascii="Arial" w:cs="Arial" w:eastAsia="Arial" w:hAnsi="Arial"/>
          <w:sz w:val="18"/>
          <w:szCs w:val="18"/>
          <w:color w:val="212529"/>
        </w:rPr>
        <w:t>, rent and tax payments will impact our operating cash flows. The decrease in operating cash flows compared to the same prior year period was primarily due to cash used to continue to pay operating expenses, including rent and interest payments, during the temporary closure of our properties as a result of the COVID-19 public health emergency from mid-March to mid-May 2020.</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212529"/>
        </w:rPr>
        <w:t>Investing Cash Flow and Capital Expenditures</w:t>
      </w:r>
      <w:r>
        <w:rPr>
          <w:rFonts w:ascii="Arial" w:cs="Arial" w:eastAsia="Arial" w:hAnsi="Arial"/>
          <w:sz w:val="16"/>
          <w:szCs w:val="16"/>
          <w:color w:val="212529"/>
        </w:rPr>
        <w:t>. Net cash flows used in investing activities totaled</w:t>
      </w:r>
      <w:r>
        <w:rPr>
          <w:rFonts w:ascii="Arial" w:cs="Arial" w:eastAsia="Arial" w:hAnsi="Arial"/>
          <w:sz w:val="16"/>
          <w:szCs w:val="16"/>
          <w:i w:val="1"/>
          <w:iCs w:val="1"/>
          <w:color w:val="212529"/>
        </w:rPr>
        <w:t xml:space="preserve"> </w:t>
      </w:r>
      <w:r>
        <w:rPr>
          <w:rFonts w:ascii="Arial" w:cs="Arial" w:eastAsia="Arial" w:hAnsi="Arial"/>
          <w:sz w:val="16"/>
          <w:szCs w:val="16"/>
          <w:color w:val="000000"/>
        </w:rPr>
        <w:t>$41.4 million</w:t>
      </w:r>
      <w:r>
        <w:rPr>
          <w:rFonts w:ascii="Arial" w:cs="Arial" w:eastAsia="Arial" w:hAnsi="Arial"/>
          <w:sz w:val="16"/>
          <w:szCs w:val="16"/>
          <w:i w:val="1"/>
          <w:iCs w:val="1"/>
          <w:color w:val="212529"/>
        </w:rPr>
        <w:t xml:space="preserve"> </w:t>
      </w:r>
      <w:r>
        <w:rPr>
          <w:rFonts w:ascii="Arial" w:cs="Arial" w:eastAsia="Arial" w:hAnsi="Arial"/>
          <w:sz w:val="16"/>
          <w:szCs w:val="16"/>
          <w:color w:val="212529"/>
        </w:rPr>
        <w:t>for the</w:t>
      </w:r>
      <w:r>
        <w:rPr>
          <w:rFonts w:ascii="Arial" w:cs="Arial" w:eastAsia="Arial" w:hAnsi="Arial"/>
          <w:sz w:val="16"/>
          <w:szCs w:val="16"/>
          <w:i w:val="1"/>
          <w:iCs w:val="1"/>
          <w:color w:val="212529"/>
        </w:rPr>
        <w:t xml:space="preserve"> </w:t>
      </w:r>
      <w:r>
        <w:rPr>
          <w:rFonts w:ascii="Arial" w:cs="Arial" w:eastAsia="Arial" w:hAnsi="Arial"/>
          <w:sz w:val="16"/>
          <w:szCs w:val="16"/>
          <w:color w:val="000000"/>
        </w:rPr>
        <w:t>six</w:t>
      </w:r>
      <w:r>
        <w:rPr>
          <w:rFonts w:ascii="Arial" w:cs="Arial" w:eastAsia="Arial" w:hAnsi="Arial"/>
          <w:sz w:val="16"/>
          <w:szCs w:val="16"/>
          <w:i w:val="1"/>
          <w:iCs w:val="1"/>
          <w:color w:val="212529"/>
        </w:rPr>
        <w:t xml:space="preserve"> </w:t>
      </w:r>
      <w:r>
        <w:rPr>
          <w:rFonts w:ascii="Arial" w:cs="Arial" w:eastAsia="Arial" w:hAnsi="Arial"/>
          <w:sz w:val="16"/>
          <w:szCs w:val="16"/>
          <w:color w:val="212529"/>
        </w:rPr>
        <w:t>months ended</w:t>
      </w:r>
      <w:r>
        <w:rPr>
          <w:rFonts w:ascii="Arial" w:cs="Arial" w:eastAsia="Arial" w:hAnsi="Arial"/>
          <w:sz w:val="16"/>
          <w:szCs w:val="16"/>
          <w:i w:val="1"/>
          <w:iCs w:val="1"/>
          <w:color w:val="212529"/>
        </w:rPr>
        <w:t xml:space="preserve"> </w:t>
      </w:r>
      <w:r>
        <w:rPr>
          <w:rFonts w:ascii="Arial" w:cs="Arial" w:eastAsia="Arial" w:hAnsi="Arial"/>
          <w:sz w:val="16"/>
          <w:szCs w:val="16"/>
          <w:color w:val="000000"/>
        </w:rPr>
        <w:t>June 30,</w:t>
      </w:r>
      <w:r>
        <w:rPr>
          <w:rFonts w:ascii="Arial" w:cs="Arial" w:eastAsia="Arial" w:hAnsi="Arial"/>
          <w:sz w:val="16"/>
          <w:szCs w:val="16"/>
          <w:i w:val="1"/>
          <w:iCs w:val="1"/>
          <w:color w:val="212529"/>
        </w:rPr>
        <w:t xml:space="preserve"> </w:t>
      </w:r>
      <w:r>
        <w:rPr>
          <w:rFonts w:ascii="Arial" w:cs="Arial" w:eastAsia="Arial" w:hAnsi="Arial"/>
          <w:sz w:val="16"/>
          <w:szCs w:val="16"/>
          <w:color w:val="000000"/>
        </w:rPr>
        <w:t xml:space="preserve">2020 </w:t>
      </w:r>
      <w:r>
        <w:rPr>
          <w:rFonts w:ascii="Arial" w:cs="Arial" w:eastAsia="Arial" w:hAnsi="Arial"/>
          <w:sz w:val="16"/>
          <w:szCs w:val="16"/>
          <w:color w:val="212529"/>
        </w:rPr>
        <w:t>compared to</w:t>
      </w:r>
      <w:r>
        <w:rPr>
          <w:rFonts w:ascii="Arial" w:cs="Arial" w:eastAsia="Arial" w:hAnsi="Arial"/>
          <w:sz w:val="16"/>
          <w:szCs w:val="16"/>
          <w:color w:val="000000"/>
        </w:rPr>
        <w:t xml:space="preserve"> $75.5 million </w:t>
      </w:r>
      <w:r>
        <w:rPr>
          <w:rFonts w:ascii="Arial" w:cs="Arial" w:eastAsia="Arial" w:hAnsi="Arial"/>
          <w:sz w:val="16"/>
          <w:szCs w:val="16"/>
          <w:color w:val="212529"/>
        </w:rPr>
        <w:t>provided by investing activities in the same prior year period. Our investing cash flows generally fluctuate depending upon</w:t>
      </w:r>
      <w:r>
        <w:rPr>
          <w:rFonts w:ascii="Arial" w:cs="Arial" w:eastAsia="Arial" w:hAnsi="Arial"/>
          <w:sz w:val="16"/>
          <w:szCs w:val="16"/>
          <w:color w:val="000000"/>
        </w:rPr>
        <w:t xml:space="preserve"> </w:t>
      </w:r>
      <w:r>
        <w:rPr>
          <w:rFonts w:ascii="Arial" w:cs="Arial" w:eastAsia="Arial" w:hAnsi="Arial"/>
          <w:sz w:val="16"/>
          <w:szCs w:val="16"/>
          <w:color w:val="212529"/>
        </w:rPr>
        <w:t xml:space="preserve">the timing of strategic and maintenance capital expenditures in addition to business acquisitions or dispositions. Net cash used in investing activities for the </w:t>
      </w:r>
      <w:r>
        <w:rPr>
          <w:rFonts w:ascii="Arial" w:cs="Arial" w:eastAsia="Arial" w:hAnsi="Arial"/>
          <w:sz w:val="16"/>
          <w:szCs w:val="16"/>
          <w:color w:val="000000"/>
        </w:rPr>
        <w:t xml:space="preserve">six </w:t>
      </w:r>
      <w:r>
        <w:rPr>
          <w:rFonts w:ascii="Arial" w:cs="Arial" w:eastAsia="Arial" w:hAnsi="Arial"/>
          <w:sz w:val="16"/>
          <w:szCs w:val="16"/>
          <w:color w:val="212529"/>
        </w:rPr>
        <w:t>months ended</w:t>
      </w:r>
      <w:r>
        <w:rPr>
          <w:rFonts w:ascii="Arial" w:cs="Arial" w:eastAsia="Arial" w:hAnsi="Arial"/>
          <w:sz w:val="16"/>
          <w:szCs w:val="16"/>
          <w:color w:val="000000"/>
        </w:rPr>
        <w:t xml:space="preserve"> June 30, 2020 </w:t>
      </w:r>
      <w:r>
        <w:rPr>
          <w:rFonts w:ascii="Arial" w:cs="Arial" w:eastAsia="Arial" w:hAnsi="Arial"/>
          <w:sz w:val="16"/>
          <w:szCs w:val="16"/>
          <w:color w:val="212529"/>
        </w:rPr>
        <w:t>was primarily due to $41.0 million cash used for capital expenditures for various property enhancement and maintenance</w:t>
      </w:r>
      <w:r>
        <w:rPr>
          <w:rFonts w:ascii="Arial" w:cs="Arial" w:eastAsia="Arial" w:hAnsi="Arial"/>
          <w:sz w:val="16"/>
          <w:szCs w:val="16"/>
          <w:color w:val="000000"/>
        </w:rPr>
        <w:t xml:space="preserve"> </w:t>
      </w:r>
      <w:r>
        <w:rPr>
          <w:rFonts w:ascii="Arial" w:cs="Arial" w:eastAsia="Arial" w:hAnsi="Arial"/>
          <w:sz w:val="16"/>
          <w:szCs w:val="16"/>
          <w:color w:val="212529"/>
        </w:rPr>
        <w:t xml:space="preserve">projects along with equipment purchases. Net cash flows provided by investing activities for the </w:t>
      </w:r>
      <w:r>
        <w:rPr>
          <w:rFonts w:ascii="Arial" w:cs="Arial" w:eastAsia="Arial" w:hAnsi="Arial"/>
          <w:sz w:val="16"/>
          <w:szCs w:val="16"/>
          <w:color w:val="000000"/>
        </w:rPr>
        <w:t>six</w:t>
      </w:r>
      <w:r>
        <w:rPr>
          <w:rFonts w:ascii="Arial" w:cs="Arial" w:eastAsia="Arial" w:hAnsi="Arial"/>
          <w:sz w:val="16"/>
          <w:szCs w:val="16"/>
          <w:color w:val="212529"/>
        </w:rPr>
        <w:t xml:space="preserve"> months ended June 30, 2019 was primarily due to $178.9 million in net proceeds from the sales of Presque Isle Downs and Nemacolin offset by cash used totaling $97.1 million for capital expenditures.</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provided by financing activities for the six months ended June 30, 2020 totaled $862.7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$253.2 million used in financing activities for the same prior year period. The cash provided by financing activities for the six months ended June 30, 2020 was principally due to $772.4 million of proceeds from issuance of common stock and $465.0 million of borrowings under the Revolving Credit Facility offset by $357.0 million and $10.0 million of payments under the Revolving Credit Facility and Term Loan, respectively. The cash used in financing activities for the six months ended </w:t>
      </w:r>
      <w:r>
        <w:rPr>
          <w:rFonts w:ascii="Arial" w:cs="Arial" w:eastAsia="Arial" w:hAnsi="Arial"/>
          <w:sz w:val="18"/>
          <w:szCs w:val="18"/>
          <w:color w:val="212529"/>
        </w:rPr>
        <w:t>June 30, 2019</w:t>
      </w:r>
      <w:r>
        <w:rPr>
          <w:rFonts w:ascii="Arial" w:cs="Arial" w:eastAsia="Arial" w:hAnsi="Arial"/>
          <w:sz w:val="18"/>
          <w:szCs w:val="18"/>
          <w:color w:val="auto"/>
        </w:rPr>
        <w:t xml:space="preserve"> was principally due to net payments under the Revolving Credit Facility partially funded by the proceeds from the sales of Presque and Nemacolin.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Due to the ongoing effects of the COVID-19 public health emergency, our ability to maintain compliance with the financial covenants under our Credit Facility was negatively impacted. On June 15, 2020, we entered into an amendment to the Credit Facility which provided relief for the financial covenant requirement under the existing Credit Facility agreement through September 30, 2021. During the covenant relief period we were required to maintain a minimum liquidity level, including unrestricted cash and unused commitments under the Revolving Credit Facility of $200.0 million.</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our GLPI Master Lease contains certain operating, capital expenditure and financial covenants thereunder, and our ability to maintain compliance with these covenants was also negatively impacted. On June 15, 2020, we entered into an amendment to the GLPI Master Lease which, among other things, provides certain relief under these covenants in the event of facility closures due to pandemics, governmental restrictions and certain other instances of unavoidable delay. Subsequent to June 30, 2020, the amendment to the GLPI Master Lease became effective as the Company obtained all necessary approvals and the applicable waiting period expired.</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we were in compliance with all of the applicable financial covenants under the 7% Senior Notes due 2023, 6% Senior Notes due 2025, 6% Senior Notes due 2026, and the Lumière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8, 2018, we issued a press release announcing that its Board of Directors has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2020, we acquired 223,823 shares of common stock under the program at an aggregate value of $9.1 million and an average of $40.80 per share. No shares were repurchased during the six months ended June 30, 2020 and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Debt Obligations and GLPI Master 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2020, we were party to a credit agreement with JPMorgan Chase Bank, N.A., as administrative agent, and the lenders party thereto dated as of April 17, 2017 (as amended, the “Credit Facility”), consisting of a $1.5 billion term loan facility (the “Term Loan Facility” or “Term Loan”) and a $500.0 million revolving credit facility (the “Revolving Credit Facility”). The Credit Facility provided that our obligations under the Revolving Credit Facility would mature on October 1, 2023 and our obligations under the Term Loan Facility would mature on April 17, 2024.</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2020, we had $488.8 million outstanding on the Term Loan and $108.0 million outstanding under the Revolving Credit Facility. During the six months ended June 30, 2020, we elected to draw down $465.0 million of availability under the Revolving Credit Facility as a precautionary measure to enhance our liquidity and provide financial flexibility as the effects of COVID-19 continue to evolve and impact global financial markets and we repaid $357.0 million of the outstanding balance. We had $372.9 million of available borrowing capacity, after consideration of $19.1 million in outstanding letters of credit under our Revolving Credit Facility, as of June 30, 2020.</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interest rate per annum applicable to loans under the Revolving Credit Facility are, at our option, either LIBOR plus a margin ranging from 1.75% to 2.50% or a base rate plus a margin from 0.75% to 1.50%, the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Additionally, we pay a commitment fee on the unused portion of the Revolving Credit Facility of 0.50% per annum. As of June 30, 2020, the weighted average interest rates on the Term Loan and Revolving Credit Facility were 3.25% and 3.13%, respectively.</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20, 2020, in connection with the Merger, all amounts outstanding under the Credit Facility, including accrued interest and fees, were paid in full, the commitment to extend credit under the Credit Facility were terminated and all guarantees and security interests in respect of the Credit Facility were released.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2026</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semi-annually in arrears on March 15 and September 15.</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Merger, $210 million aggregate principal amount of the 6% Senior Notes due 2026 was redeemed on July 25, 2020 at a redemption price of 106% of such aggregate principal amount, and the remaining and outstanding principal amount of the 6% Senior Notes due 2026 was redeemed on July 26, 2020 at a redemption price of 100% of the aggregate principal amount thereof plus the Applicable Premium as defined in the 2026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 due 2025</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17"/>
          <w:szCs w:val="17"/>
          <w:color w:val="auto"/>
        </w:rPr>
        <w:t>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Merger, the 6% Senior Notes due 2025 were redeemed on July 25, 2020 at a redemption price of 104.5% of the aggregate principal amount.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 due 2023</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Merger, the 7% Senior Notes due 2023 were redeemed on July 25, 2020 at a redemption price of 103.5% of the aggregate principal amount.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borrowed $246.0 million from GLPI to fund the purchase price of the real estate underlying Lumière. The Lumière Loan bears interest at a rate equal to (i) 9.09% until October 1, 2019 and (ii) 9.27% until October 1, 2020, and matures on October 1, 2020. The Lumière Loan was secured by a first priority mortgage on the Lumière real property that was released pursuant to its terms on October 1, 2019. On June 24,2020, we received approval from Missouri Gaming Commission to sell Lumière to GLPI and leaseback the property under a long term financing obligation. The loan is scheduled to mature during 2020; however, we have classified the loan balance as long-term debt as of June 30, 2020 as the Lumière real estate will be refinanced under a long-term lease, or financing obligation, during the third quarter of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GLPI Master Lease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GLPI Master Lease is accounted for as a financing obligation and totaled $975.8 million as of June 30, 2020. Additionally, our GLPI Master Lease contains certain operating, capital expenditure and financial covenants thereunder, and our ability to maintain compliance with these covenants was also negatively impacted. On June 15, 2020, we entered into an amendment to the GLPI Master Lease which, among other things, provides certain relief under these covenants in the event of facility closures due to pandemics, governmental restrictions and certain other instances of unavoidable delay. Subsequent to June 30, 2020, the amendment to the GLPI Master Lease became effective as we obtained all necessary approvals and the applicable waiting period expired. See Note 10 to our Consolidated Financial Statements for additional information about our GLPI Master Lease and related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2020 to our contractual obligations as disclosed in our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Information of Guarantors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of our wholly-owned subsidiaries have fully and unconditionally guaranteed on a joint and several basis, the payment of all obligations under our 7% Senior Notes due 2023, 6% Senior Notes due 2025, 6% Senior Notes due 2026 and Credit Facility. There were no changes in our wholly-owned subsidiaries serving as guarantors, on a joint and several basis during the six months ended June 30, 2020. Our debt obligations as of June 30, 2020 are considered to be obligations of Eldorado Resorts, Inc., prior to the consummation of the Merger and our subsequent name change.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consolidating condensed balance sheet as of June 30, 2020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Consolidating</w:t>
            </w:r>
          </w:p>
        </w:tc>
        <w:tc>
          <w:tcPr>
            <w:tcW w:w="20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Eldorado</w:t>
            </w: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and Eliminating</w:t>
            </w:r>
          </w:p>
        </w:tc>
        <w:tc>
          <w:tcPr>
            <w:tcW w:w="20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Resorts, Inc.</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Non-Obligors</w:t>
            </w:r>
          </w:p>
        </w:tc>
        <w:tc>
          <w:tcPr>
            <w:tcW w:w="200" w:type="dxa"/>
            <w:vAlign w:val="bottom"/>
          </w:tcPr>
          <w:p>
            <w:pPr>
              <w:spacing w:after="0"/>
              <w:rPr>
                <w:sz w:val="18"/>
                <w:szCs w:val="18"/>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Entries</w:t>
            </w:r>
          </w:p>
        </w:tc>
        <w:tc>
          <w:tcPr>
            <w:tcW w:w="20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1,512,907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21,830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1,534,737</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Intercompany (payables) receivables</w:t>
            </w: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(7,831)</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7,831</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4,609,918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3,792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4,613,710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461,638</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14,364</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476,002</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4,057,595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(1,599)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4,055,996</w:t>
            </w:r>
          </w:p>
        </w:tc>
      </w:tr>
      <w:tr>
        <w:trPr>
          <w:trHeight w:val="378"/>
        </w:trPr>
        <w:tc>
          <w:tcPr>
            <w:tcW w:w="6960" w:type="dxa"/>
            <w:vAlign w:val="bottom"/>
            <w:gridSpan w:val="3"/>
          </w:tcPr>
          <w:p>
            <w:pPr>
              <w:ind w:left="660"/>
              <w:spacing w:after="0"/>
              <w:rPr>
                <w:sz w:val="20"/>
                <w:szCs w:val="20"/>
                <w:color w:val="auto"/>
              </w:rPr>
            </w:pPr>
            <w:r>
              <w:rPr>
                <w:rFonts w:ascii="Arial" w:cs="Arial" w:eastAsia="Arial" w:hAnsi="Arial"/>
                <w:sz w:val="18"/>
                <w:szCs w:val="18"/>
                <w:color w:val="auto"/>
                <w:w w:val="94"/>
              </w:rPr>
              <w:t>The consolidating condensed balance sheet as of December 31, 2019 is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Consolidating</w:t>
            </w:r>
          </w:p>
        </w:tc>
        <w:tc>
          <w:tcPr>
            <w:tcW w:w="200" w:type="dxa"/>
            <w:vAlign w:val="bottom"/>
          </w:tcPr>
          <w:p>
            <w:pPr>
              <w:spacing w:after="0"/>
              <w:rPr>
                <w:sz w:val="24"/>
                <w:szCs w:val="24"/>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Eldorado</w:t>
            </w: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and Eliminating</w:t>
            </w:r>
          </w:p>
        </w:tc>
        <w:tc>
          <w:tcPr>
            <w:tcW w:w="20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Resorts, Inc.</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Non-Obligors</w:t>
            </w:r>
          </w:p>
        </w:tc>
        <w:tc>
          <w:tcPr>
            <w:tcW w:w="200" w:type="dxa"/>
            <w:vAlign w:val="bottom"/>
          </w:tcPr>
          <w:p>
            <w:pPr>
              <w:spacing w:after="0"/>
              <w:rPr>
                <w:sz w:val="18"/>
                <w:szCs w:val="18"/>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Entries</w:t>
            </w:r>
          </w:p>
        </w:tc>
        <w:tc>
          <w:tcPr>
            <w:tcW w:w="20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582,918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21,725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604,643</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Intercompany receivables (payables)</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1,790</w:t>
            </w:r>
          </w:p>
        </w:tc>
        <w:tc>
          <w:tcPr>
            <w:tcW w:w="2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(1,790)</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8,876,547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13,768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(3,854,405)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5,035,910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673,403</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15,043</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688,446</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3,836,939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(2,089)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3,834,850</w:t>
            </w:r>
          </w:p>
        </w:tc>
      </w:tr>
      <w:tr>
        <w:trPr>
          <w:trHeight w:val="378"/>
        </w:trPr>
        <w:tc>
          <w:tcPr>
            <w:tcW w:w="8620" w:type="dxa"/>
            <w:vAlign w:val="bottom"/>
            <w:gridSpan w:val="6"/>
          </w:tcPr>
          <w:p>
            <w:pPr>
              <w:ind w:left="660"/>
              <w:spacing w:after="0"/>
              <w:rPr>
                <w:sz w:val="20"/>
                <w:szCs w:val="20"/>
                <w:color w:val="auto"/>
              </w:rPr>
            </w:pPr>
            <w:r>
              <w:rPr>
                <w:rFonts w:ascii="Arial" w:cs="Arial" w:eastAsia="Arial" w:hAnsi="Arial"/>
                <w:sz w:val="18"/>
                <w:szCs w:val="18"/>
                <w:color w:val="auto"/>
                <w:w w:val="90"/>
              </w:rPr>
              <w:t>The consolidating condensed statement of operations for the three months ended June 30, 2020 is as follows: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Consolidating and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Eliminating</w:t>
            </w: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Eldorado Resorts,</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Non-Obligors</w:t>
            </w:r>
          </w:p>
        </w:tc>
        <w:tc>
          <w:tcPr>
            <w:tcW w:w="200" w:type="dxa"/>
            <w:vAlign w:val="bottom"/>
          </w:tcPr>
          <w:p>
            <w:pPr>
              <w:spacing w:after="0"/>
              <w:rPr>
                <w:sz w:val="18"/>
                <w:szCs w:val="18"/>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Entries</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Inc. 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125,514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126,470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(79,253)</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(78,327)</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(68,280)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(68,136)</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(100,845)</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(99,996)</w:t>
            </w:r>
          </w:p>
        </w:tc>
      </w:tr>
      <w:tr>
        <w:trPr>
          <w:trHeight w:val="405"/>
        </w:trPr>
        <w:tc>
          <w:tcPr>
            <w:tcW w:w="8620" w:type="dxa"/>
            <w:vAlign w:val="bottom"/>
            <w:gridSpan w:val="6"/>
          </w:tcPr>
          <w:p>
            <w:pPr>
              <w:ind w:left="660"/>
              <w:spacing w:after="0"/>
              <w:rPr>
                <w:sz w:val="20"/>
                <w:szCs w:val="20"/>
                <w:color w:val="auto"/>
              </w:rPr>
            </w:pPr>
            <w:r>
              <w:rPr>
                <w:rFonts w:ascii="Arial" w:cs="Arial" w:eastAsia="Arial" w:hAnsi="Arial"/>
                <w:sz w:val="18"/>
                <w:szCs w:val="18"/>
                <w:color w:val="auto"/>
                <w:w w:val="90"/>
              </w:rPr>
              <w:t>The consolidating condensed statement of operations for the three months ended June 30, 2019 is as follows: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Consolidating and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Eliminating</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Eldorado Resorts,</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Non-Obligors</w:t>
            </w:r>
          </w:p>
        </w:tc>
        <w:tc>
          <w:tcPr>
            <w:tcW w:w="200" w:type="dxa"/>
            <w:vAlign w:val="bottom"/>
          </w:tcPr>
          <w:p>
            <w:pPr>
              <w:spacing w:after="0"/>
              <w:rPr>
                <w:sz w:val="18"/>
                <w:szCs w:val="18"/>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Entries</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Inc. 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635,597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637,121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101,623</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102,550</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(71,310)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(71,798)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78,757</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(60,019)</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18,936</w:t>
            </w:r>
          </w:p>
        </w:tc>
      </w:tr>
      <w:tr>
        <w:trPr>
          <w:trHeight w:val="405"/>
        </w:trPr>
        <w:tc>
          <w:tcPr>
            <w:tcW w:w="8420" w:type="dxa"/>
            <w:vAlign w:val="bottom"/>
            <w:gridSpan w:val="5"/>
          </w:tcPr>
          <w:p>
            <w:pPr>
              <w:ind w:left="660"/>
              <w:spacing w:after="0"/>
              <w:rPr>
                <w:sz w:val="20"/>
                <w:szCs w:val="20"/>
                <w:color w:val="auto"/>
              </w:rPr>
            </w:pPr>
            <w:r>
              <w:rPr>
                <w:rFonts w:ascii="Arial" w:cs="Arial" w:eastAsia="Arial" w:hAnsi="Arial"/>
                <w:sz w:val="18"/>
                <w:szCs w:val="18"/>
                <w:color w:val="auto"/>
                <w:w w:val="90"/>
              </w:rPr>
              <w:t>The consolidating condensed statement of operations for the six months ended June 30, 2020 is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Consolidating</w:t>
            </w:r>
          </w:p>
        </w:tc>
        <w:tc>
          <w:tcPr>
            <w:tcW w:w="200" w:type="dxa"/>
            <w:vAlign w:val="bottom"/>
          </w:tcPr>
          <w:p>
            <w:pPr>
              <w:spacing w:after="0"/>
              <w:rPr>
                <w:sz w:val="24"/>
                <w:szCs w:val="24"/>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Eldorado</w:t>
            </w: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and Eliminating</w:t>
            </w:r>
          </w:p>
        </w:tc>
        <w:tc>
          <w:tcPr>
            <w:tcW w:w="20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Resorts, Inc.</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3"/>
              </w:rPr>
              <w:t>Non-Obligors</w:t>
            </w:r>
          </w:p>
        </w:tc>
        <w:tc>
          <w:tcPr>
            <w:tcW w:w="200" w:type="dxa"/>
            <w:vAlign w:val="bottom"/>
          </w:tcPr>
          <w:p>
            <w:pPr>
              <w:spacing w:after="0"/>
              <w:rPr>
                <w:sz w:val="18"/>
                <w:szCs w:val="18"/>
                <w:color w:val="auto"/>
              </w:rPr>
            </w:pPr>
          </w:p>
        </w:tc>
        <w:tc>
          <w:tcPr>
            <w:tcW w:w="12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Entries</w:t>
            </w:r>
          </w:p>
        </w:tc>
        <w:tc>
          <w:tcPr>
            <w:tcW w:w="20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3"/>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597,373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599,539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(204,125)</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2,618</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(201,507)</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(134,954)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(134,600)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(278,167)</w:t>
            </w:r>
          </w:p>
        </w:tc>
        <w:tc>
          <w:tcPr>
            <w:tcW w:w="24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(275,634)</w:t>
            </w:r>
          </w:p>
        </w:tc>
      </w:tr>
    </w:tbl>
    <w:p>
      <w:pPr>
        <w:spacing w:after="0" w:line="200" w:lineRule="exact"/>
        <w:rPr>
          <w:sz w:val="20"/>
          <w:szCs w:val="20"/>
          <w:color w:val="auto"/>
        </w:rPr>
      </w:pPr>
    </w:p>
    <w:p>
      <w:pPr>
        <w:sectPr>
          <w:pgSz w:w="11900" w:h="16838" w:orient="portrait"/>
          <w:cols w:equalWidth="0" w:num="1">
            <w:col w:w="11200"/>
          </w:cols>
          <w:pgMar w:left="320" w:top="1057" w:right="379" w:bottom="1440" w:gutter="0" w:footer="0" w:header="0"/>
        </w:sect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52" w:name="page53"/>
    <w:bookmarkEnd w:id="52"/>
    <w:p>
      <w:pPr>
        <w:ind w:left="660"/>
        <w:spacing w:after="0"/>
        <w:rPr>
          <w:sz w:val="20"/>
          <w:szCs w:val="20"/>
          <w:color w:val="auto"/>
        </w:rPr>
      </w:pPr>
      <w:r>
        <w:rPr>
          <w:rFonts w:ascii="Arial" w:cs="Arial" w:eastAsia="Arial" w:hAnsi="Arial"/>
          <w:sz w:val="18"/>
          <w:szCs w:val="18"/>
          <w:color w:val="auto"/>
        </w:rPr>
        <w:t>The consolidating condensed statement of operations for the six months ended June 30, 2019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Eldorado</w:t>
            </w: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and Eliminating</w:t>
            </w:r>
          </w:p>
        </w:tc>
        <w:tc>
          <w:tcPr>
            <w:tcW w:w="24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Resorts, Inc.</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6"/>
                <w:szCs w:val="16"/>
                <w:b w:val="1"/>
                <w:bCs w:val="1"/>
                <w:color w:val="auto"/>
                <w:w w:val="95"/>
              </w:rPr>
              <w:t>Obligor Group</w:t>
            </w:r>
          </w:p>
        </w:tc>
        <w:tc>
          <w:tcPr>
            <w:tcW w:w="24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Arial" w:cs="Arial" w:eastAsia="Arial" w:hAnsi="Arial"/>
                <w:sz w:val="16"/>
                <w:szCs w:val="16"/>
                <w:b w:val="1"/>
                <w:bCs w:val="1"/>
                <w:color w:val="auto"/>
                <w:w w:val="93"/>
              </w:rPr>
              <w:t>Non-Obligors</w:t>
            </w:r>
          </w:p>
        </w:tc>
        <w:tc>
          <w:tcPr>
            <w:tcW w:w="240" w:type="dxa"/>
            <w:vAlign w:val="bottom"/>
          </w:tcPr>
          <w:p>
            <w:pPr>
              <w:spacing w:after="0"/>
              <w:rPr>
                <w:sz w:val="18"/>
                <w:szCs w:val="18"/>
                <w:color w:val="auto"/>
              </w:rPr>
            </w:pPr>
          </w:p>
        </w:tc>
        <w:tc>
          <w:tcPr>
            <w:tcW w:w="118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Entries</w:t>
            </w:r>
          </w:p>
        </w:tc>
        <w:tc>
          <w:tcPr>
            <w:tcW w:w="24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Consolidated</w:t>
            </w:r>
          </w:p>
        </w:tc>
      </w:tr>
      <w:tr>
        <w:trPr>
          <w:trHeight w:val="33"/>
        </w:trPr>
        <w:tc>
          <w:tcPr>
            <w:tcW w:w="5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3"/>
          </w:tcPr>
          <w:p>
            <w:pPr>
              <w:jc w:val="right"/>
              <w:ind w:right="853"/>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1,264,937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8,007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1,272,944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223,656</w:t>
            </w:r>
          </w:p>
        </w:tc>
        <w:tc>
          <w:tcPr>
            <w:tcW w:w="24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21"/>
                <w:szCs w:val="21"/>
                <w:color w:val="auto"/>
              </w:rPr>
            </w:pPr>
          </w:p>
        </w:tc>
        <w:tc>
          <w:tcPr>
            <w:tcW w:w="1180" w:type="dxa"/>
            <w:vAlign w:val="bottom"/>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226,154</w:t>
            </w: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(144,575)</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(145,308)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188,242</w:t>
            </w:r>
          </w:p>
        </w:tc>
        <w:tc>
          <w:tcPr>
            <w:tcW w:w="24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(132,273)</w:t>
            </w:r>
          </w:p>
        </w:tc>
        <w:tc>
          <w:tcPr>
            <w:tcW w:w="2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57,165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14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2019 and “Part II, Item IA. Risk Factors” which is included in this Quarterly Report on Form 10-Q for the quarter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critical accounting policies disclosures are included in our Annual Report on Form 10-K for the year ended December 31, 2019. Except as described in Note 1 to the accompanying condensed notes of these consolidated financial statements, we believe there have been no material changes since December 31, 2019. We have not substantively changed the application of our policies and there have been no material changes in assumptions or estimation techniques used as compared to prior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long-term variable-rate debt arrangements. As of June 30, 2020, interest on borrowings under our Credit Facility was subject to fluctuation based on changes in short-term interest rates.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our long-term variable-rate borrowings totaled $488.8 million under the Term Loan and $108.0 million was outstanding under the Revolving Credit Facility. Long-term variable-rate borrowings under the Term Loan and the Revolving Credit Facility represented approximately 22% of our long-term debt as of June 30, 2020. During the six months ended June 30, 2020, the weighted average interest rates on our variable and fixed rate debt were 3.23% and 6.56%, respectively.</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LIBOR is expected to be discontinued after 2021. The interest rate per annum applicable to loans under our credit facilities is, at our option, either LIBOR plus a margin or a base rate plus a margin.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material quantitative changes in our market risk exposure, or how such risks are managed, for the six months ended June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jc w:val="both"/>
        <w:ind w:firstLine="648"/>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Legal matters are discussed in greater detail in “Part I, Item 3. Legal Proceedings” and Note 17 to our Consolidated Financial Statements included in our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condition;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consummate the disposition of MontBleu, Eldorado Shreveport and certain of our other properties, including required divestitures of certain properties located in Indiana;</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expectations regarding our business and results of operations of our existing casino properties and prospects for future development;</w:t>
      </w:r>
    </w:p>
    <w:p>
      <w:pPr>
        <w:spacing w:after="0" w:line="194" w:lineRule="exact"/>
        <w:rPr>
          <w:rFonts w:ascii="Arial" w:cs="Arial" w:eastAsia="Arial" w:hAnsi="Arial"/>
          <w:sz w:val="16"/>
          <w:szCs w:val="16"/>
          <w:color w:val="auto"/>
        </w:rPr>
      </w:pPr>
    </w:p>
    <w:p>
      <w:pPr>
        <w:ind w:left="1300" w:right="2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71" w:lineRule="exact"/>
        <w:rPr>
          <w:rFonts w:ascii="Arial" w:cs="Arial" w:eastAsia="Arial" w:hAnsi="Arial"/>
          <w:sz w:val="18"/>
          <w:szCs w:val="18"/>
          <w:color w:val="auto"/>
        </w:rPr>
      </w:pPr>
    </w:p>
    <w:p>
      <w:pPr>
        <w:ind w:left="1300" w:hanging="644"/>
        <w:spacing w:after="0" w:line="342" w:lineRule="auto"/>
        <w:tabs>
          <w:tab w:leader="none" w:pos="1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the acquisition of Caesars and future development and acquisition opportunities; and</w:t>
      </w:r>
    </w:p>
    <w:p>
      <w:pPr>
        <w:spacing w:after="0" w:line="182"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achieved. Undue reliance should not be placed on any forward-looking statements. Some of the contingencies and uncertainties to which any forward-looking statement contained herein are subject include, but are not limited to, the following:</w:t>
      </w:r>
    </w:p>
    <w:p>
      <w:pPr>
        <w:spacing w:after="0" w:line="116" w:lineRule="exact"/>
        <w:rPr>
          <w:sz w:val="20"/>
          <w:szCs w:val="20"/>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duration of the impact of the global COVID-19 public health emergency on the Company’s business, financial results and liquidity;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of closure of our properties, which we cannot predict at this time;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and cost of new operating procedures expected to be implemented upon re-opening of the Company’s casinos;</w:t>
      </w:r>
    </w:p>
    <w:p>
      <w:pPr>
        <w:spacing w:after="0" w:line="171"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actions we have undertaken to reduce costs and improve efficiencies to mitigate losses as a result of the COVID-19 public health emergency, which could negatively impact guest loyalty and our ability to attract and retain our employees;</w:t>
      </w:r>
    </w:p>
    <w:p>
      <w:pPr>
        <w:spacing w:after="0" w:line="92"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and resulting unemployment and changes in general economic conditions on discretionary consumer spending and customer demand;</w:t>
      </w:r>
    </w:p>
    <w:p>
      <w:pPr>
        <w:spacing w:after="0" w:line="116"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our lease arrangements, could adversely affect our results of operations and our ability to service such obligations, react to changes in our markets and pursue development and acquisition opportunities;</w:t>
      </w:r>
    </w:p>
    <w:p>
      <w:pPr>
        <w:spacing w:after="0" w:line="129"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and leased properties could significantly affect our ability to operate our business and our liquidity;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GLPI Master Lease;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operational, regulatory or other potential challenges that may arise as a result of leasing of a number of our properties;</w:t>
      </w:r>
    </w:p>
    <w:p>
      <w:pPr>
        <w:spacing w:after="0" w:line="182" w:lineRule="exact"/>
        <w:rPr>
          <w:rFonts w:ascii="Arial" w:cs="Arial" w:eastAsia="Arial" w:hAnsi="Arial"/>
          <w:sz w:val="17"/>
          <w:szCs w:val="17"/>
          <w:color w:val="auto"/>
        </w:rPr>
      </w:pPr>
    </w:p>
    <w:p>
      <w:pPr>
        <w:ind w:left="1300" w:right="2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116"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lease arrangements;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war, terrorist activity, acts of violence, natural disasters, public health emergencies and other catastrophic events;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2019. There have been no material changes to those risk factors during the six months ended June 30, 2020, except for the following additional risk factors related to the impact of COVID-19 and the Merger.</w:t>
      </w:r>
    </w:p>
    <w:p>
      <w:pPr>
        <w:spacing w:after="0" w:line="13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The outbreak of COVID-19 has impacted our operations and caused an economic downturn, widespread unemployment and an adverse impact on consumer sentiment. Such negative impacts could continue for an extended period of time and may worsen.</w:t>
      </w:r>
    </w:p>
    <w:p>
      <w:pPr>
        <w:spacing w:after="0" w:line="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March 13, 2020, in response to the coronavirus public health emergency the U.S. government declared a national state of emergency. In an effort to help control the spread of COVID-19, public health officials imposed or recommended various measures, including social distancing, quarantine and stay-at- home or shelter-in-place directives, limitations on the size of gatherings, closures of work facilities, schools, public buildings and businesses, and cancellation of events, including sporting events, concerts, conferences and meetings. As a result of orders issued by governmental authorities in the states in which our properties, all of our properties were closed beginning on March 18, 2020. While our properties have reopened, our operations, financial results and cash flows have been affected by social distancing measures, including reduced gaming operations arising from the reconfiguration of our gaming floor, limitations on the number of customers present in our facilities, implementation of additional health and safety measures, restrictions on hotel, food and beverage outlets and limits on concerts, conventions or special events that would otherwise attract customers to our properties. We expect that our operations will continue to be impacted by such restrictions for the foreseeable future. In addition, our operations, financial results and cash flows would be further adversely affected by the implementation or extension of new or existing restrictions, including reinstatement of shelter-in-place requirements or additional restrictions on travel and business operations. The implementation of stay-at-home or additional social distancing and mitigation measures in response to COVID-19 or other public health emergencies could cause future closures of all or a portion of our properties, which would adversely affect operations, financial results and cash flows.</w:t>
      </w:r>
    </w:p>
    <w:p>
      <w:pPr>
        <w:spacing w:after="0" w:line="3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COVID-19 has materially adversely affected the economy and financial markets of the United States and the world and has resulted in widespread unemployment in the United States. Consumer demand for casino hotel and racetrack properties such as ours is particularly sensitive to downturns in the economy, unemployment and the associated impact on discretionary spending on leisure activities which bring demand for casino hotel properties such as ours. Reduced customer demand could result in lower occupancy rates, reduced visitation and additional disruptions in our casino business. The extent of changes in customer demand resulting from the economic downturn, widespread unemployment, reduced consumer confidence and consumer fears on our properties cannot reasonably be determined, but the impact of such factors may be significant and protracted.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foregoing, we cannot predict the ultimate scope, duration and impact of the COVID-19 public health emergency, but we expect that it will continue to have a material impact on our business, financial condition, liquidity, results of operations (including revenues and profitability) and stock price for an extended period of time. The impact of the COVID-19 public health emergency may also have the effect of exacerbating many of the other risks described in our Annual Report on Form 10-K for the year ended December 31,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undertaken aggressive actions to reduce costs and improve efficiencies to mitigate losses as a result of the COVID-19 public health emergency, which could negatively impact guest loyalty and our ability to attract and retain employees.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closure of all of our properties and the continued uncertainty regarding the duration and severity of this public health emergency, we have taken steps to reduce operating costs and improve efficiencies, including furloughing approximately 90% our employees while our casinos were closed. Such steps, and further changes we may make in the future to reduce costs, may negatively impact guest loyalty or our ability to attract and retain employees, and our reputation may suffer as a result. While a significant number of our employees returned to work once our casinos reopened, our operations continue to be affected by COVID-19 and our full work force has not returned. If our furloughed employees do not return to work with us when the COVID-19 public health emergency subsides, including because they find new employment during the furlough, we may experience operational challenges that may impact our ability to resume operations in full. We may also face demands or requests from labor unions that represent our employees, whether in the course of our periodic renegotiation of our collective bargaining agreements, for additional health and safety measures, compensation, healthcare benefits or other terms as a result of COVID-19 that could increase costs, and we could experience labor disputes or disruptions as we continue to implement our COVID-19 mitigation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20" w:type="dxa"/>
            <w:vAlign w:val="bottom"/>
            <w:gridSpan w:val="12"/>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2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60" w:type="dxa"/>
            <w:vAlign w:val="bottom"/>
            <w:tcBorders>
              <w:top w:val="single" w:sz="8" w:color="auto"/>
              <w:bottom w:val="single" w:sz="8" w:color="0000FF"/>
            </w:tcBorders>
            <w:gridSpan w:val="9"/>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Second Amendment to Amended and Restated Commitment Letter, dated as of June 15, 2020, by and among</w:t>
              </w:r>
            </w:hyperlink>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gridSpan w:val="15"/>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Eldorado Resorts, Inc., JPMorgan Chase Bank, N.A., Credit Suisse AG, Cayman Islands Branch, Credit Suisse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Loan Funding LLC, Macquarie Capital Funding LLC, Macquarie Capital (USA) Inc., Bank of America, 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BofA Securities, Inc., Deutsche Bank Securities Inc., Deutsche Bank AG, New York Branch, Deutsche Bank</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gridSpan w:val="15"/>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AG Cayman Islands Branch, Goldman Sachs Bank USA, Trust Bank, SunTrust Robinson Humphrey, Inc., U.S.</w:t>
              </w:r>
            </w:hyperlink>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60" w:type="dxa"/>
            <w:vAlign w:val="bottom"/>
            <w:tcBorders>
              <w:top w:val="single" w:sz="8" w:color="0000FF"/>
            </w:tcBorders>
            <w:gridSpan w:val="14"/>
          </w:tcPr>
          <w:p>
            <w:pPr>
              <w:spacing w:after="0" w:line="142" w:lineRule="exact"/>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Bank National Association, KeyBank National Association, KeyBanc Capital Markets Inc., Fifth Third Bank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80" w:type="dxa"/>
            <w:vAlign w:val="bottom"/>
            <w:gridSpan w:val="15"/>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and Citizens Bank, National Association.</w:t>
              </w:r>
            </w:hyperlink>
          </w:p>
        </w:tc>
        <w:tc>
          <w:tcPr>
            <w:tcW w:w="0" w:type="dxa"/>
            <w:vAlign w:val="bottom"/>
          </w:tcPr>
          <w:p>
            <w:pPr>
              <w:spacing w:after="0"/>
              <w:rPr>
                <w:sz w:val="1"/>
                <w:szCs w:val="1"/>
                <w:color w:val="auto"/>
              </w:rPr>
            </w:pPr>
          </w:p>
        </w:tc>
      </w:tr>
      <w:tr>
        <w:trPr>
          <w:trHeight w:val="242"/>
        </w:trPr>
        <w:tc>
          <w:tcPr>
            <w:tcW w:w="780" w:type="dxa"/>
            <w:vAlign w:val="bottom"/>
          </w:tcPr>
          <w:p>
            <w:pPr>
              <w:ind w:lef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60" w:type="dxa"/>
            <w:vAlign w:val="bottom"/>
            <w:tcBorders>
              <w:bottom w:val="single" w:sz="8" w:color="0000FF"/>
            </w:tcBorders>
            <w:gridSpan w:val="7"/>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Additional Revolving Commitment Side Letter, dated as of June 15, 2020, by and among Eldorado Resorts,</w:t>
              </w:r>
            </w:hyperlink>
          </w:p>
        </w:tc>
        <w:tc>
          <w:tcPr>
            <w:tcW w:w="26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gridSpan w:val="7"/>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Inc., JPMorgan Chase Bank, N.A., Credit Suisse AG, Cayman Islands Branch, Credit Suisse Loan Funding</w:t>
              </w:r>
            </w:hyperlink>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tcBorders>
            <w:gridSpan w:val="6"/>
          </w:tcPr>
          <w:p>
            <w:pPr>
              <w:spacing w:after="0" w:line="15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LLC, Deutsche Bank AG, New York Branch, Bank of America, N.A., Citizens Bank, National Association</w:t>
              </w:r>
            </w:hyperlink>
          </w:p>
        </w:tc>
        <w:tc>
          <w:tcPr>
            <w:tcW w:w="360" w:type="dxa"/>
            <w:vAlign w:val="bottom"/>
            <w:gridSpan w:val="9"/>
          </w:tcPr>
          <w:p>
            <w:pPr>
              <w:ind w:left="20"/>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Goldman Sachs Lending Partners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ind w:lef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40" w:type="dxa"/>
            <w:vAlign w:val="bottom"/>
            <w:tcBorders>
              <w:bottom w:val="single" w:sz="8" w:color="0000FF"/>
            </w:tcBorders>
            <w:gridSpan w:val="4"/>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Amendment No. 4, dated as of June 15, 2020, by and among Eldorado Resorts, Inc., the guarantors party</w:t>
              </w:r>
            </w:hyperlink>
          </w:p>
        </w:tc>
        <w:tc>
          <w:tcPr>
            <w:tcW w:w="160" w:type="dxa"/>
            <w:vAlign w:val="bottom"/>
          </w:tcPr>
          <w:p>
            <w:pPr>
              <w:spacing w:after="0"/>
              <w:rPr>
                <w:sz w:val="22"/>
                <w:szCs w:val="22"/>
                <w:color w:val="auto"/>
              </w:rPr>
            </w:pPr>
          </w:p>
        </w:tc>
        <w:tc>
          <w:tcPr>
            <w:tcW w:w="340" w:type="dxa"/>
            <w:vAlign w:val="bottom"/>
            <w:gridSpan w:val="8"/>
          </w:tcPr>
          <w:p>
            <w:pPr>
              <w:spacing w:after="0"/>
              <w:rPr>
                <w:sz w:val="22"/>
                <w:szCs w:val="22"/>
                <w:color w:val="auto"/>
              </w:rPr>
            </w:pP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gridSpan w:val="15"/>
          </w:tcPr>
          <w:p>
            <w:pPr>
              <w:spacing w:after="0" w:line="15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thereto, the lenders party thereto and JPMorgan Chase N.A., as administrative agent in connection with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Credit Agreement dated as of April 17, 2017.</w:t>
              </w:r>
            </w:hyperlink>
          </w:p>
        </w:tc>
        <w:tc>
          <w:tcPr>
            <w:tcW w:w="3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ind w:lef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80" w:type="dxa"/>
            <w:vAlign w:val="bottom"/>
            <w:gridSpan w:val="15"/>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Amended and Restated Master Lease, dated as of June 15, 2020, by and between Tropicana Entertainment, Inc.</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and GLP Capital L.P.</w:t>
              </w:r>
            </w:hyperlink>
          </w:p>
        </w:tc>
        <w:tc>
          <w:tcPr>
            <w:tcW w:w="65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780" w:type="dxa"/>
            <w:vAlign w:val="bottom"/>
          </w:tcPr>
          <w:p>
            <w:pPr>
              <w:ind w:lef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Thomas R. Reeg pursuant to Rule 13a-14a and Rule 15d-14(a)</w:t>
              </w:r>
            </w:hyperlink>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of Bret Yunker pursuant to Rule 13a-14a and Rule 15d-14(a)</w:t>
              </w:r>
            </w:hyperlink>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Thomas R. Reeg in accordance with 18 U.S.C. Section 1350</w:t>
              </w:r>
            </w:hyperlink>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of Bret Yunker in accordance with 18 U.S.C. Section 1350</w:t>
              </w:r>
            </w:hyperlink>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00" w:hanging="87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56832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1354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Previously filed on Form 8-K filed on June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Previously filed on Form 8-K filed on June 15, 2020.</w:t>
      </w:r>
    </w:p>
    <w:p>
      <w:pPr>
        <w:spacing w:after="0" w:line="3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Previously filed on Form 8-K filed on June 15, 2020.</w:t>
      </w: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Previously filed on Form 8-K filed on June 15,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13544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ectPr>
          <w:pgSz w:w="11900" w:h="16838" w:orient="portrait"/>
          <w:cols w:equalWidth="0" w:num="2">
            <w:col w:w="8960" w:space="120"/>
            <w:col w:w="2000"/>
          </w:cols>
          <w:pgMar w:left="320" w:top="1215" w:right="49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175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7"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17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7"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8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23056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23056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2305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23056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endash "/>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amp;"/>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5"/>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4" Type="http://schemas.openxmlformats.org/officeDocument/2006/relationships/hyperlink" Target="http://www.sec.gov/Archives/edgar/data/1590895/000119312520169324/d943694dex101.htm" TargetMode="External"/><Relationship Id="rId75" Type="http://schemas.openxmlformats.org/officeDocument/2006/relationships/hyperlink" Target="http://www.sec.gov/Archives/edgar/data/1590895/000119312520169324/d943694dex102.htm" TargetMode="External"/><Relationship Id="rId76" Type="http://schemas.openxmlformats.org/officeDocument/2006/relationships/hyperlink" Target="http://www.sec.gov/Archives/edgar/data/1590895/000119312520169324/d943694dex103.htm" TargetMode="External"/><Relationship Id="rId77" Type="http://schemas.openxmlformats.org/officeDocument/2006/relationships/hyperlink" Target="http://www.sec.gov/Archives/edgar/data/1590895/000119312520169324/d94369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2020-08-06T16:40:05Z</dcterms:created>
  <dcterms:modified xsi:type="dcterms:W3CDTF">2020-08-06T16:40:05Z</dcterms:modified>
</cp:coreProperties>
</file>