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right="1780" w:hanging="5687"/>
        <w:spacing w:after="0" w:line="402" w:lineRule="auto"/>
        <w:rPr>
          <w:sz w:val="20"/>
          <w:szCs w:val="20"/>
          <w:color w:val="auto"/>
        </w:rPr>
      </w:pPr>
      <w:r>
        <w:rPr>
          <w:rFonts w:ascii="Courier New" w:cs="Courier New" w:eastAsia="Courier New" w:hAnsi="Courier New"/>
          <w:sz w:val="16"/>
          <w:szCs w:val="16"/>
          <w:color w:val="auto"/>
        </w:rPr>
        <w:t>As filed with the Securities and Exchange Commission on June 6, 1995 Registration No. 33-</w:t>
      </w:r>
    </w:p>
    <w:p>
      <w:pPr>
        <w:spacing w:after="0" w:line="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FORM S-8</w:t>
      </w:r>
    </w:p>
    <w:p>
      <w:pPr>
        <w:jc w:val="center"/>
        <w:ind w:right="1780"/>
        <w:spacing w:after="0" w:line="238" w:lineRule="auto"/>
        <w:rPr>
          <w:sz w:val="20"/>
          <w:szCs w:val="20"/>
          <w:color w:val="auto"/>
        </w:rPr>
      </w:pPr>
      <w:r>
        <w:rPr>
          <w:rFonts w:ascii="Courier New" w:cs="Courier New" w:eastAsia="Courier New" w:hAnsi="Courier New"/>
          <w:sz w:val="18"/>
          <w:szCs w:val="18"/>
          <w:color w:val="auto"/>
        </w:rPr>
        <w:t>REGISTRATION STATEMENT</w:t>
      </w:r>
    </w:p>
    <w:tbl>
      <w:tblPr>
        <w:tblLayout w:type="fixed"/>
        <w:tblInd w:w="0" w:type="dxa"/>
        <w:tblCellMar>
          <w:top w:w="0" w:type="dxa"/>
          <w:left w:w="0" w:type="dxa"/>
          <w:bottom w:w="0" w:type="dxa"/>
          <w:right w:w="0" w:type="dxa"/>
        </w:tblCellMar>
      </w:tblPr>
      <w:tr>
        <w:trPr>
          <w:trHeight w:val="171"/>
        </w:trPr>
        <w:tc>
          <w:tcPr>
            <w:tcW w:w="6220" w:type="dxa"/>
            <w:vAlign w:val="bottom"/>
          </w:tcPr>
          <w:p>
            <w:pPr>
              <w:ind w:left="4020"/>
              <w:spacing w:after="0" w:line="171" w:lineRule="exact"/>
              <w:rPr>
                <w:sz w:val="20"/>
                <w:szCs w:val="20"/>
                <w:color w:val="auto"/>
              </w:rPr>
            </w:pPr>
            <w:r>
              <w:rPr>
                <w:rFonts w:ascii="Courier New" w:cs="Courier New" w:eastAsia="Courier New" w:hAnsi="Courier New"/>
                <w:sz w:val="18"/>
                <w:szCs w:val="18"/>
                <w:color w:val="auto"/>
              </w:rPr>
              <w:t>Under</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6220" w:type="dxa"/>
            <w:vAlign w:val="bottom"/>
          </w:tcPr>
          <w:p>
            <w:pPr>
              <w:jc w:val="center"/>
              <w:ind w:left="2152"/>
              <w:spacing w:after="0"/>
              <w:rPr>
                <w:sz w:val="20"/>
                <w:szCs w:val="20"/>
                <w:color w:val="auto"/>
              </w:rPr>
            </w:pPr>
            <w:r>
              <w:rPr>
                <w:rFonts w:ascii="Courier New" w:cs="Courier New" w:eastAsia="Courier New" w:hAnsi="Courier New"/>
                <w:sz w:val="18"/>
                <w:szCs w:val="18"/>
                <w:color w:val="auto"/>
                <w:w w:val="97"/>
              </w:rPr>
              <w:t>The Securities Act of 1933</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220" w:type="dxa"/>
            <w:vAlign w:val="bottom"/>
          </w:tcPr>
          <w:p>
            <w:pPr>
              <w:jc w:val="center"/>
              <w:ind w:left="2132"/>
              <w:spacing w:after="0"/>
              <w:rPr>
                <w:sz w:val="20"/>
                <w:szCs w:val="20"/>
                <w:color w:val="auto"/>
              </w:rPr>
            </w:pPr>
            <w:r>
              <w:rPr>
                <w:rFonts w:ascii="Courier New" w:cs="Courier New" w:eastAsia="Courier New" w:hAnsi="Courier New"/>
                <w:sz w:val="18"/>
                <w:szCs w:val="18"/>
                <w:color w:val="auto"/>
                <w:w w:val="96"/>
              </w:rPr>
              <w: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THE PROMUS COMPANIES INCORPORATED</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0" w:type="dxa"/>
            <w:vAlign w:val="bottom"/>
          </w:tcPr>
          <w:p>
            <w:pPr>
              <w:spacing w:after="0"/>
              <w:rPr>
                <w:sz w:val="1"/>
                <w:szCs w:val="1"/>
                <w:color w:val="auto"/>
              </w:rPr>
            </w:pPr>
          </w:p>
        </w:tc>
      </w:tr>
      <w:tr>
        <w:trPr>
          <w:trHeight w:val="203"/>
        </w:trPr>
        <w:tc>
          <w:tcPr>
            <w:tcW w:w="6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DELAWARE</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62-1411755</w:t>
            </w:r>
          </w:p>
        </w:tc>
        <w:tc>
          <w:tcPr>
            <w:tcW w:w="0" w:type="dxa"/>
            <w:vAlign w:val="bottom"/>
          </w:tcPr>
          <w:p>
            <w:pPr>
              <w:spacing w:after="0"/>
              <w:rPr>
                <w:sz w:val="1"/>
                <w:szCs w:val="1"/>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6220" w:type="dxa"/>
            <w:vAlign w:val="bottom"/>
          </w:tcPr>
          <w:p>
            <w:pPr>
              <w:spacing w:after="0"/>
              <w:rPr>
                <w:sz w:val="20"/>
                <w:szCs w:val="20"/>
                <w:color w:val="auto"/>
              </w:rPr>
            </w:pPr>
            <w:r>
              <w:rPr>
                <w:rFonts w:ascii="Courier New" w:cs="Courier New" w:eastAsia="Courier New" w:hAnsi="Courier New"/>
                <w:sz w:val="18"/>
                <w:szCs w:val="18"/>
                <w:color w:val="auto"/>
              </w:rPr>
              <w:t>of incorporation or organization)</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311"/>
        </w:trPr>
        <w:tc>
          <w:tcPr>
            <w:tcW w:w="6220" w:type="dxa"/>
            <w:vAlign w:val="bottom"/>
          </w:tcPr>
          <w:p>
            <w:pPr>
              <w:ind w:left="120"/>
              <w:spacing w:after="0"/>
              <w:rPr>
                <w:sz w:val="20"/>
                <w:szCs w:val="20"/>
                <w:color w:val="auto"/>
              </w:rPr>
            </w:pPr>
            <w:r>
              <w:rPr>
                <w:rFonts w:ascii="Courier New" w:cs="Courier New" w:eastAsia="Courier New" w:hAnsi="Courier New"/>
                <w:sz w:val="18"/>
                <w:szCs w:val="18"/>
                <w:color w:val="auto"/>
              </w:rPr>
              <w:t>1023 Cherry Road</w:t>
            </w:r>
          </w:p>
        </w:tc>
        <w:tc>
          <w:tcPr>
            <w:tcW w:w="22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38117</w:t>
            </w:r>
          </w:p>
        </w:tc>
        <w:tc>
          <w:tcPr>
            <w:tcW w:w="0" w:type="dxa"/>
            <w:vAlign w:val="bottom"/>
          </w:tcPr>
          <w:p>
            <w:pPr>
              <w:spacing w:after="0"/>
              <w:rPr>
                <w:sz w:val="1"/>
                <w:szCs w:val="1"/>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Memphis, Tennessee</w:t>
            </w: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220" w:type="dxa"/>
            <w:vAlign w:val="bottom"/>
          </w:tcPr>
          <w:p>
            <w:pPr>
              <w:spacing w:after="0"/>
              <w:rPr>
                <w:sz w:val="20"/>
                <w:szCs w:val="20"/>
                <w:color w:val="auto"/>
              </w:rPr>
            </w:pPr>
            <w:r>
              <w:rPr>
                <w:rFonts w:ascii="Courier New" w:cs="Courier New" w:eastAsia="Courier New" w:hAnsi="Courier New"/>
                <w:sz w:val="18"/>
                <w:szCs w:val="18"/>
                <w:color w:val="auto"/>
              </w:rPr>
              <w:t>(Address of principal executive offices)</w:t>
            </w: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THE PROMUS COMPANIES INCORPORATED 1990 STOCK OPTION PLAN</w:t>
      </w:r>
    </w:p>
    <w:p>
      <w:pPr>
        <w:spacing w:after="0" w:line="31" w:lineRule="exact"/>
        <w:rPr>
          <w:sz w:val="24"/>
          <w:szCs w:val="24"/>
          <w:color w:val="auto"/>
        </w:rPr>
      </w:pPr>
    </w:p>
    <w:p>
      <w:pPr>
        <w:jc w:val="center"/>
        <w:ind w:right="1780"/>
        <w:spacing w:after="0"/>
        <w:rPr>
          <w:sz w:val="20"/>
          <w:szCs w:val="20"/>
          <w:color w:val="auto"/>
        </w:rPr>
      </w:pPr>
      <w:r>
        <w:rPr>
          <w:rFonts w:ascii="Courier New" w:cs="Courier New" w:eastAsia="Courier New" w:hAnsi="Courier New"/>
          <w:sz w:val="18"/>
          <w:szCs w:val="18"/>
          <w:color w:val="auto"/>
        </w:rPr>
        <w:t>(Full Title of the Plan)</w:t>
      </w:r>
    </w:p>
    <w:p>
      <w:pPr>
        <w:spacing w:after="0" w:line="37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jc w:val="center"/>
        <w:ind w:right="1880"/>
        <w:spacing w:after="0"/>
        <w:rPr>
          <w:sz w:val="20"/>
          <w:szCs w:val="20"/>
          <w:color w:val="auto"/>
        </w:rPr>
      </w:pPr>
      <w:r>
        <w:rPr>
          <w:rFonts w:ascii="Courier New" w:cs="Courier New" w:eastAsia="Courier New" w:hAnsi="Courier New"/>
          <w:sz w:val="18"/>
          <w:szCs w:val="18"/>
          <w:color w:val="auto"/>
        </w:rPr>
        <w:t>E. O. Robinson, Jr.</w:t>
      </w:r>
    </w:p>
    <w:p>
      <w:pPr>
        <w:jc w:val="center"/>
        <w:ind w:right="1780"/>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680"/>
        <w:spacing w:after="0"/>
        <w:rPr>
          <w:sz w:val="20"/>
          <w:szCs w:val="20"/>
          <w:color w:val="auto"/>
        </w:rPr>
      </w:pPr>
      <w:r>
        <w:rPr>
          <w:rFonts w:ascii="Courier New" w:cs="Courier New" w:eastAsia="Courier New" w:hAnsi="Courier New"/>
          <w:sz w:val="18"/>
          <w:szCs w:val="18"/>
          <w:color w:val="auto"/>
        </w:rPr>
        <w:t>The Promus Companies Incorporated</w:t>
      </w: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480" w:type="dxa"/>
            <w:vAlign w:val="bottom"/>
            <w:gridSpan w:val="2"/>
          </w:tcPr>
          <w:p>
            <w:pPr>
              <w:jc w:val="right"/>
              <w:ind w:right="1232"/>
              <w:spacing w:after="0" w:line="170" w:lineRule="exact"/>
              <w:rPr>
                <w:sz w:val="20"/>
                <w:szCs w:val="20"/>
                <w:color w:val="auto"/>
              </w:rPr>
            </w:pPr>
            <w:r>
              <w:rPr>
                <w:rFonts w:ascii="Courier New" w:cs="Courier New" w:eastAsia="Courier New" w:hAnsi="Courier New"/>
                <w:sz w:val="18"/>
                <w:szCs w:val="18"/>
                <w:color w:val="auto"/>
              </w:rPr>
              <w:t>1023 Cherry Road</w:t>
            </w:r>
          </w:p>
        </w:tc>
        <w:tc>
          <w:tcPr>
            <w:tcW w:w="2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Memphis, Tennessee</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38117</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348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(901) 762-8600</w:t>
            </w:r>
          </w:p>
        </w:tc>
        <w:tc>
          <w:tcPr>
            <w:tcW w:w="2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80" w:type="dxa"/>
            <w:vAlign w:val="bottom"/>
            <w:gridSpan w:val="4"/>
          </w:tcPr>
          <w:p>
            <w:pPr>
              <w:ind w:left="1580"/>
              <w:spacing w:after="0" w:line="203" w:lineRule="exact"/>
              <w:rPr>
                <w:sz w:val="20"/>
                <w:szCs w:val="20"/>
                <w:color w:val="auto"/>
              </w:rPr>
            </w:pPr>
            <w:r>
              <w:rPr>
                <w:rFonts w:ascii="Courier New" w:cs="Courier New" w:eastAsia="Courier New" w:hAnsi="Courier New"/>
                <w:sz w:val="18"/>
                <w:szCs w:val="18"/>
                <w:color w:val="auto"/>
              </w:rPr>
              <w:t>(Name, address, including zip code, and telephone</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48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number,including area code, of agent for service)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900" w:type="dxa"/>
            <w:vAlign w:val="bottom"/>
          </w:tcPr>
          <w:p>
            <w:pPr>
              <w:spacing w:after="0"/>
              <w:rPr>
                <w:sz w:val="24"/>
                <w:szCs w:val="24"/>
                <w:color w:val="auto"/>
              </w:rPr>
            </w:pPr>
          </w:p>
        </w:tc>
        <w:tc>
          <w:tcPr>
            <w:tcW w:w="348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80" w:type="dxa"/>
            <w:vAlign w:val="bottom"/>
            <w:gridSpan w:val="3"/>
          </w:tcPr>
          <w:p>
            <w:pPr>
              <w:jc w:val="center"/>
              <w:ind w:left="2072"/>
              <w:spacing w:after="0"/>
              <w:rPr>
                <w:sz w:val="20"/>
                <w:szCs w:val="20"/>
                <w:color w:val="auto"/>
              </w:rPr>
            </w:pPr>
            <w:r>
              <w:rPr>
                <w:rFonts w:ascii="Courier New" w:cs="Courier New" w:eastAsia="Courier New" w:hAnsi="Courier New"/>
                <w:sz w:val="18"/>
                <w:szCs w:val="18"/>
                <w:color w:val="auto"/>
                <w:w w:val="97"/>
              </w:rPr>
              <w:t>Calculation of Registration Fee</w:t>
            </w: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tcPr>
          <w:p>
            <w:pPr>
              <w:spacing w:after="0"/>
              <w:rPr>
                <w:sz w:val="24"/>
                <w:szCs w:val="24"/>
                <w:color w:val="auto"/>
              </w:rPr>
            </w:pPr>
          </w:p>
        </w:tc>
        <w:tc>
          <w:tcPr>
            <w:tcW w:w="19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Amount</w:t>
            </w:r>
          </w:p>
        </w:tc>
        <w:tc>
          <w:tcPr>
            <w:tcW w:w="15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Proposed</w:t>
            </w:r>
          </w:p>
        </w:tc>
        <w:tc>
          <w:tcPr>
            <w:tcW w:w="2100" w:type="dxa"/>
            <w:vAlign w:val="bottom"/>
          </w:tcPr>
          <w:p>
            <w:pPr>
              <w:ind w:left="480"/>
              <w:spacing w:after="0"/>
              <w:rPr>
                <w:sz w:val="20"/>
                <w:szCs w:val="20"/>
                <w:color w:val="auto"/>
              </w:rPr>
            </w:pPr>
            <w:r>
              <w:rPr>
                <w:rFonts w:ascii="Courier New" w:cs="Courier New" w:eastAsia="Courier New" w:hAnsi="Courier New"/>
                <w:sz w:val="18"/>
                <w:szCs w:val="18"/>
                <w:color w:val="auto"/>
              </w:rPr>
              <w:t>Proposed</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210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7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2900" w:type="dxa"/>
            <w:vAlign w:val="bottom"/>
            <w:vMerge w:val="restart"/>
          </w:tcPr>
          <w:p>
            <w:pPr>
              <w:spacing w:after="0"/>
              <w:rPr>
                <w:sz w:val="20"/>
                <w:szCs w:val="20"/>
                <w:color w:val="auto"/>
              </w:rPr>
            </w:pPr>
            <w:r>
              <w:rPr>
                <w:rFonts w:ascii="Courier New" w:cs="Courier New" w:eastAsia="Courier New" w:hAnsi="Courier New"/>
                <w:sz w:val="18"/>
                <w:szCs w:val="18"/>
                <w:color w:val="auto"/>
              </w:rPr>
              <w:t>Title of Each Class of</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of Shares</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21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Aggregate</w:t>
            </w: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vMerge w:val="continue"/>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to be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Offering Price</w:t>
            </w:r>
          </w:p>
        </w:tc>
        <w:tc>
          <w:tcPr>
            <w:tcW w:w="2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Securities to be Registered</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Registered (1)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Per Share (2)</w:t>
            </w:r>
          </w:p>
        </w:tc>
        <w:tc>
          <w:tcPr>
            <w:tcW w:w="21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Price (2)</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Fee</w:t>
            </w:r>
          </w:p>
        </w:tc>
        <w:tc>
          <w:tcPr>
            <w:tcW w:w="0" w:type="dxa"/>
            <w:vAlign w:val="bottom"/>
          </w:tcPr>
          <w:p>
            <w:pPr>
              <w:spacing w:after="0"/>
              <w:rPr>
                <w:sz w:val="1"/>
                <w:szCs w:val="1"/>
                <w:color w:val="auto"/>
              </w:rPr>
            </w:pPr>
          </w:p>
        </w:tc>
      </w:tr>
      <w:tr>
        <w:trPr>
          <w:trHeight w:val="51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96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4,500,000</w:t>
            </w:r>
          </w:p>
        </w:tc>
        <w:tc>
          <w:tcPr>
            <w:tcW w:w="15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$42.0625</w:t>
            </w:r>
          </w:p>
        </w:tc>
        <w:tc>
          <w:tcPr>
            <w:tcW w:w="2100" w:type="dxa"/>
            <w:vAlign w:val="bottom"/>
            <w:vMerge w:val="restart"/>
          </w:tcPr>
          <w:p>
            <w:pPr>
              <w:jc w:val="center"/>
              <w:ind w:right="312"/>
              <w:spacing w:after="0"/>
              <w:rPr>
                <w:sz w:val="20"/>
                <w:szCs w:val="20"/>
                <w:color w:val="auto"/>
              </w:rPr>
            </w:pPr>
            <w:r>
              <w:rPr>
                <w:rFonts w:ascii="Courier New" w:cs="Courier New" w:eastAsia="Courier New" w:hAnsi="Courier New"/>
                <w:sz w:val="18"/>
                <w:szCs w:val="18"/>
                <w:color w:val="auto"/>
                <w:w w:val="97"/>
              </w:rPr>
              <w:t>$189,281,250.00</w:t>
            </w:r>
          </w:p>
        </w:tc>
        <w:tc>
          <w:tcPr>
            <w:tcW w:w="17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$65,269.40</w:t>
            </w:r>
          </w:p>
        </w:tc>
        <w:tc>
          <w:tcPr>
            <w:tcW w:w="0" w:type="dxa"/>
            <w:vAlign w:val="bottom"/>
          </w:tcPr>
          <w:p>
            <w:pPr>
              <w:spacing w:after="0"/>
              <w:rPr>
                <w:sz w:val="1"/>
                <w:szCs w:val="1"/>
                <w:color w:val="auto"/>
              </w:rPr>
            </w:pPr>
          </w:p>
        </w:tc>
      </w:tr>
      <w:tr>
        <w:trPr>
          <w:trHeight w:val="296"/>
        </w:trPr>
        <w:tc>
          <w:tcPr>
            <w:tcW w:w="2900" w:type="dxa"/>
            <w:vAlign w:val="bottom"/>
          </w:tcPr>
          <w:p>
            <w:pPr>
              <w:spacing w:after="0"/>
              <w:rPr>
                <w:sz w:val="20"/>
                <w:szCs w:val="20"/>
                <w:color w:val="auto"/>
              </w:rPr>
            </w:pPr>
            <w:r>
              <w:rPr>
                <w:rFonts w:ascii="Courier New" w:cs="Courier New" w:eastAsia="Courier New" w:hAnsi="Courier New"/>
                <w:sz w:val="18"/>
                <w:szCs w:val="18"/>
                <w:color w:val="auto"/>
              </w:rPr>
              <w:t>$0.10 par value</w:t>
            </w:r>
          </w:p>
        </w:tc>
        <w:tc>
          <w:tcPr>
            <w:tcW w:w="196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4" w:lineRule="exact"/>
        <w:rPr>
          <w:sz w:val="24"/>
          <w:szCs w:val="24"/>
          <w:color w:val="auto"/>
        </w:rPr>
      </w:pPr>
    </w:p>
    <w:p>
      <w:pPr>
        <w:ind w:left="1060" w:right="1780" w:hanging="1052"/>
        <w:spacing w:after="0" w:line="281"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Promus Companies Incorporated 1990 Stock Option Plan, as amended, (the "Plan") authorizes the issuance of a maximum of 7,200,000 shares (including the 4,500,000 shares being registered hereunder) of Common Stock of The Promus Companies Incorporated (the "Company"), plus reissuances of shares cancelled under the Plan, plus options to purchase such shares and adjustments to such shares or options to account for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issuance of warrants to purchase Common Stock or other securities of the Company, or other similar transaction or event.</w:t>
      </w:r>
    </w:p>
    <w:p>
      <w:pPr>
        <w:spacing w:after="0" w:line="289" w:lineRule="exact"/>
        <w:rPr>
          <w:rFonts w:ascii="Courier New" w:cs="Courier New" w:eastAsia="Courier New" w:hAnsi="Courier New"/>
          <w:sz w:val="16"/>
          <w:szCs w:val="16"/>
          <w:color w:val="auto"/>
        </w:rPr>
      </w:pPr>
    </w:p>
    <w:p>
      <w:pPr>
        <w:ind w:left="1060" w:right="1880" w:hanging="1052"/>
        <w:spacing w:after="0" w:line="274"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computing the registration fee only, pursuant to Rule 457(h), the Proposed Maximum Offering Price Per Share is based upon the average of the high and low prices reported on the New York Stock Exchange on June 1, 1995.</w:t>
      </w:r>
    </w:p>
    <w:p>
      <w:pPr>
        <w:spacing w:after="0" w:line="8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19 pages.</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Exhibit Index appears on page 8.</w:t>
      </w:r>
    </w:p>
    <w:p>
      <w:pPr>
        <w:sectPr>
          <w:pgSz w:w="11900" w:h="16838" w:orient="portrait"/>
          <w:cols w:equalWidth="0" w:num="1">
            <w:col w:w="10220"/>
          </w:cols>
          <w:pgMar w:left="240" w:top="826" w:right="1439" w:bottom="0" w:gutter="0" w:footer="0" w:header="0"/>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following documents are incorporated herein by reference:</w:t>
      </w:r>
    </w:p>
    <w:p>
      <w:pPr>
        <w:spacing w:after="0" w:line="201" w:lineRule="exact"/>
        <w:rPr>
          <w:sz w:val="20"/>
          <w:szCs w:val="20"/>
          <w:color w:val="auto"/>
        </w:rPr>
      </w:pPr>
    </w:p>
    <w:p>
      <w:pPr>
        <w:jc w:val="both"/>
        <w:ind w:left="1580" w:right="1779" w:hanging="519"/>
        <w:spacing w:after="0" w:line="292"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filed pursuant to Section 13(a) or 15(d) of the Securities Exchange Act of 1934, as amended (the "Exchange Act").</w:t>
      </w:r>
    </w:p>
    <w:p>
      <w:pPr>
        <w:spacing w:after="0" w:line="66" w:lineRule="exact"/>
        <w:rPr>
          <w:rFonts w:ascii="Courier New" w:cs="Courier New" w:eastAsia="Courier New" w:hAnsi="Courier New"/>
          <w:sz w:val="18"/>
          <w:szCs w:val="18"/>
          <w:color w:val="auto"/>
        </w:rPr>
      </w:pPr>
    </w:p>
    <w:p>
      <w:pPr>
        <w:ind w:left="1580" w:right="1779" w:hanging="519"/>
        <w:spacing w:after="0" w:line="292"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Company document referred to in (a) above.</w:t>
      </w:r>
    </w:p>
    <w:p>
      <w:pPr>
        <w:spacing w:after="0" w:line="66" w:lineRule="exact"/>
        <w:rPr>
          <w:rFonts w:ascii="Courier New" w:cs="Courier New" w:eastAsia="Courier New" w:hAnsi="Courier New"/>
          <w:sz w:val="18"/>
          <w:szCs w:val="18"/>
          <w:color w:val="auto"/>
        </w:rPr>
      </w:pPr>
    </w:p>
    <w:p>
      <w:pPr>
        <w:ind w:left="1580" w:right="1879" w:hanging="519"/>
        <w:spacing w:after="0" w:line="265" w:lineRule="auto"/>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10 dated December 13, 1989, filed under the Securities Exchange Act of 1934, including any amendment or report filed for the purpose of updating such description.</w:t>
      </w:r>
    </w:p>
    <w:p>
      <w:pPr>
        <w:spacing w:after="0" w:line="90" w:lineRule="exact"/>
        <w:rPr>
          <w:sz w:val="20"/>
          <w:szCs w:val="20"/>
          <w:color w:val="auto"/>
        </w:rPr>
      </w:pPr>
    </w:p>
    <w:p>
      <w:pPr>
        <w:ind w:right="1779" w:firstLine="1053"/>
        <w:spacing w:after="0" w:line="247" w:lineRule="auto"/>
        <w:rPr>
          <w:sz w:val="20"/>
          <w:szCs w:val="20"/>
          <w:color w:val="auto"/>
        </w:rPr>
      </w:pPr>
      <w:r>
        <w:rPr>
          <w:rFonts w:ascii="Courier New" w:cs="Courier New" w:eastAsia="Courier New" w:hAnsi="Courier New"/>
          <w:sz w:val="18"/>
          <w:szCs w:val="18"/>
          <w:color w:val="auto"/>
        </w:rPr>
        <w:t>All documents filed by the Company pursuant to Sections 13(a), 13(c), 14 and 15(d) of the Exchange Act prior to the filing of a post-effective amendment which indicates that all securities offered have been sold or which deregisters all securities then remaining unsold, are incorporated by reference in this registration statement and are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right="1879" w:firstLine="1053"/>
        <w:spacing w:after="0" w:line="282" w:lineRule="auto"/>
        <w:rPr>
          <w:sz w:val="20"/>
          <w:szCs w:val="20"/>
          <w:color w:val="auto"/>
        </w:rPr>
      </w:pPr>
      <w:r>
        <w:rPr>
          <w:rFonts w:ascii="Courier New" w:cs="Courier New" w:eastAsia="Courier New" w:hAnsi="Courier New"/>
          <w:sz w:val="16"/>
          <w:szCs w:val="16"/>
          <w:color w:val="auto"/>
        </w:rPr>
        <w:t>The legality of the securities registered hereby has been passed upon by E. O. Robinson, Jr., General Counsel of the Company. At the time of filing this Registration Statement, Mr. Robinson beneficially owns 34,583 shares</w:t>
      </w:r>
    </w:p>
    <w:p>
      <w:pPr>
        <w:spacing w:after="0" w:line="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of Common Stock and holds options for 36,589 shares of Common Stock which have been issued under the Plan.</w:t>
      </w:r>
    </w:p>
    <w:p>
      <w:pPr>
        <w:spacing w:after="0" w:line="5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779" w:firstLine="1053"/>
        <w:spacing w:after="0" w:line="253" w:lineRule="auto"/>
        <w:rPr>
          <w:sz w:val="20"/>
          <w:szCs w:val="20"/>
          <w:color w:val="auto"/>
        </w:rPr>
      </w:pPr>
      <w:r>
        <w:rPr>
          <w:rFonts w:ascii="Courier New" w:cs="Courier New" w:eastAsia="Courier New" w:hAnsi="Courier New"/>
          <w:sz w:val="18"/>
          <w:szCs w:val="18"/>
          <w:color w:val="auto"/>
        </w:rPr>
        <w:t>Section 145 of the General Corporation Law of Delaware empowers the Company to indemnify, subject to the standards set forth therein, any person who is a party in any action in connection with any action, suit or proceeding brought or threatened by reason of the fact that the person was a director, officer, employee or agent of the Company, or is or was serving as such with respect to another entity at the request of the Company. The General Corporation Law of Delaware also provides that the Company may purchase insurance on behalf of any such director, officer, employee or agent.</w:t>
      </w:r>
    </w:p>
    <w:p>
      <w:pPr>
        <w:spacing w:after="0" w:line="3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298" w:right="1440" w:bottom="793" w:gutter="0" w:footer="0" w:header="0"/>
        </w:sectPr>
      </w:pPr>
    </w:p>
    <w:bookmarkStart w:id="2" w:name="page3"/>
    <w:bookmarkEnd w:id="2"/>
    <w:p>
      <w:pPr>
        <w:ind w:right="1779" w:firstLine="1053"/>
        <w:spacing w:after="0" w:line="245" w:lineRule="auto"/>
        <w:rPr>
          <w:sz w:val="20"/>
          <w:szCs w:val="20"/>
          <w:color w:val="auto"/>
        </w:rPr>
      </w:pPr>
      <w:r>
        <w:rPr>
          <w:rFonts w:ascii="Courier New" w:cs="Courier New" w:eastAsia="Courier New" w:hAnsi="Courier New"/>
          <w:sz w:val="18"/>
          <w:szCs w:val="18"/>
          <w:color w:val="auto"/>
        </w:rPr>
        <w:t>Section 102(b)(7) of the General Corporation Law of Delaware enables a Delaware corporation to provide in its certificate of incorporation for the elimination or limitation of the personal liability of a director to the corporation or its stockholders for monetary damages for breach of fiduciary duty as a director. Any such provision cannot eliminate or limit a director's liability (1) for any breach of the director's duty of loyalty to the corporation or its stockholders; (2) for acts or omissions not in good faith or which involve intentional misconduct or a knowing violation of law; (3) under Section 174 of the General Corporation Law of Delaware (which imposes liability on directors for unlawful payment of dividends or unlawful stock purchase or redemption); or (4) for any transaction from which the director derived an improper personal benefit. Article Thirteenth of the Certificate of Incorporation of the Company eliminates the liability of a director of the Company to the Company or its stockholders for monetary damages for breach of fiduciary duty as a director to the full extent permitted by the General Corporation Law of Delaware.</w:t>
      </w:r>
    </w:p>
    <w:p>
      <w:pPr>
        <w:spacing w:after="0" w:line="113"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Article Tenth of the Certificate of Incorporation of the Company provides for indemnification of the officers and directors of the Company to the full extent permitted by the General Corporation Law of Delaware.</w:t>
      </w:r>
    </w:p>
    <w:p>
      <w:pPr>
        <w:spacing w:after="0" w:line="66"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The Company has entered into Indemnification Agreements with its directors, executive officers and certain other officers. Generally, the Indemnification Agreements provide that the Company will indemnify such persons against any and all expenses, judgments, fines, penalties and amounts paid in settlement (including all interest, assessments and other charges paid or payable in connection with or in respect of such expenses, judgments, fines, penalties or amounts paid in settlement) of any Claim by reason of (or arising in part out of) an Indemnifiable Event. "Claim" is defined as any threatened, pending or completed action, suit or proceeding or any inquiry or investigation, whether conducted by the Company or any other party, that the indemnitee in good faith believes might lead to the institution of any such action, suit or proceeding, whether civil, criminal, administrative, investigative or other. "Indemnifiable Event" is defined as any event or occurrence related to the fact that indemnitee is or was a director, officer, employee, trustee, agent or fiduciary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 Notwithstanding the foregoing, (i) the obligations of the Company shall be subject to the condition that the reviewing party (as defined) shall not have determined (in a written opinion, in any case in which special, independent counsel is involved) that indemnitee would not be permitted to be indemnified under applicable law, and (ii) the obligation of the Company to make an expense advance shall be subject to the condition that, if, when and to the extent that the reviewing party determines that indemnitee would not be permitted to be so indemnified under applicable law, the Company shall be entitled to be reimbursed by indemnitee (who has agreed to reimburse the Company) for all such amounts theretofore paid; provided,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060" w:right="2319" w:hanging="947"/>
        <w:spacing w:after="0" w:line="274"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Promus Companies Incorporated 1990 Stock Option Plan (incorporated by reference to the Company's quarterly report on Form 10-Q for the fiscal quarter ending June 30, 1994, filed with the Commission August 11, 1994).</w:t>
      </w:r>
    </w:p>
    <w:p>
      <w:pPr>
        <w:spacing w:after="0" w:line="82" w:lineRule="exact"/>
        <w:rPr>
          <w:sz w:val="20"/>
          <w:szCs w:val="20"/>
          <w:color w:val="auto"/>
        </w:rPr>
      </w:pPr>
    </w:p>
    <w:p>
      <w:pPr>
        <w:ind w:left="1060" w:right="2419" w:hanging="947"/>
        <w:spacing w:after="0" w:line="292"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Amendment to The Promus Companies Incorporated 1990 Stock Option Plan dated April 5, 1995 (incorporated by reference to the Company's Proxy Statement dated April 25, 1995).</w:t>
      </w:r>
    </w:p>
    <w:p>
      <w:pPr>
        <w:spacing w:after="0" w:line="66" w:lineRule="exact"/>
        <w:rPr>
          <w:sz w:val="20"/>
          <w:szCs w:val="20"/>
          <w:color w:val="auto"/>
        </w:rPr>
      </w:pPr>
    </w:p>
    <w:p>
      <w:pPr>
        <w:ind w:left="1060" w:right="2319" w:hanging="947"/>
        <w:spacing w:after="0" w:line="274" w:lineRule="auto"/>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Certificate of Incorporation of The Promus Companies Incorporated (incorporated by reference to the Company's quarterly report on Form 10-Q for the fiscal quarter ending March 31, 1994, filed with the Commission May 12, 1994).</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0" w:gutter="0" w:footer="0" w:header="0"/>
        </w:sectPr>
      </w:pPr>
    </w:p>
    <w:bookmarkStart w:id="3" w:name="page4"/>
    <w:bookmarkEnd w:id="3"/>
    <w:p>
      <w:pPr>
        <w:ind w:left="1060" w:right="2419" w:hanging="947"/>
        <w:spacing w:after="0" w:line="265" w:lineRule="auto"/>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Certificate of Amendment to Certificate of Incorporation of The Promus Companies Incorporated dated April 29, 1994 (incorporated by reference to the Company's quarterly report on Form 10-Q for the fiscal quarter ending March 31, 1994, filed with the Commission May 12, 1994).</w:t>
      </w:r>
    </w:p>
    <w:p>
      <w:pPr>
        <w:spacing w:after="0" w:line="90" w:lineRule="exact"/>
        <w:rPr>
          <w:sz w:val="20"/>
          <w:szCs w:val="20"/>
          <w:color w:val="auto"/>
        </w:rPr>
      </w:pPr>
    </w:p>
    <w:p>
      <w:pPr>
        <w:ind w:left="1060" w:right="2519" w:hanging="947"/>
        <w:spacing w:after="0" w:line="274" w:lineRule="auto"/>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 to the Company's Proxy Statement dated April 25, 1995 and incorporated herein by reference).</w:t>
      </w:r>
    </w:p>
    <w:p>
      <w:pPr>
        <w:spacing w:after="0" w:line="82" w:lineRule="exact"/>
        <w:rPr>
          <w:sz w:val="20"/>
          <w:szCs w:val="20"/>
          <w:color w:val="auto"/>
        </w:rPr>
      </w:pPr>
    </w:p>
    <w:p>
      <w:pPr>
        <w:ind w:left="1060" w:right="2519" w:hanging="947"/>
        <w:spacing w:after="0" w:line="274" w:lineRule="auto"/>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VI to the Company's Proxy Statement dated April 25, 1995 and incorporated herein by reference).</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Bylaws of The Promus Companies Incorporated, as amended April 5,</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1995.</w:t>
      </w:r>
    </w:p>
    <w:p>
      <w:pPr>
        <w:spacing w:after="0" w:line="169" w:lineRule="exact"/>
        <w:rPr>
          <w:sz w:val="20"/>
          <w:szCs w:val="20"/>
          <w:color w:val="auto"/>
        </w:rPr>
      </w:pPr>
    </w:p>
    <w:p>
      <w:pPr>
        <w:ind w:left="1060" w:right="3259" w:hanging="1059"/>
        <w:spacing w:after="0" w:line="347" w:lineRule="auto"/>
        <w:tabs>
          <w:tab w:leader="none" w:pos="10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Opinion of E. O. Robinson, Jr. as to the legality of the securities being registered hereby.</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E. O. Robinson, Jr. (included as part of Exhibit 5).</w:t>
      </w:r>
    </w:p>
    <w:p>
      <w:pPr>
        <w:spacing w:after="0" w:line="201" w:lineRule="exact"/>
        <w:rPr>
          <w:sz w:val="20"/>
          <w:szCs w:val="20"/>
          <w:color w:val="auto"/>
        </w:rPr>
      </w:pPr>
    </w:p>
    <w:p>
      <w:pPr>
        <w:ind w:left="1060" w:right="283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Arthur Andersen LLP, independent certified public accountants.</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 (included on page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1" w:lineRule="exact"/>
        <w:rPr>
          <w:sz w:val="20"/>
          <w:szCs w:val="20"/>
          <w:color w:val="auto"/>
        </w:rPr>
      </w:pPr>
    </w:p>
    <w:p>
      <w:pPr>
        <w:ind w:right="2099" w:firstLine="1272"/>
        <w:spacing w:after="0" w:line="347" w:lineRule="auto"/>
        <w:tabs>
          <w:tab w:leader="none" w:pos="168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740" w:right="1999" w:firstLine="953"/>
        <w:spacing w:after="0" w:line="347"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740" w:right="1779" w:firstLine="953"/>
        <w:spacing w:after="0" w:line="265"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w:t>
      </w:r>
    </w:p>
    <w:p>
      <w:pPr>
        <w:spacing w:after="0" w:line="89" w:lineRule="exact"/>
        <w:rPr>
          <w:rFonts w:ascii="Courier New" w:cs="Courier New" w:eastAsia="Courier New" w:hAnsi="Courier New"/>
          <w:sz w:val="18"/>
          <w:szCs w:val="18"/>
          <w:color w:val="auto"/>
        </w:rPr>
      </w:pPr>
    </w:p>
    <w:p>
      <w:pPr>
        <w:ind w:left="740" w:right="1879" w:firstLine="953"/>
        <w:spacing w:after="0" w:line="274"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2" w:lineRule="exact"/>
        <w:rPr>
          <w:sz w:val="20"/>
          <w:szCs w:val="20"/>
          <w:color w:val="auto"/>
        </w:rPr>
      </w:pPr>
    </w:p>
    <w:p>
      <w:pPr>
        <w:ind w:right="1779" w:firstLine="1264"/>
        <w:spacing w:after="0" w:line="318" w:lineRule="auto"/>
        <w:rPr>
          <w:sz w:val="20"/>
          <w:szCs w:val="20"/>
          <w:color w:val="auto"/>
        </w:rPr>
      </w:pPr>
      <w:r>
        <w:rPr>
          <w:rFonts w:ascii="Courier New" w:cs="Courier New" w:eastAsia="Courier New" w:hAnsi="Courier New"/>
          <w:sz w:val="16"/>
          <w:szCs w:val="16"/>
          <w:color w:val="auto"/>
        </w:rPr>
        <w:t>provided, however, that paragraphs (1)(a) and (1)(b) shall not apply to information contained in periodic reports filed with or furnished to the Commission by the registrant pursuant to Section 13 or Section 15(d) of the Exchange Act that are incorporated by reference in this Registration Statement.</w:t>
      </w:r>
    </w:p>
    <w:p>
      <w:pPr>
        <w:spacing w:after="0" w:line="52" w:lineRule="exact"/>
        <w:rPr>
          <w:sz w:val="20"/>
          <w:szCs w:val="20"/>
          <w:color w:val="auto"/>
        </w:rPr>
      </w:pPr>
    </w:p>
    <w:p>
      <w:pPr>
        <w:ind w:right="1779" w:firstLine="1272"/>
        <w:spacing w:after="0" w:line="265"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4" w:name="page5"/>
    <w:bookmarkEnd w:id="4"/>
    <w:p>
      <w:pPr>
        <w:ind w:right="2319" w:firstLine="1272"/>
        <w:spacing w:after="0" w:line="292"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sz w:val="20"/>
          <w:szCs w:val="20"/>
          <w:color w:val="auto"/>
        </w:rPr>
      </w:pPr>
    </w:p>
    <w:p>
      <w:pPr>
        <w:ind w:right="1879" w:firstLine="737"/>
        <w:spacing w:after="0" w:line="288"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86" w:lineRule="exact"/>
        <w:rPr>
          <w:sz w:val="20"/>
          <w:szCs w:val="20"/>
          <w:color w:val="auto"/>
        </w:rPr>
      </w:pPr>
    </w:p>
    <w:p>
      <w:pPr>
        <w:ind w:right="1879" w:firstLine="737"/>
        <w:spacing w:after="0" w:line="245"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firstLine="73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Memphis, State of Tennessee, on this 6th day of June, 1995.</w:t>
      </w:r>
    </w:p>
    <w:p>
      <w:pPr>
        <w:spacing w:after="0" w:line="9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 O. ROBINSON, JR.</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900"/>
        <w:spacing w:after="0" w:line="238" w:lineRule="auto"/>
        <w:rPr>
          <w:sz w:val="20"/>
          <w:szCs w:val="20"/>
          <w:color w:val="auto"/>
        </w:rPr>
      </w:pPr>
      <w:r>
        <w:rPr>
          <w:rFonts w:ascii="Courier New" w:cs="Courier New" w:eastAsia="Courier New" w:hAnsi="Courier New"/>
          <w:sz w:val="18"/>
          <w:szCs w:val="18"/>
          <w:color w:val="auto"/>
        </w:rPr>
        <w:t>E. O. Robinson, Jr.</w:t>
      </w:r>
    </w:p>
    <w:p>
      <w:pPr>
        <w:ind w:left="3900"/>
        <w:spacing w:after="0"/>
        <w:rPr>
          <w:sz w:val="20"/>
          <w:szCs w:val="20"/>
          <w:color w:val="auto"/>
        </w:rPr>
      </w:pPr>
      <w:r>
        <w:rPr>
          <w:rFonts w:ascii="Courier New" w:cs="Courier New" w:eastAsia="Courier New" w:hAnsi="Courier New"/>
          <w:sz w:val="18"/>
          <w:szCs w:val="18"/>
          <w:color w:val="auto"/>
        </w:rPr>
        <w:t>Senior Vice President,</w:t>
      </w:r>
    </w:p>
    <w:p>
      <w:pPr>
        <w:ind w:left="3900"/>
        <w:spacing w:after="0"/>
        <w:rPr>
          <w:sz w:val="20"/>
          <w:szCs w:val="20"/>
          <w:color w:val="auto"/>
        </w:rPr>
      </w:pPr>
      <w:r>
        <w:rPr>
          <w:rFonts w:ascii="Courier New" w:cs="Courier New" w:eastAsia="Courier New" w:hAnsi="Courier New"/>
          <w:sz w:val="18"/>
          <w:szCs w:val="18"/>
          <w:color w:val="auto"/>
        </w:rPr>
        <w:t>General Counsel and Secretary</w:t>
      </w:r>
    </w:p>
    <w:p>
      <w:pPr>
        <w:spacing w:after="0" w:line="37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firstLine="737"/>
        <w:spacing w:after="0" w:line="246" w:lineRule="auto"/>
        <w:rPr>
          <w:sz w:val="20"/>
          <w:szCs w:val="20"/>
          <w:color w:val="auto"/>
        </w:rPr>
      </w:pPr>
      <w:r>
        <w:rPr>
          <w:rFonts w:ascii="Courier New" w:cs="Courier New" w:eastAsia="Courier New" w:hAnsi="Courier New"/>
          <w:sz w:val="18"/>
          <w:szCs w:val="18"/>
          <w:color w:val="auto"/>
        </w:rPr>
        <w:t>Each person whose signature appears below constitutes and appoints Michael D. Rose, Charles A. Ledsinger, Jr. and E. O. Robinson, Jr., each or any of them, his true and lawful attorney-in-fact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13" w:lineRule="exact"/>
        <w:rPr>
          <w:sz w:val="20"/>
          <w:szCs w:val="20"/>
          <w:color w:val="auto"/>
        </w:rPr>
      </w:pPr>
    </w:p>
    <w:p>
      <w:pPr>
        <w:ind w:right="1999" w:firstLine="73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their capacities and on the dates indicated.</w:t>
      </w:r>
    </w:p>
    <w:p>
      <w:pPr>
        <w:sectPr>
          <w:pgSz w:w="11900" w:h="16838" w:orient="portrait"/>
          <w:cols w:equalWidth="0" w:num="1">
            <w:col w:w="10219"/>
          </w:cols>
          <w:pgMar w:left="240" w:top="893" w:right="1440" w:bottom="1440" w:gutter="0" w:footer="0" w:header="0"/>
        </w:sectPr>
      </w:pPr>
    </w:p>
    <w:p>
      <w:pPr>
        <w:spacing w:after="0" w:line="2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5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3">
            <w:col w:w="2980" w:space="720"/>
            <w:col w:w="2020" w:space="720"/>
            <w:col w:w="3779"/>
          </w:cols>
          <w:pgMar w:left="240" w:top="893"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JAMES L. BARKSDALE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6, 1995</w:t>
      </w:r>
    </w:p>
    <w:p>
      <w:pPr>
        <w:spacing w:after="0" w:line="75" w:lineRule="exact"/>
        <w:rPr>
          <w:sz w:val="20"/>
          <w:szCs w:val="20"/>
          <w:color w:val="auto"/>
        </w:rPr>
      </w:pPr>
    </w:p>
    <w:p>
      <w:pPr>
        <w:sectPr>
          <w:pgSz w:w="11900" w:h="16838" w:orient="portrait"/>
          <w:cols w:equalWidth="0" w:num="3">
            <w:col w:w="2980" w:space="720"/>
            <w:col w:w="2020" w:space="720"/>
            <w:col w:w="3779"/>
          </w:cols>
          <w:pgMar w:left="240" w:top="893" w:right="1440" w:bottom="1440" w:gutter="0" w:footer="0" w:header="0"/>
          <w:type w:val="continuous"/>
        </w:sect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(James L. Barksdale)</w:t>
      </w:r>
    </w:p>
    <w:p>
      <w:pPr>
        <w:sectPr>
          <w:pgSz w:w="11900" w:h="16838" w:orient="portrait"/>
          <w:cols w:equalWidth="0" w:num="1">
            <w:col w:w="10219"/>
          </w:cols>
          <w:pgMar w:left="240" w:top="893" w:right="1440" w:bottom="1440" w:gutter="0" w:footer="0" w:header="0"/>
          <w:type w:val="continuous"/>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SUSAN CLARK-JACKSON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75" w:lineRule="exact"/>
        <w:rPr>
          <w:sz w:val="20"/>
          <w:szCs w:val="20"/>
          <w:color w:val="auto"/>
        </w:rPr>
      </w:pPr>
    </w:p>
    <w:p>
      <w:pPr>
        <w:sectPr>
          <w:pgSz w:w="11900" w:h="16838" w:orient="portrait"/>
          <w:cols w:equalWidth="0" w:num="3">
            <w:col w:w="2980" w:space="720"/>
            <w:col w:w="2020" w:space="720"/>
            <w:col w:w="3779"/>
          </w:cols>
          <w:pgMar w:left="240" w:top="8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220"/>
        <w:spacing w:after="0"/>
        <w:rPr>
          <w:sz w:val="20"/>
          <w:szCs w:val="20"/>
          <w:color w:val="auto"/>
        </w:rPr>
      </w:pPr>
      <w:r>
        <w:rPr>
          <w:rFonts w:ascii="Courier New" w:cs="Courier New" w:eastAsia="Courier New" w:hAnsi="Courier New"/>
          <w:sz w:val="18"/>
          <w:szCs w:val="18"/>
          <w:color w:val="auto"/>
        </w:rPr>
        <w:t>(Susan Clark-Jackson)</w:t>
      </w:r>
    </w:p>
    <w:p>
      <w:pPr>
        <w:sectPr>
          <w:pgSz w:w="11900" w:h="16838" w:orient="portrait"/>
          <w:cols w:equalWidth="0" w:num="1">
            <w:col w:w="10219"/>
          </w:cols>
          <w:pgMar w:left="240" w:top="893" w:right="1440" w:bottom="1440" w:gutter="0" w:footer="0" w:header="0"/>
          <w:type w:val="continuous"/>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JAMES B. FARLEY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75" w:lineRule="exact"/>
        <w:rPr>
          <w:sz w:val="20"/>
          <w:szCs w:val="20"/>
          <w:color w:val="auto"/>
        </w:rPr>
      </w:pPr>
    </w:p>
    <w:p>
      <w:pPr>
        <w:sectPr>
          <w:pgSz w:w="11900" w:h="16838" w:orient="portrait"/>
          <w:cols w:equalWidth="0" w:num="3">
            <w:col w:w="2980" w:space="720"/>
            <w:col w:w="2020" w:space="720"/>
            <w:col w:w="3779"/>
          </w:cols>
          <w:pgMar w:left="240" w:top="8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120"/>
        <w:spacing w:after="0"/>
        <w:rPr>
          <w:sz w:val="20"/>
          <w:szCs w:val="20"/>
          <w:color w:val="auto"/>
        </w:rPr>
      </w:pPr>
      <w:r>
        <w:rPr>
          <w:rFonts w:ascii="Courier New" w:cs="Courier New" w:eastAsia="Courier New" w:hAnsi="Courier New"/>
          <w:sz w:val="18"/>
          <w:szCs w:val="18"/>
          <w:color w:val="auto"/>
        </w:rPr>
        <w:t>(James B. Farley)</w:t>
      </w:r>
    </w:p>
    <w:p>
      <w:pPr>
        <w:sectPr>
          <w:pgSz w:w="11900" w:h="16838" w:orient="portrait"/>
          <w:cols w:equalWidth="0" w:num="1">
            <w:col w:w="10219"/>
          </w:cols>
          <w:pgMar w:left="240" w:top="893" w:right="1440" w:bottom="1440" w:gutter="0" w:footer="0" w:header="0"/>
          <w:type w:val="continuous"/>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JOE M. HENSON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75" w:lineRule="exact"/>
        <w:rPr>
          <w:sz w:val="20"/>
          <w:szCs w:val="20"/>
          <w:color w:val="auto"/>
        </w:rPr>
      </w:pPr>
    </w:p>
    <w:p>
      <w:pPr>
        <w:sectPr>
          <w:pgSz w:w="11900" w:h="16838" w:orient="portrait"/>
          <w:cols w:equalWidth="0" w:num="3">
            <w:col w:w="2980" w:space="720"/>
            <w:col w:w="2020" w:space="720"/>
            <w:col w:w="3779"/>
          </w:cols>
          <w:pgMar w:left="240" w:top="89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120"/>
        <w:spacing w:after="0"/>
        <w:rPr>
          <w:sz w:val="20"/>
          <w:szCs w:val="20"/>
          <w:color w:val="auto"/>
        </w:rPr>
      </w:pPr>
      <w:r>
        <w:rPr>
          <w:rFonts w:ascii="Courier New" w:cs="Courier New" w:eastAsia="Courier New" w:hAnsi="Courier New"/>
          <w:sz w:val="18"/>
          <w:szCs w:val="18"/>
          <w:color w:val="auto"/>
        </w:rPr>
        <w:t>(Joe M. Henson)</w:t>
      </w:r>
    </w:p>
    <w:p>
      <w:pPr>
        <w:sectPr>
          <w:pgSz w:w="11900" w:h="16838" w:orient="portrait"/>
          <w:cols w:equalWidth="0" w:num="1">
            <w:col w:w="10219"/>
          </w:cols>
          <w:pgMar w:left="240" w:top="893" w:right="1440" w:bottom="1440" w:gutter="0" w:footer="0" w:header="0"/>
          <w:type w:val="continuous"/>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MICHAEL D. ROSE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Chairman</w:t>
      </w:r>
    </w:p>
    <w:p>
      <w:pPr>
        <w:spacing w:after="0" w:line="5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of the Board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316" w:lineRule="exact"/>
        <w:rPr>
          <w:sz w:val="20"/>
          <w:szCs w:val="20"/>
          <w:color w:val="auto"/>
        </w:rPr>
      </w:pPr>
    </w:p>
    <w:p>
      <w:pPr>
        <w:sectPr>
          <w:pgSz w:w="11900" w:h="16838" w:orient="portrait"/>
          <w:cols w:equalWidth="0" w:num="3">
            <w:col w:w="2980" w:space="720"/>
            <w:col w:w="2200" w:space="540"/>
            <w:col w:w="3779"/>
          </w:cols>
          <w:pgMar w:left="240" w:top="893" w:right="1440" w:bottom="144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(Michael D. Rose)</w:t>
      </w:r>
    </w:p>
    <w:p>
      <w:pPr>
        <w:spacing w:after="0" w:line="200" w:lineRule="exact"/>
        <w:rPr>
          <w:sz w:val="20"/>
          <w:szCs w:val="20"/>
          <w:color w:val="auto"/>
        </w:rPr>
      </w:pPr>
    </w:p>
    <w:p>
      <w:pPr>
        <w:spacing w:after="0" w:line="31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93" w:right="1440" w:bottom="1440" w:gutter="0" w:footer="0" w:header="0"/>
          <w:type w:val="continuous"/>
        </w:sectPr>
      </w:pPr>
    </w:p>
    <w:bookmarkStart w:id="6" w:name="page7"/>
    <w:bookmarkEnd w:id="6"/>
    <w:tbl>
      <w:tblPr>
        <w:tblLayout w:type="fixed"/>
        <w:tblInd w:w="220" w:type="dxa"/>
        <w:tblCellMar>
          <w:top w:w="0" w:type="dxa"/>
          <w:left w:w="0" w:type="dxa"/>
          <w:bottom w:w="0" w:type="dxa"/>
          <w:right w:w="0" w:type="dxa"/>
        </w:tblCellMar>
      </w:tblPr>
      <w:tr>
        <w:trPr>
          <w:trHeight w:val="204"/>
        </w:trPr>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2360" w:type="dxa"/>
            <w:vAlign w:val="bottom"/>
          </w:tcPr>
          <w:p>
            <w:pPr>
              <w:ind w:left="620"/>
              <w:spacing w:after="0"/>
              <w:rPr>
                <w:sz w:val="20"/>
                <w:szCs w:val="20"/>
                <w:color w:val="auto"/>
              </w:rPr>
            </w:pPr>
            <w:r>
              <w:rPr>
                <w:rFonts w:ascii="Courier New" w:cs="Courier New" w:eastAsia="Courier New" w:hAnsi="Courier New"/>
                <w:sz w:val="18"/>
                <w:szCs w:val="18"/>
                <w:color w:val="auto"/>
              </w:rPr>
              <w:t>Title</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rPr>
              <w:t>Date</w:t>
            </w:r>
          </w:p>
        </w:tc>
      </w:tr>
      <w:tr>
        <w:trPr>
          <w:trHeight w:val="296"/>
        </w:trPr>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r>
      <w:tr>
        <w:trPr>
          <w:trHeight w:val="343"/>
        </w:trPr>
        <w:tc>
          <w:tcPr>
            <w:tcW w:w="2320" w:type="dxa"/>
            <w:vAlign w:val="bottom"/>
          </w:tcPr>
          <w:p>
            <w:pPr>
              <w:spacing w:after="0"/>
              <w:rPr>
                <w:sz w:val="20"/>
                <w:szCs w:val="20"/>
                <w:color w:val="auto"/>
              </w:rPr>
            </w:pPr>
            <w:r>
              <w:rPr>
                <w:rFonts w:ascii="Courier New" w:cs="Courier New" w:eastAsia="Courier New" w:hAnsi="Courier New"/>
                <w:sz w:val="18"/>
                <w:szCs w:val="18"/>
                <w:color w:val="auto"/>
              </w:rPr>
              <w:t>WALTER J. SALMON</w:t>
            </w:r>
          </w:p>
        </w:tc>
        <w:tc>
          <w:tcPr>
            <w:tcW w:w="2360" w:type="dxa"/>
            <w:vAlign w:val="bottom"/>
          </w:tcPr>
          <w:p>
            <w:pPr>
              <w:ind w:left="620"/>
              <w:spacing w:after="0"/>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w w:val="95"/>
              </w:rPr>
              <w:t>June 6, 1995</w:t>
            </w:r>
          </w:p>
        </w:tc>
      </w:tr>
    </w:tbl>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(Walter J. Salmon)</w:t>
      </w:r>
    </w:p>
    <w:p>
      <w:pPr>
        <w:sectPr>
          <w:pgSz w:w="11900" w:h="16838" w:orient="portrait"/>
          <w:cols w:equalWidth="0" w:num="1">
            <w:col w:w="10219"/>
          </w:cols>
          <w:pgMar w:left="240" w:top="892" w:right="1440" w:bottom="1440" w:gutter="0" w:footer="0" w:header="0"/>
        </w:sectPr>
      </w:pP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PHILIP G. SATRE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(Philip G. Satre)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President</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and Chief Executive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628" w:lineRule="exact"/>
        <w:rPr>
          <w:sz w:val="20"/>
          <w:szCs w:val="20"/>
          <w:color w:val="auto"/>
        </w:rPr>
      </w:pPr>
    </w:p>
    <w:p>
      <w:pPr>
        <w:sectPr>
          <w:pgSz w:w="11900" w:h="16838" w:orient="portrait"/>
          <w:cols w:equalWidth="0" w:num="3">
            <w:col w:w="2440" w:space="720"/>
            <w:col w:w="2220" w:space="420"/>
            <w:col w:w="4419"/>
          </w:cols>
          <w:pgMar w:left="240" w:top="89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BOAKE A. SELLS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(Boake A. Sells)</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EDDIE N. WILLIAMS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(Eddie N. Williams)</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SHIRLEY YOUNG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(Shirley Young)</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CHARLES A. LEDSINGER,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June 6, 1995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115" w:lineRule="exact"/>
        <w:rPr>
          <w:sz w:val="20"/>
          <w:szCs w:val="20"/>
          <w:color w:val="auto"/>
        </w:rPr>
      </w:pPr>
    </w:p>
    <w:p>
      <w:pPr>
        <w:sectPr>
          <w:pgSz w:w="11900" w:h="16838" w:orient="portrait"/>
          <w:cols w:equalWidth="0" w:num="3">
            <w:col w:w="2860" w:space="300"/>
            <w:col w:w="1920" w:space="720"/>
            <w:col w:w="4419"/>
          </w:cols>
          <w:pgMar w:left="240" w:top="892" w:right="1440" w:bottom="1440" w:gutter="0" w:footer="0" w:header="0"/>
          <w:type w:val="continuous"/>
        </w:sectPr>
      </w:pPr>
    </w:p>
    <w:p>
      <w:pPr>
        <w:ind w:left="120" w:right="6099" w:hanging="112"/>
        <w:spacing w:after="0" w:line="238" w:lineRule="auto"/>
        <w:tabs>
          <w:tab w:leader="none" w:pos="2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(Charles A. Ledsinger, Jr.)</w:t>
      </w:r>
    </w:p>
    <w:p>
      <w:pPr>
        <w:sectPr>
          <w:pgSz w:w="11900" w:h="16838" w:orient="portrait"/>
          <w:cols w:equalWidth="0" w:num="1">
            <w:col w:w="10219"/>
          </w:cols>
          <w:pgMar w:left="240" w:top="892" w:right="1440" w:bottom="1440" w:gutter="0" w:footer="0" w:header="0"/>
          <w:type w:val="continuous"/>
        </w:sectPr>
      </w:pPr>
    </w:p>
    <w:p>
      <w:pPr>
        <w:spacing w:after="0" w:line="312" w:lineRule="exact"/>
        <w:rPr>
          <w:sz w:val="20"/>
          <w:szCs w:val="20"/>
          <w:color w:val="auto"/>
        </w:rPr>
      </w:pPr>
    </w:p>
    <w:p>
      <w:pPr>
        <w:ind w:right="320" w:firstLine="211"/>
        <w:spacing w:after="0" w:line="344" w:lineRule="auto"/>
        <w:rPr>
          <w:sz w:val="20"/>
          <w:szCs w:val="20"/>
          <w:color w:val="auto"/>
        </w:rPr>
      </w:pPr>
      <w:r>
        <w:rPr>
          <w:rFonts w:ascii="Courier New" w:cs="Courier New" w:eastAsia="Courier New" w:hAnsi="Courier New"/>
          <w:sz w:val="16"/>
          <w:szCs w:val="16"/>
          <w:color w:val="auto"/>
        </w:rPr>
        <w:t>MICHAEL N. REGAN - ------------------ (Michael N. Regan)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 and</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Principal Accounting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798" w:lineRule="exact"/>
        <w:rPr>
          <w:sz w:val="20"/>
          <w:szCs w:val="20"/>
          <w:color w:val="auto"/>
        </w:rPr>
      </w:pPr>
    </w:p>
    <w:p>
      <w:pPr>
        <w:sectPr>
          <w:pgSz w:w="11900" w:h="16838" w:orient="portrait"/>
          <w:cols w:equalWidth="0" w:num="3">
            <w:col w:w="2440" w:space="720"/>
            <w:col w:w="2320" w:space="320"/>
            <w:col w:w="4419"/>
          </w:cols>
          <w:pgMar w:left="240" w:top="892" w:right="1440" w:bottom="1440" w:gutter="0" w:footer="0" w:header="0"/>
          <w:type w:val="continuous"/>
        </w:sectPr>
      </w:pPr>
    </w:p>
    <w:p>
      <w:pPr>
        <w:spacing w:after="0" w:line="23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92"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EXHIBIT</w:t>
            </w:r>
          </w:p>
        </w:tc>
        <w:tc>
          <w:tcPr>
            <w:tcW w:w="6960" w:type="dxa"/>
            <w:vAlign w:val="bottom"/>
          </w:tcPr>
          <w:p>
            <w:pPr>
              <w:ind w:left="2380"/>
              <w:spacing w:after="0"/>
              <w:rPr>
                <w:sz w:val="20"/>
                <w:szCs w:val="20"/>
                <w:color w:val="auto"/>
              </w:rPr>
            </w:pPr>
            <w:r>
              <w:rPr>
                <w:rFonts w:ascii="Courier New" w:cs="Courier New" w:eastAsia="Courier New" w:hAnsi="Courier New"/>
                <w:sz w:val="18"/>
                <w:szCs w:val="18"/>
                <w:color w:val="auto"/>
              </w:rPr>
              <w:t>INDEX TO EXHIBITS</w:t>
            </w:r>
          </w:p>
        </w:tc>
        <w:tc>
          <w:tcPr>
            <w:tcW w:w="6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109"/>
        </w:trPr>
        <w:tc>
          <w:tcPr>
            <w:tcW w:w="1000" w:type="dxa"/>
            <w:vAlign w:val="bottom"/>
            <w:vMerge w:val="continue"/>
          </w:tcPr>
          <w:p>
            <w:pPr>
              <w:spacing w:after="0"/>
              <w:rPr>
                <w:sz w:val="9"/>
                <w:szCs w:val="9"/>
                <w:color w:val="auto"/>
              </w:rPr>
            </w:pPr>
          </w:p>
        </w:tc>
        <w:tc>
          <w:tcPr>
            <w:tcW w:w="69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9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The Promus Companies Incorporated 1990 Stock Option Plan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2"/>
              </w:rPr>
              <w:t>4.1</w:t>
            </w:r>
          </w:p>
        </w:tc>
        <w:tc>
          <w:tcPr>
            <w:tcW w:w="6960" w:type="dxa"/>
            <w:vAlign w:val="bottom"/>
            <w:vMerge w:val="continue"/>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 to the Company's quarterly report on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Form 10-Q for the fiscal quarter ending June 30, 1994, filed with</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the Commission August 11, 1994).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4.2</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w w:val="99"/>
              </w:rPr>
              <w:t>Amendment to The Promus Companies Incorporated 1990 Stock Option</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dated April 5, 1995 (incorporated by reference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Company's Proxy Statement dated April 25, 1995)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4.3</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w w:val="98"/>
              </w:rPr>
              <w:t>Certificate of Incorporation of The Promus Companies Incorporated</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by reference to the Company's quarterly report on</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10-Q for the fiscal quarter ending March 31, 1994, filed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with the Commission May 12, 1994)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4.4</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Amendment to Certificate of Incorporation of The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Promus Companies Incorporated dated April 29, 1994 (incorporated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the Company's quarterly report on Form 10-Q for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fiscal quarter ending March 31, 1994, filed with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Commission May 12, 1994)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4.5</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Amendment of Certificate of Incorporation of The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Promus Companies Incorporated (attached as Annex V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Proxy Statement dated April 25, 1995 and incorporated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2"/>
              </w:rPr>
              <w:t>4.6</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Certificate of Amendment of Certificate of Incorporation of The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Promus Companies Incorporated (attached as Annex VI to the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6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Proxy Statement dated April 25, 1995 and incorporated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herein by reference).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w w:val="99"/>
              </w:rPr>
              <w:t>Bylaws of The Promus Companies Incorporated, as amended April 5,</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1995.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Opinion of E. O. Robinson, Jr. as to the legality of the</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securities being registered hereby.</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9"/>
              </w:rPr>
              <w:t>*23.1</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Consent of E. O. Robinson, Jr. (included as part of Exhibit 5).</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311"/>
        </w:trPr>
        <w:tc>
          <w:tcPr>
            <w:tcW w:w="100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9"/>
              </w:rPr>
              <w:t>*23.2</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Consent of Arthur Andersen LLP, independent certified public</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accountants.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6960" w:type="dxa"/>
            <w:vAlign w:val="bottom"/>
          </w:tcPr>
          <w:p>
            <w:pPr>
              <w:ind w:left="60"/>
              <w:spacing w:after="0"/>
              <w:rPr>
                <w:sz w:val="20"/>
                <w:szCs w:val="20"/>
                <w:color w:val="auto"/>
              </w:rPr>
            </w:pPr>
            <w:r>
              <w:rPr>
                <w:rFonts w:ascii="Courier New" w:cs="Courier New" w:eastAsia="Courier New" w:hAnsi="Courier New"/>
                <w:sz w:val="18"/>
                <w:szCs w:val="18"/>
                <w:color w:val="auto"/>
              </w:rPr>
              <w:t>Power of Attorney (included on page 6).</w:t>
            </w:r>
          </w:p>
        </w:tc>
        <w:tc>
          <w:tcPr>
            <w:tcW w:w="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893"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4.7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(Amended April 5, 1995)</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OFFICES</w:t>
      </w:r>
    </w:p>
    <w:p>
      <w:pPr>
        <w:spacing w:after="0" w:line="201" w:lineRule="exact"/>
        <w:rPr>
          <w:sz w:val="20"/>
          <w:szCs w:val="20"/>
          <w:color w:val="auto"/>
        </w:rPr>
      </w:pPr>
    </w:p>
    <w:p>
      <w:pPr>
        <w:ind w:right="2199" w:firstLine="632"/>
        <w:spacing w:after="0" w:line="274" w:lineRule="auto"/>
        <w:rPr>
          <w:sz w:val="20"/>
          <w:szCs w:val="20"/>
          <w:color w:val="auto"/>
        </w:rPr>
      </w:pPr>
      <w:r>
        <w:rPr>
          <w:rFonts w:ascii="Courier New" w:cs="Courier New" w:eastAsia="Courier New" w:hAnsi="Courier New"/>
          <w:sz w:val="18"/>
          <w:szCs w:val="18"/>
          <w:color w:val="auto"/>
        </w:rPr>
        <w:t>SECTION 1. Registered Office. The registered office of The Promus Companies Incorporated (the "Corporation") shall be at The Corporation Trust Center, 1209 Orange Street, in the City of Wilmington, County of New Castle, State of Delaware.</w:t>
      </w:r>
    </w:p>
    <w:p>
      <w:pPr>
        <w:spacing w:after="0" w:line="82"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MEETINGS OF STOCKHOLDERS</w:t>
      </w:r>
    </w:p>
    <w:p>
      <w:pPr>
        <w:spacing w:after="0" w:line="201" w:lineRule="exact"/>
        <w:rPr>
          <w:sz w:val="20"/>
          <w:szCs w:val="20"/>
          <w:color w:val="auto"/>
        </w:rPr>
      </w:pPr>
    </w:p>
    <w:p>
      <w:pPr>
        <w:ind w:right="2099" w:firstLine="632"/>
        <w:spacing w:after="0" w:line="265" w:lineRule="auto"/>
        <w:rPr>
          <w:sz w:val="20"/>
          <w:szCs w:val="20"/>
          <w:color w:val="auto"/>
        </w:rPr>
      </w:pPr>
      <w:r>
        <w:rPr>
          <w:rFonts w:ascii="Courier New" w:cs="Courier New" w:eastAsia="Courier New" w:hAnsi="Courier New"/>
          <w:sz w:val="18"/>
          <w:szCs w:val="18"/>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90"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SECTION 2. Annual Meetings. The annual meeting of stockholders shall be held on the first Friday in May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93" w:lineRule="exact"/>
        <w:rPr>
          <w:sz w:val="20"/>
          <w:szCs w:val="20"/>
          <w:color w:val="auto"/>
        </w:rPr>
      </w:pPr>
    </w:p>
    <w:p>
      <w:pPr>
        <w:ind w:right="1779" w:firstLine="632"/>
        <w:spacing w:after="0" w:line="344" w:lineRule="auto"/>
        <w:rPr>
          <w:sz w:val="20"/>
          <w:szCs w:val="20"/>
          <w:color w:val="auto"/>
        </w:rPr>
      </w:pPr>
      <w:r>
        <w:rPr>
          <w:rFonts w:ascii="Courier New" w:cs="Courier New" w:eastAsia="Courier New" w:hAnsi="Courier New"/>
          <w:sz w:val="16"/>
          <w:szCs w:val="16"/>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 be properly brought before the annual meeting, business must be either</w:t>
      </w:r>
    </w:p>
    <w:p>
      <w:pPr>
        <w:spacing w:after="0" w:line="53" w:lineRule="exact"/>
        <w:rPr>
          <w:sz w:val="20"/>
          <w:szCs w:val="20"/>
          <w:color w:val="auto"/>
        </w:rPr>
      </w:pPr>
    </w:p>
    <w:p>
      <w:pPr>
        <w:ind w:right="1879" w:firstLine="8"/>
        <w:spacing w:after="0" w:line="269"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w:t>
      </w:r>
    </w:p>
    <w:p>
      <w:pPr>
        <w:spacing w:after="0" w:line="191" w:lineRule="exact"/>
        <w:rPr>
          <w:rFonts w:ascii="Courier New" w:cs="Courier New" w:eastAsia="Courier New" w:hAnsi="Courier New"/>
          <w:sz w:val="16"/>
          <w:szCs w:val="16"/>
          <w:color w:val="auto"/>
        </w:rPr>
      </w:pPr>
    </w:p>
    <w:p>
      <w:pPr>
        <w:ind w:right="1879" w:firstLine="8"/>
        <w:spacing w:after="0" w:line="273"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record address of the stockholder and (ii) the class, series and number of shares of capital stock of the Corporation which are beneficially owned by the stockholder. Notwithstanding anything</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pacing w:after="0" w:line="377"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w:t>
      </w:r>
    </w:p>
    <w:p>
      <w:pPr>
        <w:sectPr>
          <w:pgSz w:w="11900" w:h="16838" w:orient="portrait"/>
          <w:cols w:equalWidth="0" w:num="1">
            <w:col w:w="10219"/>
          </w:cols>
          <w:pgMar w:left="240" w:top="110" w:right="1440" w:bottom="0" w:gutter="0" w:footer="0" w:header="0"/>
        </w:sectPr>
      </w:pPr>
    </w:p>
    <w:bookmarkStart w:id="9" w:name="page10"/>
    <w:bookmarkEnd w:id="9"/>
    <w:p>
      <w:pPr>
        <w:ind w:right="2319"/>
        <w:spacing w:after="0" w:line="402" w:lineRule="auto"/>
        <w:rPr>
          <w:sz w:val="20"/>
          <w:szCs w:val="20"/>
          <w:color w:val="auto"/>
        </w:rPr>
      </w:pPr>
      <w:r>
        <w:rPr>
          <w:rFonts w:ascii="Courier New" w:cs="Courier New" w:eastAsia="Courier New" w:hAnsi="Courier New"/>
          <w:sz w:val="16"/>
          <w:szCs w:val="16"/>
          <w:color w:val="auto"/>
        </w:rPr>
        <w:t>determine, such officer shall so declare to the annual meeting and any such business not properly brought before the meeting shall not be transacted.</w:t>
      </w:r>
    </w:p>
    <w:p>
      <w:pPr>
        <w:spacing w:after="0" w:line="1" w:lineRule="exact"/>
        <w:rPr>
          <w:sz w:val="20"/>
          <w:szCs w:val="20"/>
          <w:color w:val="auto"/>
        </w:rPr>
      </w:pPr>
    </w:p>
    <w:p>
      <w:pPr>
        <w:ind w:right="2099" w:firstLine="632"/>
        <w:spacing w:after="0" w:line="274" w:lineRule="auto"/>
        <w:rPr>
          <w:sz w:val="20"/>
          <w:szCs w:val="20"/>
          <w:color w:val="auto"/>
        </w:rPr>
      </w:pPr>
      <w:r>
        <w:rPr>
          <w:rFonts w:ascii="Courier New" w:cs="Courier New" w:eastAsia="Courier New" w:hAnsi="Courier New"/>
          <w:sz w:val="18"/>
          <w:szCs w:val="18"/>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82" w:lineRule="exact"/>
        <w:rPr>
          <w:sz w:val="20"/>
          <w:szCs w:val="20"/>
          <w:color w:val="auto"/>
        </w:rPr>
      </w:pPr>
    </w:p>
    <w:p>
      <w:pPr>
        <w:ind w:right="1779" w:firstLine="632"/>
        <w:spacing w:after="0" w:line="344" w:lineRule="auto"/>
        <w:rPr>
          <w:sz w:val="20"/>
          <w:szCs w:val="20"/>
          <w:color w:val="auto"/>
        </w:rPr>
      </w:pPr>
      <w:r>
        <w:rPr>
          <w:rFonts w:ascii="Courier New" w:cs="Courier New" w:eastAsia="Courier New" w:hAnsi="Courier New"/>
          <w:sz w:val="16"/>
          <w:szCs w:val="16"/>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31"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291"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105"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13" w:lineRule="exact"/>
        <w:rPr>
          <w:sz w:val="20"/>
          <w:szCs w:val="20"/>
          <w:color w:val="auto"/>
        </w:rPr>
      </w:pPr>
    </w:p>
    <w:p>
      <w:pPr>
        <w:ind w:right="1999" w:firstLine="632"/>
        <w:spacing w:after="0" w:line="318" w:lineRule="auto"/>
        <w:rPr>
          <w:sz w:val="20"/>
          <w:szCs w:val="20"/>
          <w:color w:val="auto"/>
        </w:rPr>
      </w:pPr>
      <w:r>
        <w:rPr>
          <w:rFonts w:ascii="Courier New" w:cs="Courier New" w:eastAsia="Courier New" w:hAnsi="Courier New"/>
          <w:sz w:val="16"/>
          <w:szCs w:val="16"/>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25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 of the Corporation entitled to vote for</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0" w:right="1440" w:bottom="1440" w:gutter="0" w:footer="0" w:header="0"/>
        </w:sectPr>
      </w:pPr>
    </w:p>
    <w:bookmarkStart w:id="10" w:name="page11"/>
    <w:bookmarkEnd w:id="10"/>
    <w:p>
      <w:pPr>
        <w:ind w:right="1779"/>
        <w:spacing w:after="0" w:line="272" w:lineRule="auto"/>
        <w:rPr>
          <w:sz w:val="20"/>
          <w:szCs w:val="20"/>
          <w:color w:val="auto"/>
        </w:rPr>
      </w:pPr>
      <w:r>
        <w:rPr>
          <w:rFonts w:ascii="Courier New" w:cs="Courier New" w:eastAsia="Courier New" w:hAnsi="Courier New"/>
          <w:sz w:val="16"/>
          <w:szCs w:val="16"/>
          <w:color w:val="auto"/>
        </w:rPr>
        <w:t>the election of directors 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79" w:firstLine="632"/>
        <w:spacing w:after="0" w:line="250" w:lineRule="auto"/>
        <w:rPr>
          <w:sz w:val="20"/>
          <w:szCs w:val="20"/>
          <w:color w:val="auto"/>
        </w:rPr>
      </w:pPr>
      <w:r>
        <w:rPr>
          <w:rFonts w:ascii="Courier New" w:cs="Courier New" w:eastAsia="Courier New" w:hAnsi="Courier New"/>
          <w:sz w:val="18"/>
          <w:szCs w:val="18"/>
          <w:color w:val="auto"/>
        </w:rPr>
        <w:t>SECTION 2. Meetings. The Board of Directors of the Corporation may hold meetings, both regular and special, either within or without the State of Delaware. Regular meetings of the Board</w:t>
      </w:r>
    </w:p>
    <w:p>
      <w:pPr>
        <w:spacing w:after="0" w:line="3"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of Directors may be held without notice at such time and at such place as may from time to time be determined by the Board of Directors. Special meetings of the Board of Directors may be called by the 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105"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99"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SECTION 4. Actions of Board of Directors.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98"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w:t>
      </w:r>
    </w:p>
    <w:p>
      <w:pPr>
        <w:sectPr>
          <w:pgSz w:w="11900" w:h="16838" w:orient="portrait"/>
          <w:cols w:equalWidth="0" w:num="1">
            <w:col w:w="10219"/>
          </w:cols>
          <w:pgMar w:left="240" w:top="488"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constitute presence in person at such meeting.</w:t>
      </w:r>
    </w:p>
    <w:p>
      <w:pPr>
        <w:spacing w:after="0" w:line="201" w:lineRule="exact"/>
        <w:rPr>
          <w:sz w:val="20"/>
          <w:szCs w:val="20"/>
          <w:color w:val="auto"/>
        </w:rPr>
      </w:pPr>
    </w:p>
    <w:p>
      <w:pPr>
        <w:ind w:right="1879" w:firstLine="632"/>
        <w:spacing w:after="0" w:line="250" w:lineRule="auto"/>
        <w:rPr>
          <w:sz w:val="20"/>
          <w:szCs w:val="20"/>
          <w:color w:val="auto"/>
        </w:rPr>
      </w:pPr>
      <w:r>
        <w:rPr>
          <w:rFonts w:ascii="Courier New" w:cs="Courier New" w:eastAsia="Courier New" w:hAnsi="Courier New"/>
          <w:sz w:val="18"/>
          <w:szCs w:val="18"/>
          <w:color w:val="auto"/>
        </w:rPr>
        <w:t>SECTION 6. Committees. The Board of Directors may, by resolution passed by a majority of the entire Board of Directors, designate one or more committees, each committee to consist of one or more of the directors of the</w:t>
      </w:r>
    </w:p>
    <w:p>
      <w:pPr>
        <w:spacing w:after="0" w:line="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0" w:right="1440" w:bottom="1440" w:gutter="0" w:footer="0" w:header="0"/>
        </w:sectPr>
      </w:pPr>
    </w:p>
    <w:bookmarkStart w:id="12" w:name="page13"/>
    <w:bookmarkEnd w:id="12"/>
    <w:p>
      <w:pPr>
        <w:ind w:right="1779"/>
        <w:spacing w:after="0" w:line="280" w:lineRule="auto"/>
        <w:rPr>
          <w:sz w:val="20"/>
          <w:szCs w:val="20"/>
          <w:color w:val="auto"/>
        </w:rPr>
      </w:pPr>
      <w:r>
        <w:rPr>
          <w:rFonts w:ascii="Courier New" w:cs="Courier New" w:eastAsia="Courier New" w:hAnsi="Courier New"/>
          <w:sz w:val="16"/>
          <w:szCs w:val="16"/>
          <w:color w:val="auto"/>
        </w:rPr>
        <w:t>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87"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SECTION 7.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98" w:lineRule="exact"/>
        <w:rPr>
          <w:sz w:val="20"/>
          <w:szCs w:val="20"/>
          <w:color w:val="auto"/>
        </w:rPr>
      </w:pPr>
    </w:p>
    <w:p>
      <w:pPr>
        <w:ind w:right="1779" w:firstLine="632"/>
        <w:spacing w:after="0" w:line="243" w:lineRule="auto"/>
        <w:rPr>
          <w:sz w:val="20"/>
          <w:szCs w:val="20"/>
          <w:color w:val="auto"/>
        </w:rPr>
      </w:pPr>
      <w:r>
        <w:rPr>
          <w:rFonts w:ascii="Courier New" w:cs="Courier New" w:eastAsia="Courier New" w:hAnsi="Courier New"/>
          <w:sz w:val="18"/>
          <w:szCs w:val="18"/>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1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right="1879" w:firstLine="632"/>
        <w:spacing w:after="0" w:line="250" w:lineRule="auto"/>
        <w:rPr>
          <w:sz w:val="20"/>
          <w:szCs w:val="20"/>
          <w:color w:val="auto"/>
        </w:rPr>
      </w:pPr>
      <w:r>
        <w:rPr>
          <w:rFonts w:ascii="Courier New" w:cs="Courier New" w:eastAsia="Courier New" w:hAnsi="Courier New"/>
          <w:sz w:val="18"/>
          <w:szCs w:val="18"/>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104"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104" w:lineRule="exact"/>
        <w:rPr>
          <w:sz w:val="20"/>
          <w:szCs w:val="20"/>
          <w:color w:val="auto"/>
        </w:rPr>
      </w:pPr>
    </w:p>
    <w:p>
      <w:pPr>
        <w:ind w:right="1879" w:firstLine="632"/>
        <w:spacing w:after="0" w:line="298" w:lineRule="auto"/>
        <w:rPr>
          <w:sz w:val="20"/>
          <w:szCs w:val="20"/>
          <w:color w:val="auto"/>
        </w:rPr>
      </w:pPr>
      <w:r>
        <w:rPr>
          <w:rFonts w:ascii="Courier New" w:cs="Courier New" w:eastAsia="Courier New" w:hAnsi="Courier New"/>
          <w:sz w:val="16"/>
          <w:szCs w:val="16"/>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w:t>
      </w:r>
    </w:p>
    <w:p>
      <w:pPr>
        <w:sectPr>
          <w:pgSz w:w="11900" w:h="16838" w:orient="portrait"/>
          <w:cols w:equalWidth="0" w:num="1">
            <w:col w:w="10219"/>
          </w:cols>
          <w:pgMar w:left="240" w:top="488"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12" w:right="1440" w:bottom="1440" w:gutter="0" w:footer="0" w:header="0"/>
        </w:sectPr>
      </w:pPr>
    </w:p>
    <w:bookmarkStart w:id="14" w:name="page15"/>
    <w:bookmarkEnd w:id="14"/>
    <w:p>
      <w:pPr>
        <w:ind w:right="1779"/>
        <w:spacing w:after="0" w:line="260" w:lineRule="auto"/>
        <w:rPr>
          <w:sz w:val="20"/>
          <w:szCs w:val="20"/>
          <w:color w:val="auto"/>
        </w:rPr>
      </w:pPr>
      <w:r>
        <w:rPr>
          <w:rFonts w:ascii="Courier New" w:cs="Courier New" w:eastAsia="Courier New" w:hAnsi="Courier New"/>
          <w:sz w:val="18"/>
          <w:szCs w:val="18"/>
          <w:color w:val="auto"/>
        </w:rPr>
        <w:t>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93"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104" w:lineRule="exact"/>
        <w:rPr>
          <w:sz w:val="20"/>
          <w:szCs w:val="20"/>
          <w:color w:val="auto"/>
        </w:rPr>
      </w:pPr>
    </w:p>
    <w:p>
      <w:pPr>
        <w:ind w:right="1779" w:firstLine="632"/>
        <w:spacing w:after="0" w:line="278" w:lineRule="auto"/>
        <w:rPr>
          <w:sz w:val="20"/>
          <w:szCs w:val="20"/>
          <w:color w:val="auto"/>
        </w:rPr>
      </w:pPr>
      <w:r>
        <w:rPr>
          <w:rFonts w:ascii="Courier New" w:cs="Courier New" w:eastAsia="Courier New" w:hAnsi="Courier New"/>
          <w:sz w:val="16"/>
          <w:szCs w:val="16"/>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w:t>
      </w:r>
    </w:p>
    <w:p>
      <w:pPr>
        <w:spacing w:after="0" w:line="3"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106" w:lineRule="exact"/>
        <w:rPr>
          <w:sz w:val="20"/>
          <w:szCs w:val="20"/>
          <w:color w:val="auto"/>
        </w:rPr>
      </w:pPr>
    </w:p>
    <w:p>
      <w:pPr>
        <w:ind w:right="1779" w:firstLine="632"/>
        <w:spacing w:after="0" w:line="281" w:lineRule="auto"/>
        <w:rPr>
          <w:sz w:val="20"/>
          <w:szCs w:val="20"/>
          <w:color w:val="auto"/>
        </w:rPr>
      </w:pPr>
      <w:r>
        <w:rPr>
          <w:rFonts w:ascii="Courier New" w:cs="Courier New" w:eastAsia="Courier New" w:hAnsi="Courier New"/>
          <w:sz w:val="16"/>
          <w:szCs w:val="16"/>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290" w:lineRule="exact"/>
        <w:rPr>
          <w:sz w:val="20"/>
          <w:szCs w:val="20"/>
          <w:color w:val="auto"/>
        </w:rPr>
      </w:pPr>
    </w:p>
    <w:p>
      <w:pPr>
        <w:ind w:right="1779" w:firstLine="632"/>
        <w:spacing w:after="0" w:line="243" w:lineRule="auto"/>
        <w:rPr>
          <w:sz w:val="20"/>
          <w:szCs w:val="20"/>
          <w:color w:val="auto"/>
        </w:rPr>
      </w:pPr>
      <w:r>
        <w:rPr>
          <w:rFonts w:ascii="Courier New" w:cs="Courier New" w:eastAsia="Courier New" w:hAnsi="Courier New"/>
          <w:sz w:val="18"/>
          <w:szCs w:val="18"/>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121" w:lineRule="exact"/>
        <w:rPr>
          <w:sz w:val="20"/>
          <w:szCs w:val="20"/>
          <w:color w:val="auto"/>
        </w:rPr>
      </w:pPr>
    </w:p>
    <w:p>
      <w:pPr>
        <w:ind w:right="1879" w:firstLine="632"/>
        <w:spacing w:after="0" w:line="287" w:lineRule="auto"/>
        <w:rPr>
          <w:sz w:val="20"/>
          <w:szCs w:val="20"/>
          <w:color w:val="auto"/>
        </w:rPr>
      </w:pPr>
      <w:r>
        <w:rPr>
          <w:rFonts w:ascii="Courier New" w:cs="Courier New" w:eastAsia="Courier New" w:hAnsi="Courier New"/>
          <w:sz w:val="16"/>
          <w:szCs w:val="16"/>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w:t>
      </w:r>
    </w:p>
    <w:p>
      <w:pPr>
        <w:sectPr>
          <w:pgSz w:w="11900" w:h="16838" w:orient="portrait"/>
          <w:cols w:equalWidth="0" w:num="1">
            <w:col w:w="10219"/>
          </w:cols>
          <w:pgMar w:left="240" w:top="488" w:right="1440" w:bottom="0" w:gutter="0" w:footer="0" w:header="0"/>
        </w:sectPr>
      </w:pPr>
    </w:p>
    <w:bookmarkStart w:id="15" w:name="page16"/>
    <w:bookmarkEnd w:id="15"/>
    <w:p>
      <w:pPr>
        <w:ind w:right="1879"/>
        <w:spacing w:after="0" w:line="245" w:lineRule="auto"/>
        <w:rPr>
          <w:sz w:val="20"/>
          <w:szCs w:val="20"/>
          <w:color w:val="auto"/>
        </w:rPr>
      </w:pPr>
      <w:r>
        <w:rPr>
          <w:rFonts w:ascii="Courier New" w:cs="Courier New" w:eastAsia="Courier New" w:hAnsi="Courier New"/>
          <w:sz w:val="18"/>
          <w:szCs w:val="18"/>
          <w:color w:val="auto"/>
        </w:rPr>
        <w:t>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10" w:right="1440" w:bottom="1440" w:gutter="0" w:footer="0" w:header="0"/>
        </w:sectPr>
      </w:pPr>
    </w:p>
    <w:bookmarkStart w:id="16" w:name="page17"/>
    <w:bookmarkEnd w:id="16"/>
    <w:p>
      <w:pPr>
        <w:ind w:right="1779"/>
        <w:spacing w:after="0" w:line="292" w:lineRule="auto"/>
        <w:rPr>
          <w:sz w:val="20"/>
          <w:szCs w:val="20"/>
          <w:color w:val="auto"/>
        </w:rPr>
      </w:pPr>
      <w:r>
        <w:rPr>
          <w:rFonts w:ascii="Courier New" w:cs="Courier New" w:eastAsia="Courier New" w:hAnsi="Courier New"/>
          <w:sz w:val="18"/>
          <w:szCs w:val="18"/>
          <w:color w:val="auto"/>
        </w:rPr>
        <w:t>his death, resignation, retirement or removal from office, of all books, papers, vouchers, money and other property of whatever kind in his possession or under his control belonging to the Corporation.</w:t>
      </w:r>
    </w:p>
    <w:p>
      <w:pPr>
        <w:spacing w:after="0" w:line="66"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104" w:lineRule="exact"/>
        <w:rPr>
          <w:sz w:val="20"/>
          <w:szCs w:val="20"/>
          <w:color w:val="auto"/>
        </w:rPr>
      </w:pPr>
    </w:p>
    <w:p>
      <w:pPr>
        <w:ind w:right="1779" w:firstLine="632"/>
        <w:spacing w:after="0" w:line="281" w:lineRule="auto"/>
        <w:rPr>
          <w:sz w:val="20"/>
          <w:szCs w:val="20"/>
          <w:color w:val="auto"/>
        </w:rPr>
      </w:pPr>
      <w:r>
        <w:rPr>
          <w:rFonts w:ascii="Courier New" w:cs="Courier New" w:eastAsia="Courier New" w:hAnsi="Courier New"/>
          <w:sz w:val="16"/>
          <w:szCs w:val="16"/>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90"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93" w:lineRule="exact"/>
        <w:rPr>
          <w:sz w:val="20"/>
          <w:szCs w:val="20"/>
          <w:color w:val="auto"/>
        </w:rPr>
      </w:pPr>
    </w:p>
    <w:p>
      <w:pPr>
        <w:ind w:right="1779" w:firstLine="632"/>
        <w:spacing w:after="0" w:line="306" w:lineRule="auto"/>
        <w:rPr>
          <w:sz w:val="20"/>
          <w:szCs w:val="20"/>
          <w:color w:val="auto"/>
        </w:rPr>
      </w:pPr>
      <w:r>
        <w:rPr>
          <w:rFonts w:ascii="Courier New" w:cs="Courier New" w:eastAsia="Courier New" w:hAnsi="Courier New"/>
          <w:sz w:val="16"/>
          <w:szCs w:val="16"/>
          <w:color w:val="auto"/>
        </w:rPr>
        <w:t>SECTION 12.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6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STOCK</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SECTION 1. Form of Certificates. Every holder of stock in the Corporation shall be entitled to have a certificate signed, in the name of the Corporation (i) 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93"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04" w:lineRule="exact"/>
        <w:rPr>
          <w:sz w:val="20"/>
          <w:szCs w:val="20"/>
          <w:color w:val="auto"/>
        </w:rPr>
      </w:pPr>
    </w:p>
    <w:p>
      <w:pPr>
        <w:ind w:right="1779" w:firstLine="632"/>
        <w:spacing w:after="0" w:line="248" w:lineRule="auto"/>
        <w:rPr>
          <w:sz w:val="20"/>
          <w:szCs w:val="20"/>
          <w:color w:val="auto"/>
        </w:rPr>
      </w:pPr>
      <w:r>
        <w:rPr>
          <w:rFonts w:ascii="Courier New" w:cs="Courier New" w:eastAsia="Courier New" w:hAnsi="Courier New"/>
          <w:sz w:val="18"/>
          <w:szCs w:val="18"/>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105"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SECTION 4. Transfers. Stock of the Corporation shall be transferable in the manner prescribed by law and in these Bylaws. Transfers of stock shall be made on the books of the Corporation only by the person named in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488" w:right="1440" w:bottom="0" w:gutter="0" w:footer="0" w:header="0"/>
        </w:sectPr>
      </w:pPr>
    </w:p>
    <w:bookmarkStart w:id="17" w:name="page18"/>
    <w:bookmarkEnd w:id="17"/>
    <w:p>
      <w:pPr>
        <w:ind w:right="2199"/>
        <w:spacing w:after="0" w:line="292" w:lineRule="auto"/>
        <w:rPr>
          <w:sz w:val="20"/>
          <w:szCs w:val="20"/>
          <w:color w:val="auto"/>
        </w:rPr>
      </w:pPr>
      <w:r>
        <w:rPr>
          <w:rFonts w:ascii="Courier New" w:cs="Courier New" w:eastAsia="Courier New" w:hAnsi="Courier New"/>
          <w:sz w:val="18"/>
          <w:szCs w:val="18"/>
          <w:color w:val="auto"/>
        </w:rPr>
        <w:t>certificate or by his attorney lawfully constituted in writing and upon the surrender of the certificate therefor, which shall be cancelled before a new certificate shall be issued.</w:t>
      </w:r>
    </w:p>
    <w:p>
      <w:pPr>
        <w:spacing w:after="0" w:line="66" w:lineRule="exact"/>
        <w:rPr>
          <w:sz w:val="20"/>
          <w:szCs w:val="20"/>
          <w:color w:val="auto"/>
        </w:rPr>
      </w:pPr>
    </w:p>
    <w:p>
      <w:pPr>
        <w:ind w:right="1779" w:firstLine="632"/>
        <w:spacing w:after="0" w:line="247" w:lineRule="auto"/>
        <w:rPr>
          <w:sz w:val="20"/>
          <w:szCs w:val="20"/>
          <w:color w:val="auto"/>
        </w:rPr>
      </w:pPr>
      <w:r>
        <w:rPr>
          <w:rFonts w:ascii="Courier New" w:cs="Courier New" w:eastAsia="Courier New" w:hAnsi="Courier New"/>
          <w:sz w:val="18"/>
          <w:szCs w:val="18"/>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08"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3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104"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9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104"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SECTION 3. Fiscal Year. The fiscal year of the Corporation shall end on the Friday nearest December 31 and the following fiscal year shall commence on the Saturday following the aforesaid Friday, unless the fiscal year is otherwise fixed by affirmative resolution of the entire Board of Directors.*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488" w:right="1440" w:bottom="996" w:gutter="0" w:footer="0" w:header="0"/>
        </w:sectPr>
      </w:pPr>
    </w:p>
    <w:bookmarkStart w:id="18" w:name="page19"/>
    <w:bookmarkEnd w:id="18"/>
    <w:p>
      <w:pPr>
        <w:ind w:right="2099" w:firstLine="632"/>
        <w:spacing w:after="0" w:line="274" w:lineRule="auto"/>
        <w:rPr>
          <w:sz w:val="20"/>
          <w:szCs w:val="20"/>
          <w:color w:val="auto"/>
        </w:rPr>
      </w:pPr>
      <w:r>
        <w:rPr>
          <w:rFonts w:ascii="Courier New" w:cs="Courier New" w:eastAsia="Courier New" w:hAnsi="Courier New"/>
          <w:sz w:val="18"/>
          <w:szCs w:val="18"/>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488" w:right="1440" w:bottom="1440" w:gutter="0" w:footer="0" w:header="0"/>
        </w:sectPr>
      </w:pPr>
    </w:p>
    <w:bookmarkStart w:id="19" w:name="page20"/>
    <w:bookmarkEnd w:id="19"/>
    <w:p>
      <w:pPr>
        <w:jc w:val="both"/>
        <w:ind w:left="632" w:right="2419" w:hanging="632"/>
        <w:spacing w:after="0" w:line="292"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25, 1991, the Board of Directors of the Company adopted a resolution changing the Company's fiscal year end to a calendar year commencing with the year 1992.</w:t>
      </w:r>
    </w:p>
    <w:p>
      <w:pPr>
        <w:spacing w:after="0" w:line="2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488" w:right="1440" w:bottom="1440" w:gutter="0" w:footer="0" w:header="0"/>
        </w:sectPr>
      </w:pPr>
    </w:p>
    <w:bookmarkStart w:id="20" w:name="page21"/>
    <w:bookmarkEnd w:id="20"/>
    <w:p>
      <w:pPr>
        <w:jc w:val="right"/>
        <w:ind w:right="231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May 31,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1023 Cherry Road</w:t>
      </w:r>
    </w:p>
    <w:p>
      <w:pPr>
        <w:spacing w:after="0"/>
        <w:rPr>
          <w:sz w:val="20"/>
          <w:szCs w:val="20"/>
          <w:color w:val="auto"/>
        </w:rPr>
      </w:pPr>
      <w:r>
        <w:rPr>
          <w:rFonts w:ascii="Courier New" w:cs="Courier New" w:eastAsia="Courier New" w:hAnsi="Courier New"/>
          <w:sz w:val="18"/>
          <w:szCs w:val="18"/>
          <w:color w:val="auto"/>
        </w:rPr>
        <w:t>Memphis, TN 38117</w:t>
      </w:r>
    </w:p>
    <w:p>
      <w:pPr>
        <w:spacing w:after="0" w:line="169" w:lineRule="exact"/>
        <w:rPr>
          <w:sz w:val="20"/>
          <w:szCs w:val="20"/>
          <w:color w:val="auto"/>
        </w:rPr>
      </w:pPr>
    </w:p>
    <w:p>
      <w:pPr>
        <w:ind w:left="1060" w:right="4319" w:hanging="519"/>
        <w:spacing w:after="0" w:line="289" w:lineRule="auto"/>
        <w:tabs>
          <w:tab w:leader="none" w:pos="1040" w:val="left"/>
        </w:tabs>
        <w:rPr>
          <w:sz w:val="20"/>
          <w:szCs w:val="20"/>
          <w:color w:val="auto"/>
        </w:rPr>
      </w:pPr>
      <w:r>
        <w:rPr>
          <w:rFonts w:ascii="Courier New" w:cs="Courier New" w:eastAsia="Courier New" w:hAnsi="Courier New"/>
          <w:sz w:val="16"/>
          <w:szCs w:val="16"/>
          <w:color w:val="auto"/>
        </w:rPr>
        <w:t>Re:</w:t>
        <w:tab/>
        <w:t>Common Stock, Par Value $0.10 Per Share of The Promus Companies Incorporated (the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2319" w:firstLine="1053"/>
        <w:spacing w:after="0" w:line="256" w:lineRule="auto"/>
        <w:rPr>
          <w:sz w:val="20"/>
          <w:szCs w:val="20"/>
          <w:color w:val="auto"/>
        </w:rPr>
      </w:pPr>
      <w:r>
        <w:rPr>
          <w:rFonts w:ascii="Courier New" w:cs="Courier New" w:eastAsia="Courier New" w:hAnsi="Courier New"/>
          <w:sz w:val="18"/>
          <w:szCs w:val="18"/>
          <w:color w:val="auto"/>
        </w:rPr>
        <w:t>I am General Counsel of the Company. At your request, I have examined the Form S-8 Registration Statement (the "Registration Statement") which you intend to file with the Securities and Exchange Commission in connection with the registration under the Securities Act of 1933, as amended, of 4,500,000 shares of Common Stock, par value $0.10 per share (the "Shares"), issuable pursuant to the Company's 1990 Stock Option Plan, as amended as of April 5, 1995 (the "Stock Option Plan").</w:t>
      </w:r>
    </w:p>
    <w:p>
      <w:pPr>
        <w:spacing w:after="0" w:line="98" w:lineRule="exact"/>
        <w:rPr>
          <w:sz w:val="20"/>
          <w:szCs w:val="20"/>
          <w:color w:val="auto"/>
        </w:rPr>
      </w:pPr>
    </w:p>
    <w:p>
      <w:pPr>
        <w:ind w:right="2319" w:firstLine="1053"/>
        <w:spacing w:after="0" w:line="260" w:lineRule="auto"/>
        <w:rPr>
          <w:sz w:val="20"/>
          <w:szCs w:val="20"/>
          <w:color w:val="auto"/>
        </w:rPr>
      </w:pPr>
      <w:r>
        <w:rPr>
          <w:rFonts w:ascii="Courier New" w:cs="Courier New" w:eastAsia="Courier New" w:hAnsi="Courier New"/>
          <w:sz w:val="18"/>
          <w:szCs w:val="18"/>
          <w:color w:val="auto"/>
        </w:rPr>
        <w:t>The Shares will be issued under the Stock Option Plan in accordance with the terms of said Plan. I am familiar with the proceedings undertaken in connection with the authorization and issuance of the Shares under the Stock Option Plan. Additionally, I have examined such questions of law and fact as I have considered necessary or appropriate for purposes of this opinion.</w:t>
      </w:r>
    </w:p>
    <w:p>
      <w:pPr>
        <w:spacing w:after="0" w:line="93" w:lineRule="exact"/>
        <w:rPr>
          <w:sz w:val="20"/>
          <w:szCs w:val="20"/>
          <w:color w:val="auto"/>
        </w:rPr>
      </w:pPr>
    </w:p>
    <w:p>
      <w:pPr>
        <w:ind w:right="2319" w:firstLine="1053"/>
        <w:spacing w:after="0" w:line="260" w:lineRule="auto"/>
        <w:rPr>
          <w:sz w:val="20"/>
          <w:szCs w:val="20"/>
          <w:color w:val="auto"/>
        </w:rPr>
      </w:pPr>
      <w:r>
        <w:rPr>
          <w:rFonts w:ascii="Courier New" w:cs="Courier New" w:eastAsia="Courier New" w:hAnsi="Courier New"/>
          <w:sz w:val="18"/>
          <w:szCs w:val="18"/>
          <w:color w:val="auto"/>
        </w:rPr>
        <w:t>Based upon the foregoing, I am of the opinion that the Shares have been duly authorized, and upon the issuance of Shares under the terms of the Stock Option Plan and delivery and payment therefor of consideration set forth in the Delaware General Corporation Law at least equal to the aggregate par value of the Shares issued, such Shares will be validly issued, fully paid and nonassessable.</w:t>
      </w:r>
    </w:p>
    <w:p>
      <w:pPr>
        <w:spacing w:after="0" w:line="93" w:lineRule="exact"/>
        <w:rPr>
          <w:sz w:val="20"/>
          <w:szCs w:val="20"/>
          <w:color w:val="auto"/>
        </w:rPr>
      </w:pPr>
    </w:p>
    <w:p>
      <w:pPr>
        <w:ind w:right="2419" w:firstLine="1053"/>
        <w:spacing w:after="0" w:line="344" w:lineRule="auto"/>
        <w:rPr>
          <w:sz w:val="20"/>
          <w:szCs w:val="20"/>
          <w:color w:val="auto"/>
        </w:rPr>
      </w:pPr>
      <w:r>
        <w:rPr>
          <w:rFonts w:ascii="Courier New" w:cs="Courier New" w:eastAsia="Courier New" w:hAnsi="Courier New"/>
          <w:sz w:val="16"/>
          <w:szCs w:val="16"/>
          <w:color w:val="auto"/>
        </w:rPr>
        <w:t>I consent to your filing this opinion as an exhibit to the Registration Statement and to the reference to my name in the Registration Statement under the heading "Interests of Named Experts and Counsel."</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 O. ROBINSON,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 O. Robinson, Jr.</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Senior Vice President, General Counsel</w:t>
      </w:r>
    </w:p>
    <w:p>
      <w:pPr>
        <w:ind w:left="3700"/>
        <w:spacing w:after="0"/>
        <w:rPr>
          <w:sz w:val="20"/>
          <w:szCs w:val="20"/>
          <w:color w:val="auto"/>
        </w:rPr>
      </w:pPr>
      <w:r>
        <w:rPr>
          <w:rFonts w:ascii="Courier New" w:cs="Courier New" w:eastAsia="Courier New" w:hAnsi="Courier New"/>
          <w:sz w:val="18"/>
          <w:szCs w:val="18"/>
          <w:color w:val="auto"/>
        </w:rPr>
        <w:t>and Secretary</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10" w:right="1440" w:bottom="1440" w:gutter="0" w:footer="0" w:header="0"/>
        </w:sectPr>
      </w:pPr>
    </w:p>
    <w:bookmarkStart w:id="21" w:name="page22"/>
    <w:bookmarkEnd w:id="21"/>
    <w:p>
      <w:pPr>
        <w:jc w:val="right"/>
        <w:ind w:right="231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1" w:lineRule="exact"/>
        <w:rPr>
          <w:sz w:val="20"/>
          <w:szCs w:val="20"/>
          <w:color w:val="auto"/>
        </w:rPr>
      </w:pPr>
    </w:p>
    <w:p>
      <w:pPr>
        <w:ind w:right="2319" w:firstLine="527"/>
        <w:spacing w:after="0" w:line="265"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March 20, 1995 included in The Promus Companies Incorporated Form 10-K, as amended, for the year ended December 31, 1994 and to all references to our Firm included in this registration statement.</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Memphis, Tennessee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30, 1995</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2019-12-13T19:18:11Z</dcterms:created>
  <dcterms:modified xsi:type="dcterms:W3CDTF">2019-12-13T19:18:11Z</dcterms:modified>
</cp:coreProperties>
</file>