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400" w:right="70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8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4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Common Stock, $.00001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86"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81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8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67"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July 28, 2022 was 214,416,918.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Item 1.</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Unaudited Financial Statements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Balance Sheets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Statements of Operations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Condensed Statements of Comprehensive Income (Loss)</w:t>
              </w:r>
            </w:hyperlink>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Stockholders’ Equity</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Condensed Statements of Cash Flows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Consolidated Condensed Financial Statements</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w:t>
              </w:r>
            </w:hyperlink>
          </w:p>
        </w:tc>
        <w:tc>
          <w:tcPr>
            <w:tcW w:w="6460" w:type="dxa"/>
            <w:vAlign w:val="bottom"/>
            <w:tcBorders>
              <w:bottom w:val="single" w:sz="8" w:color="0000FF"/>
            </w:tcBorders>
            <w:gridSpan w:val="19"/>
            <w:shd w:val="clear" w:color="auto" w:fill="CCEEFF"/>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Management’s Discussion and Analysis of Financial Condition and Results of Operations</w:t>
              </w:r>
            </w:hyperlink>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3.</w:t>
              </w:r>
            </w:hyperlink>
          </w:p>
        </w:tc>
        <w:tc>
          <w:tcPr>
            <w:tcW w:w="8920" w:type="dxa"/>
            <w:vAlign w:val="bottom"/>
            <w:gridSpan w:val="2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1400" w:type="dxa"/>
            <w:vAlign w:val="bottom"/>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Item 4.</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Controls and Procedures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PART II. OTHER INFORMATION</w:t>
              </w:r>
            </w:hyperlink>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Item 1.</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Legal Proceedings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53</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1A.</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Risk Factors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2.</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3.</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Defaults Upon Senior Securities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4.</w:t>
              </w:r>
            </w:hyperlink>
          </w:p>
        </w:tc>
        <w:tc>
          <w:tcPr>
            <w:tcW w:w="2320" w:type="dxa"/>
            <w:vAlign w:val="bottom"/>
            <w:tcBorders>
              <w:top w:val="single" w:sz="8" w:color="0000FF"/>
            </w:tcBorders>
            <w:gridSpan w:val="10"/>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Mine Safety Disclosures</w:t>
              </w:r>
            </w:hyperlink>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Item 5.</w:t>
              </w:r>
            </w:hyperlink>
          </w:p>
        </w:tc>
        <w:tc>
          <w:tcPr>
            <w:tcW w:w="132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55">
              <w:r>
                <w:rPr>
                  <w:rFonts w:ascii="Arial" w:cs="Arial" w:eastAsia="Arial" w:hAnsi="Arial"/>
                  <w:sz w:val="18"/>
                  <w:szCs w:val="18"/>
                  <w:color w:val="0000FF"/>
                  <w:w w:val="92"/>
                </w:rPr>
                <w:t>Other Information</w:t>
              </w:r>
            </w:hyperlink>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Item 6.</w:t>
              </w:r>
            </w:hyperlink>
          </w:p>
        </w:tc>
        <w:tc>
          <w:tcPr>
            <w:tcW w:w="8920" w:type="dxa"/>
            <w:vAlign w:val="bottom"/>
            <w:gridSpan w:val="20"/>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Exhibits</w:t>
              </w:r>
            </w:hyperlink>
          </w:p>
        </w:tc>
        <w:tc>
          <w:tcPr>
            <w:tcW w:w="1400" w:type="dxa"/>
            <w:vAlign w:val="bottom"/>
          </w:tcPr>
          <w:p>
            <w:pPr>
              <w:jc w:val="center"/>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55</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b w:val="1"/>
                <w:bCs w:val="1"/>
                <w:color w:val="0000FF"/>
                <w:w w:val="94"/>
              </w:rPr>
            </w:pPr>
            <w:hyperlink w:anchor="page56">
              <w:r>
                <w:rPr>
                  <w:rFonts w:ascii="Arial" w:cs="Arial" w:eastAsia="Arial" w:hAnsi="Arial"/>
                  <w:sz w:val="18"/>
                  <w:szCs w:val="18"/>
                  <w:b w:val="1"/>
                  <w:bCs w:val="1"/>
                  <w:color w:val="0000FF"/>
                  <w:w w:val="94"/>
                </w:rPr>
                <w:t>Signatures</w:t>
              </w:r>
            </w:hyperlink>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6"/>
                <w:szCs w:val="16"/>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w w:val="93"/>
              </w:rPr>
              <w:t>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Assets held for sale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Gaming rights and other intangibles,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6840" w:type="dxa"/>
            <w:vAlign w:val="bottom"/>
            <w:tcBorders>
              <w:top w:val="single" w:sz="8" w:color="CCEEFF"/>
              <w:bottom w:val="single" w:sz="8" w:color="CCEEFF"/>
            </w:tcBorders>
            <w:vMerge w:val="restart"/>
          </w:tcPr>
          <w:p>
            <w:pPr>
              <w:jc w:val="center"/>
              <w:ind w:right="679"/>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12,523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32,959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33,490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4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1,549</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1,571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operating costs, net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(loss) from continuing operations, net of income taxes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income (loss) per share - basic and diluted: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Basic income (loss) per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6"/>
                <w:szCs w:val="16"/>
                <w:color w:val="auto"/>
              </w:rPr>
              <w:t>Basic income (loss) per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income (loss) per share from continuing operations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Diluted income (loss) per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Weighted average basic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diluted shares outstanding</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99"/>
              <w:spacing w:after="0" w:line="172"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1"/>
              </w:rPr>
              <w:t>(11)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Comprehensive income (loss)</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Arial" w:cs="Arial" w:eastAsia="Arial" w:hAnsi="Arial"/>
                <w:sz w:val="16"/>
                <w:szCs w:val="16"/>
                <w:color w:val="auto"/>
              </w:rPr>
              <w:t>Comprehensive income (loss) attributable to Caesars</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8"/>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tcPr>
          <w:p>
            <w:pPr>
              <w:jc w:val="center"/>
              <w:ind w:right="60"/>
              <w:spacing w:after="0" w:line="175" w:lineRule="exact"/>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March 31, 2021</w:t>
            </w:r>
          </w:p>
        </w:tc>
        <w:tc>
          <w:tcPr>
            <w:tcW w:w="7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common stock, net</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Acquired noncontrolling interest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March 31, 2022</w:t>
            </w: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Net income (loss)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comprehensive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8"/>
              </w:rPr>
              <w:t>Transactions with noncontrolling interests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June 30, 2022</w:t>
            </w: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6,905</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Acquisition of William Hill, net of cash acquired</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(2,042)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the sale of investments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(1,980)</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paid to settle convertible notes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DISCONTINUED OPERATIONS: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Net cash from discontinued operations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Decrease in cash, cash equivalents and restricted cash</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(2,110)</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w w:val="97"/>
              </w:rPr>
              <w:t>RECONCILIATION OF CASH, CASH EQUIVALENTS AND RESTRICTED CASH TO AMOUNTS REPORTED</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WITHIN THE CONSOLIDATED CONDENSED BALANCE SHEETS: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included in restricted cash and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and cash equivalents and restricted cash held for sale - discontinued operations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w:t>
            </w:r>
          </w:p>
        </w:tc>
      </w:tr>
      <w:tr>
        <w:trPr>
          <w:trHeight w:val="193"/>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SUPPLEMENTAL DISCLOSURE OF CASH FLOW INFORMATION:</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paid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Income taxes paid,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Payables for capital expenditures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Convertible notes settled with shares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10"/>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Land contributed to joint venture</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This Form 10-Q should be read in conjunction with our Annual Report on Form 10-K for the year ended December 31, 2021 (“2021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in this Form 10-Q have the same meanings as in the 2021 Annual Report.</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(“Isle” or “Isle of Capri”) in 2017 and Tropicana Entertainment, Inc. in 2018. On July 20, 2020, the Company completed the merger with Caesars Entertainment Corporation (“Former Caesars”) pursuant to which Former Caesars became a wholly-owned subsidiary of the Company (the “Merger”) and the Company changed the Company’s ticker symbol on the NASDAQ Stock Market from “ERI” to “CZR”.</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the Company completed the acquisition of William Hill PLC for </w:t>
      </w:r>
      <w:r>
        <w:rPr>
          <w:rFonts w:ascii="Arial" w:cs="Arial" w:eastAsia="Arial" w:hAnsi="Arial"/>
          <w:sz w:val="18"/>
          <w:szCs w:val="18"/>
          <w:color w:val="212529"/>
        </w:rPr>
        <w:t>£2.9 billion, or approximately $3.9 billion (the “William Hill</w:t>
      </w:r>
      <w:r>
        <w:rPr>
          <w:rFonts w:ascii="Arial" w:cs="Arial" w:eastAsia="Arial" w:hAnsi="Arial"/>
          <w:sz w:val="18"/>
          <w:szCs w:val="18"/>
          <w:color w:val="auto"/>
        </w:rPr>
        <w:t xml:space="preserve"> </w:t>
      </w:r>
      <w:r>
        <w:rPr>
          <w:rFonts w:ascii="Arial" w:cs="Arial" w:eastAsia="Arial" w:hAnsi="Arial"/>
          <w:sz w:val="18"/>
          <w:szCs w:val="18"/>
          <w:color w:val="212529"/>
        </w:rPr>
        <w:t>Acquisition”). See below for further discussion of the William Hill Acquisition.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leases, brands or manages an aggregate of 51 domestic properties in 16 states with approximately 53,200 slot machines, video lottery terminals and e-tables, approximately 2,900 table games and approximately 47,500 hotel rooms as of June 30, 2022. The Company operates and conducts sports wagering across 25 jurisdictions in North America, 18 of which are mobile for sports betting, and operates regulated online real money gaming businesses in six jurisdictions in North America. In addition, we have other domestic and international properties that are authorized to use the brands and marks of Caesars Entertainment, Inc., as well as other non-gaming properties. The Company’s primary source of revenue is generated by its casino properties’ gaming operations, retail and online sports betting, as well as online gaming, and the Company utilizes its hotels, restaurants, bars, entertainment, racing, retail shops and other services to attract customers to its properties.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operations for retail and mobile sports betting, online horse racing wagering, online casino, and online poker are included within the Caesars Digital segment. The Company has made significant investments into the interactive business with the completion of the Merger and the William Hill Acquisition. In addition, in connection with the launch and rebranding of the Caesars Sportsbook app, our Caesars Digital segment initiated a significant marketing campaign with distinguished actors, former athletes and other media personalities. As new states and jurisdictions have legalized sports betting, we have made significant upfront investments which have been executed through marketing campaigns and promotional incentives to acquire new customers and establish ourselves as an industry leader. During significant promotional periods, such as entering new jurisdictions with our Caesars Sportsbook app, the Company intends to limit the duration and apply discretion to determine the level of investment for a particular jurisdiction. The Caesars Sportsbook app offers numerous pre-match and live markets, extensive odds and flexible limits, player props, and same-game parlays. Caesars Sportsbook has partnerships with the NFL, NBA, NHL and MLB and is the exclusive odds provider for ESPN and CBS Sports. The Company also intends to continue to create new partnerships among collegiate and professional sports teams and entered into the exclusive naming-rights partnership to rebrand the Superdome in New Orleans as the Caesars Superdome. In addition to the Caesars Sportsbook app, the Company and NYRABets LLC, the official online wagering platform of the New York Racing Association, Inc., launched the Caesars Racebook app. The Caesars Racebook app provides access for wagers at over 300 race tracks around the world. Wagers placed can earn credits towards the Caesars Rewards program or points which can be redeemed for free wagering credits. The Company expects to continue to expand its operations in the Caesars Digital segment as new jurisdictions legalize retail and online sports betting and online horse racing wagering.</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divested certain properties and other assets, including non-core properties and divestitures required by regulatory agencies. See Note 3 for a discussion of properties recently sold or currently held for sale and Note 15 for segment information.</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William Hill Acquisition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w:t>
      </w:r>
      <w:r>
        <w:rPr>
          <w:rFonts w:ascii="Arial" w:cs="Arial" w:eastAsia="Arial" w:hAnsi="Arial"/>
          <w:sz w:val="18"/>
          <w:szCs w:val="18"/>
          <w:color w:val="212529"/>
        </w:rPr>
        <w:t>£2.9 billion</w:t>
      </w:r>
      <w:r>
        <w:rPr>
          <w:rFonts w:ascii="Arial" w:cs="Arial" w:eastAsia="Arial" w:hAnsi="Arial"/>
          <w:sz w:val="18"/>
          <w:szCs w:val="18"/>
          <w:color w:val="auto"/>
        </w:rPr>
        <w:t xml:space="preserve">, or approximately </w:t>
      </w:r>
      <w:r>
        <w:rPr>
          <w:rFonts w:ascii="Arial" w:cs="Arial" w:eastAsia="Arial" w:hAnsi="Arial"/>
          <w:sz w:val="18"/>
          <w:szCs w:val="18"/>
          <w:color w:val="212529"/>
        </w:rPr>
        <w:t>$3.9 billion</w:t>
      </w:r>
      <w:r>
        <w:rPr>
          <w:rFonts w:ascii="Arial" w:cs="Arial" w:eastAsia="Arial" w:hAnsi="Arial"/>
          <w:sz w:val="18"/>
          <w:szCs w:val="18"/>
          <w:color w:val="auto"/>
        </w:rPr>
        <w:t>. See Note 2.</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the Company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On July 1, 2022, outstanding borrowings under the Bridge Credit Agreement were repaid immediately following the sale of William Hill’s non-U.S. operations, which included the UK and international online divisions and the retail betting shops (collectively, “William Hill International”), all of which were held for sale as of the date of the closing of the William Hill Acquisition with operations reflected within discontinued operations. See Note 3. Certain investments acquired have been excluded from the held for sale asset group. See Note 7 for investments in which the Company elected to apply the fair value option.</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September 8, 2021, the Company entered into an agreement to sell William Hill International to 888 Holdings Plc for approximately £2.2 billion. In order to </w:t>
      </w:r>
      <w:r>
        <w:rPr>
          <w:rFonts w:ascii="Arial" w:cs="Arial" w:eastAsia="Arial" w:hAnsi="Arial"/>
          <w:sz w:val="17"/>
          <w:szCs w:val="17"/>
          <w:color w:val="212529"/>
        </w:rPr>
        <w:t>manage the risk of changes in the GBP denominated sales price and expected proceeds, the Company entered into foreign exchange forward</w:t>
      </w:r>
      <w:r>
        <w:rPr>
          <w:rFonts w:ascii="Arial" w:cs="Arial" w:eastAsia="Arial" w:hAnsi="Arial"/>
          <w:sz w:val="17"/>
          <w:szCs w:val="17"/>
          <w:color w:val="auto"/>
        </w:rPr>
        <w:t xml:space="preserve"> </w:t>
      </w:r>
      <w:r>
        <w:rPr>
          <w:rFonts w:ascii="Arial" w:cs="Arial" w:eastAsia="Arial" w:hAnsi="Arial"/>
          <w:sz w:val="17"/>
          <w:szCs w:val="17"/>
          <w:color w:val="212529"/>
        </w:rPr>
        <w:t xml:space="preserve">contracts. See </w:t>
      </w:r>
      <w:r>
        <w:rPr>
          <w:rFonts w:ascii="Arial" w:cs="Arial" w:eastAsia="Arial" w:hAnsi="Arial"/>
          <w:sz w:val="17"/>
          <w:szCs w:val="17"/>
          <w:color w:val="000000"/>
        </w:rPr>
        <w:t>Note 7. On April 7, 2022, the Company amended the agreement to sell the non-US assets of William Hill to 888 Holdings Plc for a revised</w:t>
      </w:r>
      <w:r>
        <w:rPr>
          <w:rFonts w:ascii="Arial" w:cs="Arial" w:eastAsia="Arial" w:hAnsi="Arial"/>
          <w:sz w:val="17"/>
          <w:szCs w:val="17"/>
          <w:color w:val="212529"/>
        </w:rPr>
        <w:t xml:space="preserve"> </w:t>
      </w:r>
      <w:r>
        <w:rPr>
          <w:rFonts w:ascii="Arial" w:cs="Arial" w:eastAsia="Arial" w:hAnsi="Arial"/>
          <w:sz w:val="17"/>
          <w:szCs w:val="17"/>
          <w:color w:val="000000"/>
        </w:rPr>
        <w:t xml:space="preserve">enterprise value of approximately £2.0 billion. The amended agreement reflects a £250 million reduction in consideration payable at closing and up to £100 million as deferred consideration to be paid to the Company, subject to 888 Holdings Plc meeting certain 2023 financial targets. </w:t>
      </w:r>
      <w:r>
        <w:rPr>
          <w:rFonts w:ascii="Arial" w:cs="Arial" w:eastAsia="Arial" w:hAnsi="Arial"/>
          <w:sz w:val="17"/>
          <w:szCs w:val="17"/>
          <w:color w:val="212529"/>
        </w:rPr>
        <w:t>During the three and</w:t>
      </w:r>
      <w:r>
        <w:rPr>
          <w:rFonts w:ascii="Arial" w:cs="Arial" w:eastAsia="Arial" w:hAnsi="Arial"/>
          <w:sz w:val="17"/>
          <w:szCs w:val="17"/>
          <w:color w:val="000000"/>
        </w:rPr>
        <w:t xml:space="preserve"> </w:t>
      </w:r>
      <w:r>
        <w:rPr>
          <w:rFonts w:ascii="Arial" w:cs="Arial" w:eastAsia="Arial" w:hAnsi="Arial"/>
          <w:sz w:val="17"/>
          <w:szCs w:val="17"/>
          <w:color w:val="212529"/>
        </w:rPr>
        <w:t xml:space="preserve">six months ended </w:t>
      </w:r>
      <w:r>
        <w:rPr>
          <w:rFonts w:ascii="Arial" w:cs="Arial" w:eastAsia="Arial" w:hAnsi="Arial"/>
          <w:sz w:val="17"/>
          <w:szCs w:val="17"/>
          <w:color w:val="000000"/>
        </w:rPr>
        <w:t>June 30, 2022</w:t>
      </w:r>
      <w:r>
        <w:rPr>
          <w:rFonts w:ascii="Arial" w:cs="Arial" w:eastAsia="Arial" w:hAnsi="Arial"/>
          <w:sz w:val="17"/>
          <w:szCs w:val="17"/>
          <w:color w:val="212529"/>
        </w:rPr>
        <w:t>, the Company recorded impairments to assets held for sale of $174 million and $503 million, respectively, within discontinued operations based on the revised and final sales prices.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2022, the Company completed the sale of William Hill International to 888 Holdings Plc. After the repayment of the Bridge Credit Agreement, other permitted leakage, and the settlement of related forward contracts, Caesars received net proceeds of $730 million. Including open market repurchases during the second quarter and subsequent repurchases and repayments in July 2022, the Company utilized all $730 million to reduce the Company’s outstanding debt. See Note 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Financial Statements of the Company and its subsidiaries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presentation of financial information herein for the periods after the Company’s acquisition of William Hill on April 22, 2021 and the acquisition of an additional interest in Horseshoe Baltimore on August 26, 2021 is not fully comparable to the periods prior to the respective acquisitions. In addition, the presentation of financial information herein for the periods after the Company’s sales of various properties is not fully comparable to the periods prior to their respective sale dates. See Note 2 for further discussion of the acquisitions and related transactions and Note 3 for properties recently sold or currently held for sale. Additionally, certain reclassifications of prior year presentations have been made to conform to the current period presentation.</w:t>
      </w:r>
    </w:p>
    <w:p>
      <w:pPr>
        <w:spacing w:after="0" w:line="32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Subsidiaries and Variable Interest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include the accounts of Caesars Entertainment, Inc. and its subsidiaries after elimination of all intercompany accounts and transactions.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no longer qualifies, as a VIE, there may be a material effect to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Related to COVID-19</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resurgence of the Omicron variant of COVID-19 continued to impact the beginning of the year, however, many of our properties experienced positive trends during much of the six months ended June 30, 2022, including higher hotel occupancy, particularly in Las Vegas, and increased gaming and food and beverage volumes. COVID-19 had a significant impact to the prior year results as mandates and restrictions on maximum capacities and amenities available were eased, discretionary consumer spending was supplemented via governmental stimulus and consumers pent up demand resulted in strong results during 2021 across our properties. Our results of operations remain comparable to pre-pandemic years, however, specifically within our Regional segment, are slightly down to the comparative prior year period. Additionally, future variants, mandates or restrictions imposed by various regulatory bodies are uncertain and could, once again, have a significant impact on our future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Pronouncements Implemented in 2022</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2022, we adopted Accounting Standards Update 2020-04 (amended through January 2021), Reference Rate Reform. We will apply this guidance to applicable contracts and instruments if, and when, they are modified. Such application is not expected to have a material effect on our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Acquisitions and Purchase Price Accounting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William Hill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we completed the acquisition of William Hill PLC for cash consideration of approximately </w:t>
      </w:r>
      <w:r>
        <w:rPr>
          <w:rFonts w:ascii="Arial" w:cs="Arial" w:eastAsia="Arial" w:hAnsi="Arial"/>
          <w:sz w:val="18"/>
          <w:szCs w:val="18"/>
          <w:color w:val="212529"/>
        </w:rPr>
        <w:t>£2.9 billion, or</w:t>
      </w:r>
      <w:r>
        <w:rPr>
          <w:rFonts w:ascii="Arial" w:cs="Arial" w:eastAsia="Arial" w:hAnsi="Arial"/>
          <w:sz w:val="18"/>
          <w:szCs w:val="18"/>
          <w:color w:val="auto"/>
        </w:rPr>
        <w:t xml:space="preserve"> approximately $3.9 billion, based on the GBP to USD exchange rate on the closing date.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acquired William Hill PLC and its U.S. subsidiary, William Hill U.S. Holdco (“William Hill US” and together with William Hill PLC, “William Hill”) to better position the Company to address the extensive usage of digital platforms, continued legalization in additional states and jurisdictions, and growing bettor demand, which are driving the market for online sports betting platforms in the U.S. In addition, we continue to leverage the World Series of Poker (“WSOP”) brand, and license the WSOP trademarks for a variety of products and services across these digital platforms. On September 8, 2021, the Company entered into an agreement to sell William Hill International to 888 Holdings Plc for approximately £2.2 billion. On April 7, 2022, the Company amended the agreement to sell the non-US assets of William Hill to 888 Holdings Plc for a revised enterprise value of approximately £2.0 billion. On July 1, 2022 the Company completed the sale of William Hill International to 888 Holdings Plc.</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previously held an equity interest in William Hill PLC and William Hill US (see Note 4). Accordingly, the acquisition was accounted for as a business combination achieved in stages, or a “step acquisition.”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mentioned above, the total purchase consideration for William Hill was approximately </w:t>
      </w:r>
      <w:r>
        <w:rPr>
          <w:rFonts w:ascii="Arial" w:cs="Arial" w:eastAsia="Arial" w:hAnsi="Arial"/>
          <w:sz w:val="18"/>
          <w:szCs w:val="18"/>
          <w:color w:val="212529"/>
        </w:rPr>
        <w:t>$3.9 billion</w:t>
      </w:r>
      <w:r>
        <w:rPr>
          <w:rFonts w:ascii="Arial" w:cs="Arial" w:eastAsia="Arial" w:hAnsi="Arial"/>
          <w:sz w:val="18"/>
          <w:szCs w:val="18"/>
          <w:color w:val="auto"/>
        </w:rPr>
        <w:t>. The estimated purchase consideration in the acquisition was determined with reference to its acquisition date fair value.</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Cash for outstanding William Hill common stock </w:t>
      </w:r>
      <w:r>
        <w:rPr>
          <w:rFonts w:ascii="Arial" w:cs="Arial" w:eastAsia="Arial" w:hAnsi="Arial"/>
          <w:sz w:val="21"/>
          <w:szCs w:val="21"/>
          <w:i w:val="1"/>
          <w:iCs w:val="1"/>
          <w:color w:val="auto"/>
          <w:vertAlign w:val="superscript"/>
        </w:rPr>
        <w:t>(a)</w:t>
      </w:r>
    </w:p>
    <w:p>
      <w:pPr>
        <w:ind w:left="20"/>
        <w:spacing w:after="0"/>
        <w:rPr>
          <w:sz w:val="20"/>
          <w:szCs w:val="20"/>
          <w:color w:val="auto"/>
        </w:rPr>
      </w:pPr>
      <w:r>
        <w:rPr>
          <w:rFonts w:ascii="Arial" w:cs="Arial" w:eastAsia="Arial" w:hAnsi="Arial"/>
          <w:sz w:val="16"/>
          <w:szCs w:val="16"/>
          <w:color w:val="auto"/>
        </w:rPr>
        <w:t>Fair value of William Hill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Settlement of preexisting relationships (net of receivable/payable)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preexisting relationships (net of previously held equity investment and off-market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20" w:hanging="1311"/>
        <w:spacing w:after="0"/>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3,909</w:t>
      </w:r>
    </w:p>
    <w:p>
      <w:pPr>
        <w:spacing w:after="0" w:line="32"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30</w:t>
      </w:r>
    </w:p>
    <w:p>
      <w:pPr>
        <w:spacing w:after="0" w:line="3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(34)</w:t>
      </w:r>
    </w:p>
    <w:p>
      <w:pPr>
        <w:spacing w:after="0" w:line="46" w:lineRule="exact"/>
        <w:rPr>
          <w:sz w:val="20"/>
          <w:szCs w:val="20"/>
          <w:color w:val="auto"/>
        </w:rPr>
      </w:pPr>
    </w:p>
    <w:p>
      <w:pPr>
        <w:ind w:left="1320" w:hanging="1311"/>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122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8760" w:space="720"/>
            <w:col w:w="176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William Hill common stock of approximately 1.0 billion shares as of the acquisition date was paid at £2.72 per share, or approximately $3.77 per share using the GBP to USD exchange rate on the acquisition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Final Purchase Price Allocation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third-party valuation specialists, which were finalized over the one-year measurement period. The following table summarizes the allocation of the purchase consideration to the identifiable assets acquired and liabilities assumed of William Hill, with the excess recorded as goodwill as of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Assets held for sale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4,337</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1,154</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6,592</w:t>
            </w: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Liabilities related to assets held for sale </w:t>
            </w:r>
            <w:r>
              <w:rPr>
                <w:rFonts w:ascii="Arial" w:cs="Arial" w:eastAsia="Arial" w:hAnsi="Arial"/>
                <w:sz w:val="21"/>
                <w:szCs w:val="21"/>
                <w:i w:val="1"/>
                <w:iCs w:val="1"/>
                <w:color w:val="auto"/>
                <w:vertAlign w:val="superscript"/>
              </w:rPr>
              <w:t>(b)</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2,142</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50" w:lineRule="auto"/>
        <w:tabs>
          <w:tab w:leader="none" w:pos="327" w:val="left"/>
        </w:tabs>
        <w:numPr>
          <w:ilvl w:val="0"/>
          <w:numId w:val="6"/>
        </w:numPr>
        <w:rPr>
          <w:rFonts w:ascii="Arial" w:cs="Arial" w:eastAsia="Arial" w:hAnsi="Arial"/>
          <w:sz w:val="9"/>
          <w:szCs w:val="9"/>
          <w:i w:val="1"/>
          <w:iCs w:val="1"/>
          <w:color w:val="auto"/>
        </w:rPr>
      </w:pPr>
      <w:r>
        <w:rPr>
          <w:rFonts w:ascii="Arial" w:cs="Arial" w:eastAsia="Arial" w:hAnsi="Arial"/>
          <w:sz w:val="14"/>
          <w:szCs w:val="14"/>
          <w:i w:val="1"/>
          <w:iCs w:val="1"/>
          <w:color w:val="auto"/>
        </w:rPr>
        <w:t>Intangible assets consist of gaming rights valued at $80 million, trademarks valued at $27 million, developed technology valued at $110 million, reacquired rights valued at $280 million and user relationships valued at $68 million.</w:t>
      </w:r>
    </w:p>
    <w:p>
      <w:pPr>
        <w:ind w:left="320" w:hanging="312"/>
        <w:spacing w:after="0"/>
        <w:tabs>
          <w:tab w:leader="none" w:pos="320" w:val="left"/>
        </w:tabs>
        <w:numPr>
          <w:ilvl w:val="0"/>
          <w:numId w:val="6"/>
        </w:numPr>
        <w:rPr>
          <w:rFonts w:ascii="Arial" w:cs="Arial" w:eastAsia="Arial" w:hAnsi="Arial"/>
          <w:sz w:val="9"/>
          <w:szCs w:val="9"/>
          <w:i w:val="1"/>
          <w:iCs w:val="1"/>
          <w:color w:val="auto"/>
        </w:rPr>
      </w:pPr>
      <w:r>
        <w:rPr>
          <w:rFonts w:ascii="Arial" w:cs="Arial" w:eastAsia="Arial" w:hAnsi="Arial"/>
          <w:sz w:val="14"/>
          <w:szCs w:val="14"/>
          <w:i w:val="1"/>
          <w:iCs w:val="1"/>
          <w:color w:val="auto"/>
        </w:rPr>
        <w:t>Includes the fair value of debt of $1.1 billion related to William Hill International at the acquisition date.</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William Hill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William Hill acquisition date. Assets and liabilities held for sale substantially represent William Hill International which was valued using a combination of approaches including a market approach based on valuation multiples and EBITDA, the relief from royalty method and the replacement cost method. In addition to the approaches described, our estimates have been updated to reflect the sale price of William Hill International in the proposed sale to 888 Holdings Plc, described above.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acquired net assets of William Hill included certain investments in common stock. Investments with a publicly available share price were valued using the share price on the acquisition date. Investments without publicly available share data were valued at their carrying value, which approximated fair value.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using a cost approach which determined that the carrying values represented fair value of those items at the William Hill acquisition date.</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developed technology were valued using the relief from royalty method, which presumes that without ownership of such trademarks or technology, the Company would have to make a series of payments to the assets’ owner in return for the right to use their brand or technology. By virtue of their ownership of the respective intangible assets, the Company avoids any such payments and records the related intangible value. The estimated useful lives of the trademarks and developed technology are approximately 15 years and six years, respectively, from the acquisition date.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Online user relationships are valued using a cost approach based on the estimated marketing and promotional cost to acquire the new active user base if the user relationships were not already in place and needed to be replaced. We estimate the useful life of the user relationships to be approximately three years from the acquisition date.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agreements with non-Caesars entities allowed William Hill to operate retail and online sportsbooks as well as online gaming within certain states. These agreements are valued using the excess earnings method, estimating the projected profits of the business attributable to the rights afforded through the agreements, adjusted for returns of other assets that contribute to the generation of this profit, such as working capital, fixed assets and other intangible assets. We estimate the useful life of these operating agreements to be approximately 20 years from the acquisition date and have included them within amortizing gaming rights.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reacquired rights intangible asset represents the estimated fair value of the Company’s share of the William Hill’s forecasted profits arising from the prior contractual arrangement with the Company to operate retail and online sportsbooks and online gaming. This fair value estimate was determined using the excess earnings method, an income-based approach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this valuation is adjusted for the settlement of the preexisting relationship noted previously in the calculation of the purchase consideration in order to avoid double counting of this settlement. Reacquired rights are amortizable over the remaining contractual period of the contract in which the rights were granted and estimated to be approximately 24 years from the acquisition date.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future customer relationships including the brand names and strategic partner relationships of Caesars and the technology and assembled workforce of William Hill. The goodwill acquired will not generate amortization deductions for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assumed has been calculated based on market quotes.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acquisition-related transaction costs of $7 million and $62 million for the three months ended June 30, 2022 and 2021, respectively, and $8 million and $67 million for the six months ended June 30, 2022 and 2021, respectively, excluding additional transaction costs associated with the sale of William Hill International. These costs were primarily associated with legal and professional services and were recorded in Transaction and other operating costs, net in our Statements of Operations.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 of January 1, 2022 through June 30, 2022, the operations of William Hill resulted in net revenues of $17 million, excluding discontinued operations (see Note 3), and a net loss of $1.2 billion.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unaudited pro forma financial information is presented to illustrate the estimated effects of the William Hill Acquisition as if it had occurred on January 1, 2021. The pro forma amounts include the historical operating results of the Company and William Hill prior to the acquisition, with adjustments directly attributable to the acquisition. The pro forma results include adjustments and consequential tax effects to reflect incremental amortization expense to be incurred based on preliminary fair values of the identifiable intangible assets acquired, eliminate gains and losses related to certain investments and adjustments to the timing of acquisition related costs and expenses incurred during the three and six months ended June 30, 2021. The unaudited pro forma financial information is not necessarily indicative of the financial position or results that would have occurred had the William Hill Acquisition been consummated as of the dates indicated, nor is it indicative of any future results. In addition, the unaudited pro forma financial information does not reflect the expected realization of any synergies or cost savings associated with the acquisition.</w:t>
      </w:r>
    </w:p>
    <w:p>
      <w:pPr>
        <w:spacing w:after="0" w:line="34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Three Months Ended June</w:t>
            </w:r>
          </w:p>
        </w:tc>
        <w:tc>
          <w:tcPr>
            <w:tcW w:w="198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Six Months Ended June 30,</w:t>
            </w:r>
          </w:p>
        </w:tc>
      </w:tr>
      <w:tr>
        <w:trPr>
          <w:trHeight w:val="175"/>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5"/>
                <w:szCs w:val="15"/>
                <w:color w:val="auto"/>
              </w:rPr>
            </w:pPr>
          </w:p>
        </w:tc>
        <w:tc>
          <w:tcPr>
            <w:tcW w:w="1580" w:type="dxa"/>
            <w:vAlign w:val="bottom"/>
          </w:tcPr>
          <w:p>
            <w:pPr>
              <w:jc w:val="right"/>
              <w:ind w:right="619"/>
              <w:spacing w:after="0" w:line="175" w:lineRule="exact"/>
              <w:rPr>
                <w:sz w:val="20"/>
                <w:szCs w:val="20"/>
                <w:color w:val="auto"/>
              </w:rPr>
            </w:pPr>
            <w:r>
              <w:rPr>
                <w:rFonts w:ascii="Arial" w:cs="Arial" w:eastAsia="Arial" w:hAnsi="Arial"/>
                <w:sz w:val="16"/>
                <w:szCs w:val="16"/>
                <w:b w:val="1"/>
                <w:bCs w:val="1"/>
                <w:color w:val="auto"/>
              </w:rPr>
              <w:t>30, 2021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ind w:right="739"/>
              <w:spacing w:after="0" w:line="175"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r>
      <w:tr>
        <w:trPr>
          <w:trHeight w:val="213"/>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19"/>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Horseshoe Baltimore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the Company increased its ownership interest in Horseshoe Baltimore, a property which it also manages, to approximately 75.8% for cash consideration of $55 million. Subsequent to the change in ownership, the Company was determined to have a controlling financial interest and has begun to consolidate the operations of Horseshoe Baltimore.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purchase, the Company held an interest in Horseshoe Baltimore of approximately 44.3% which was accounted for as an equity method investment.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for additional ownership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Preexisting relationships (net of receivable/payable)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Preexisting relationships (previously held equity investment)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Total purchase consideration</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allocation for Horseshoe Baltimore is preliminary as it relates to determining the fair value of certain assets and liabilities, including goodwill, and is subject to change. The estimated fair values are based on management’s analysis including preliminary work performed by a third-party valuation specialist, which is subject to finalization over the one-year measurement period. The following table summarizes the preliminary allocation of the purchase consideration to the identifiable assets and liabilities of Horseshoe Baltimore, with any potential excess recorded as goodwill as of June 30,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rights valued at $43 million and customer relationships valued at $10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Horseshoe Baltimore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Horseshoe Baltimore acquisition date.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at the existing carrying values as they closely represented the estimated fair value of those items at the Horseshoe Baltimore acquisition date.</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buildings and improvements were estimated via the income approach. The remaining estimated useful life of the buildings and improvements is 40 years.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 of use asset and operating lease liability related to a ground lease for the site on which Horseshoe Baltimore is located was recorded at fair value and will be amortized over the estimated remaining useful life due to changes in the underlying fair value and estimated remaining useful life of the building and improvements. Renewal options are considered to be reasonably certain. The income approach was used to determine fair value, based on the estimated present value of the future lease payments over the lease term, including renewal options, using an incremental borrowing rate of approximately 7.6%.</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the gaming rights was determined using the excess earnings method, which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acquired gaming rights are considered to have an indefinite life.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goodwill acquired will generate amortization deductions for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has been calculated based on market quotes.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January 1, 2022 through June 30, 2022, the operations of Horseshoe Baltimore generated net revenues of $117 million, and net income of $6 million.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Assets Held for Sale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divests assets to raise capital or, in some cases, to comply with conditions, terms, obligations or restrictions imposed by antitrust, gaming and other regulatory entities. The carrying value of the net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Sold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Baton Rouge, MontBleu and Evansville Divestitures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May 5, 2022, the Company consummated the sale of the equity interests of Belle of Baton Rouge Casino &amp; Hotel (“Baton Rouge”) to CQ Holding Company, Inc., subject to a customary working capital adjustment, resulting in a loss of $3 million. Baton Rouge was within the Regional segment.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2021, the Company consummated the sale of the equity interests of MontBleu Casino Resort &amp; Spa (“MontBleu”) to Bally’s Corporation for $15 million, subject to a customary working capital adjustment, resulting in a gain of less than $1 million. The Company received the payment in full on April 5, 2022. MontBleu was within the Regional segment.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 2021, the Company consummated the sale of the real property and equity interests of Tropicana Evansville (“Evansville”) to Gaming and Leisure Properties, Inc. (“GLPI”) and Bally’s Corporation (formerly Twin River Worldwide Holdings, Inc.), respectively, for $480 million, subject to a customary working capital adjustment, resulting in a gain of $12 million. Evansville was within the Regional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income (loss) of previously held for sale properties, which were recently sold: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1180"/>
              <w:spacing w:after="0"/>
              <w:rPr>
                <w:sz w:val="20"/>
                <w:szCs w:val="20"/>
                <w:color w:val="auto"/>
              </w:rPr>
            </w:pPr>
            <w:r>
              <w:rPr>
                <w:rFonts w:ascii="Arial" w:cs="Arial" w:eastAsia="Arial" w:hAnsi="Arial"/>
                <w:sz w:val="16"/>
                <w:szCs w:val="16"/>
                <w:b w:val="1"/>
                <w:bCs w:val="1"/>
                <w:color w:val="auto"/>
              </w:rPr>
              <w:t>Baton Rouge</w:t>
            </w:r>
          </w:p>
        </w:tc>
        <w:tc>
          <w:tcPr>
            <w:tcW w:w="136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060" w:type="dxa"/>
            <w:vAlign w:val="bottom"/>
            <w:gridSpan w:val="3"/>
          </w:tcPr>
          <w:p>
            <w:pPr>
              <w:jc w:val="right"/>
              <w:ind w:right="140"/>
              <w:spacing w:after="0" w:line="158" w:lineRule="exact"/>
              <w:rPr>
                <w:sz w:val="20"/>
                <w:szCs w:val="20"/>
                <w:color w:val="auto"/>
              </w:rPr>
            </w:pPr>
            <w:r>
              <w:rPr>
                <w:rFonts w:ascii="Arial" w:cs="Arial" w:eastAsia="Arial" w:hAnsi="Arial"/>
                <w:sz w:val="16"/>
                <w:szCs w:val="16"/>
                <w:b w:val="1"/>
                <w:bCs w:val="1"/>
                <w:color w:val="auto"/>
                <w:w w:val="94"/>
              </w:rPr>
              <w:t>Three Months Ended June</w:t>
            </w:r>
          </w:p>
        </w:tc>
        <w:tc>
          <w:tcPr>
            <w:tcW w:w="19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2"/>
              </w:rPr>
              <w:t>Six Months Ended June 30,</w:t>
            </w:r>
          </w:p>
        </w:tc>
      </w:tr>
      <w:tr>
        <w:trPr>
          <w:trHeight w:val="175"/>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5"/>
                <w:szCs w:val="15"/>
                <w:color w:val="auto"/>
              </w:rPr>
            </w:pPr>
          </w:p>
        </w:tc>
        <w:tc>
          <w:tcPr>
            <w:tcW w:w="1580" w:type="dxa"/>
            <w:vAlign w:val="bottom"/>
          </w:tcPr>
          <w:p>
            <w:pPr>
              <w:jc w:val="right"/>
              <w:ind w:right="619"/>
              <w:spacing w:after="0" w:line="175" w:lineRule="exact"/>
              <w:rPr>
                <w:sz w:val="20"/>
                <w:szCs w:val="20"/>
                <w:color w:val="auto"/>
              </w:rPr>
            </w:pPr>
            <w:r>
              <w:rPr>
                <w:rFonts w:ascii="Arial" w:cs="Arial" w:eastAsia="Arial" w:hAnsi="Arial"/>
                <w:sz w:val="16"/>
                <w:szCs w:val="16"/>
                <w:b w:val="1"/>
                <w:bCs w:val="1"/>
                <w:color w:val="auto"/>
              </w:rPr>
              <w:t>30, 2022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jc w:val="right"/>
              <w:ind w:right="739"/>
              <w:spacing w:after="0" w:line="175" w:lineRule="exact"/>
              <w:rPr>
                <w:sz w:val="20"/>
                <w:szCs w:val="20"/>
                <w:color w:val="auto"/>
              </w:rPr>
            </w:pPr>
            <w:r>
              <w:rPr>
                <w:rFonts w:ascii="Arial" w:cs="Arial" w:eastAsia="Arial" w:hAnsi="Arial"/>
                <w:sz w:val="16"/>
                <w:szCs w:val="16"/>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w w:val="92"/>
              </w:rPr>
              <w:t>Three Months Ended June 30, 2021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Six Months Ended June 30, 2021</w:t>
            </w:r>
          </w:p>
        </w:tc>
        <w:tc>
          <w:tcPr>
            <w:tcW w:w="118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380" w:type="dxa"/>
            <w:vAlign w:val="bottom"/>
            <w:gridSpan w:val="2"/>
          </w:tcPr>
          <w:p>
            <w:pPr>
              <w:ind w:left="100"/>
              <w:spacing w:after="0" w:line="172" w:lineRule="exact"/>
              <w:rPr>
                <w:sz w:val="20"/>
                <w:szCs w:val="20"/>
                <w:color w:val="auto"/>
              </w:rPr>
            </w:pPr>
            <w:r>
              <w:rPr>
                <w:rFonts w:ascii="Arial" w:cs="Arial" w:eastAsia="Arial" w:hAnsi="Arial"/>
                <w:sz w:val="16"/>
                <w:szCs w:val="16"/>
                <w:b w:val="1"/>
                <w:bCs w:val="1"/>
                <w:color w:val="auto"/>
              </w:rPr>
              <w:t>Baton Rouge</w:t>
            </w:r>
          </w:p>
        </w:tc>
        <w:tc>
          <w:tcPr>
            <w:tcW w:w="260" w:type="dxa"/>
            <w:vAlign w:val="bottom"/>
          </w:tcPr>
          <w:p>
            <w:pPr>
              <w:spacing w:after="0"/>
              <w:rPr>
                <w:sz w:val="14"/>
                <w:szCs w:val="14"/>
                <w:color w:val="auto"/>
              </w:rPr>
            </w:pPr>
          </w:p>
        </w:tc>
        <w:tc>
          <w:tcPr>
            <w:tcW w:w="1740" w:type="dxa"/>
            <w:vAlign w:val="bottom"/>
            <w:gridSpan w:val="3"/>
          </w:tcPr>
          <w:p>
            <w:pPr>
              <w:jc w:val="center"/>
              <w:ind w:right="720"/>
              <w:spacing w:after="0" w:line="172" w:lineRule="exact"/>
              <w:rPr>
                <w:sz w:val="20"/>
                <w:szCs w:val="20"/>
                <w:color w:val="auto"/>
              </w:rPr>
            </w:pPr>
            <w:r>
              <w:rPr>
                <w:rFonts w:ascii="Arial" w:cs="Arial" w:eastAsia="Arial" w:hAnsi="Arial"/>
                <w:sz w:val="16"/>
                <w:szCs w:val="16"/>
                <w:b w:val="1"/>
                <w:bCs w:val="1"/>
                <w:color w:val="auto"/>
                <w:w w:val="95"/>
              </w:rPr>
              <w:t>MontBleu</w:t>
            </w:r>
          </w:p>
        </w:tc>
        <w:tc>
          <w:tcPr>
            <w:tcW w:w="112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w w:val="89"/>
              </w:rPr>
              <w:t>Evansville</w:t>
            </w:r>
          </w:p>
        </w:tc>
        <w:tc>
          <w:tcPr>
            <w:tcW w:w="10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Baton Rouge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40"/>
              <w:spacing w:after="0" w:line="172" w:lineRule="exact"/>
              <w:rPr>
                <w:sz w:val="20"/>
                <w:szCs w:val="20"/>
                <w:color w:val="auto"/>
              </w:rPr>
            </w:pPr>
            <w:r>
              <w:rPr>
                <w:rFonts w:ascii="Arial" w:cs="Arial" w:eastAsia="Arial" w:hAnsi="Arial"/>
                <w:sz w:val="16"/>
                <w:szCs w:val="16"/>
                <w:b w:val="1"/>
                <w:bCs w:val="1"/>
                <w:color w:val="auto"/>
                <w:w w:val="95"/>
              </w:rPr>
              <w:t>MontBleu</w:t>
            </w:r>
          </w:p>
        </w:tc>
        <w:tc>
          <w:tcPr>
            <w:tcW w:w="340" w:type="dxa"/>
            <w:vAlign w:val="bottom"/>
          </w:tcPr>
          <w:p>
            <w:pPr>
              <w:spacing w:after="0"/>
              <w:rPr>
                <w:sz w:val="14"/>
                <w:szCs w:val="14"/>
                <w:color w:val="auto"/>
              </w:rPr>
            </w:pPr>
          </w:p>
        </w:tc>
        <w:tc>
          <w:tcPr>
            <w:tcW w:w="118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w w:val="97"/>
              </w:rPr>
              <w:t>Evansville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74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held for sale were as follows as of December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Baton Rouge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620" w:type="dxa"/>
            <w:vAlign w:val="bottom"/>
          </w:tcPr>
          <w:p>
            <w:pPr>
              <w:jc w:val="right"/>
              <w:ind w:right="159"/>
              <w:spacing w:after="0" w:line="172" w:lineRule="exact"/>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2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9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Discontinued operations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the closing date of the Merger, Harrah’s Louisiana Downs, Caesars Southern Indiana and Caesars UK Group, which includes Emerald Resorts &amp; Casino met held for sale criteria. The operations of these properties, until their respective date of divestiture, have been presented within discontinued operations.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Properties L.P., a Delaware limited partnership (“VICI”) entered into an agreement to sell the equity interests of Harrah’s Louisiana Downs to Rubico Acquisition Corp. for $22 million, subject to a customary working capital adjustment. On November 1, 2021, the sale of Harrah’s Louisiana Downs was completed and proceeds were split between the Company and VICI. The annual base rent payments under the Regional Master Lease between Caesars and VICI remained unchanged.</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24, 2020, the Company entered into an agreement to sell the equity interests of Caesars Southern Indiana to the Eastern Band of Cherokee Indians (“EBCI”) for $250 million, subject to customary purchase price adjustments. On September 3, 2021, the Company completed the sale of Caesars Southern Indiana, resulting in a gain of $12 million. In connection with this transaction, the Company’s annual base rent payments to VICI Properties under the Regional Master Lease were reduced by $33 million. Additionally, the Company and EBCI entered into a 10-year brand license agreement for the continued use of the Caesars brand and Caesars Rewards loyalty program at Caesars Southern Indiana. The agreement contains cancellation rights in exchange for a termination fee at the buyer’s discretion following the fifth anniversary of the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16, 2021, the Company completed the sale of Caesars UK Group, in which the buyer assumed all liabilities associated with the Caesars UK Group, and recorded an impairment of $14 million within discontinued operations.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time that the William Hill Acquisition was consummated, the Company’s intent was to divest William Hill International. Accordingly, the assets and liabilities of William Hill International are classified as held for sale with operations presented within discontinued operations. See Note 1 and Note 2.</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presents the net revenues and net income (loss) for the Company’s properties that are part of discontinued operations for the three and six months ended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William Hill International</w:t>
            </w:r>
          </w:p>
        </w:tc>
        <w:tc>
          <w:tcPr>
            <w:tcW w:w="6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060" w:type="dxa"/>
            <w:vAlign w:val="bottom"/>
            <w:gridSpan w:val="3"/>
          </w:tcPr>
          <w:p>
            <w:pPr>
              <w:jc w:val="right"/>
              <w:ind w:right="140"/>
              <w:spacing w:after="0" w:line="158" w:lineRule="exact"/>
              <w:rPr>
                <w:sz w:val="20"/>
                <w:szCs w:val="20"/>
                <w:color w:val="auto"/>
              </w:rPr>
            </w:pPr>
            <w:r>
              <w:rPr>
                <w:rFonts w:ascii="Arial" w:cs="Arial" w:eastAsia="Arial" w:hAnsi="Arial"/>
                <w:sz w:val="16"/>
                <w:szCs w:val="16"/>
                <w:b w:val="1"/>
                <w:bCs w:val="1"/>
                <w:color w:val="auto"/>
                <w:w w:val="94"/>
              </w:rPr>
              <w:t>Three Months Ended June</w:t>
            </w:r>
          </w:p>
        </w:tc>
        <w:tc>
          <w:tcPr>
            <w:tcW w:w="19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2"/>
              </w:rPr>
              <w:t>Six Months Ended June 30,</w:t>
            </w:r>
          </w:p>
        </w:tc>
      </w:tr>
      <w:tr>
        <w:trPr>
          <w:trHeight w:val="175"/>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5"/>
                <w:szCs w:val="15"/>
                <w:color w:val="auto"/>
              </w:rPr>
            </w:pPr>
          </w:p>
        </w:tc>
        <w:tc>
          <w:tcPr>
            <w:tcW w:w="1580" w:type="dxa"/>
            <w:vAlign w:val="bottom"/>
          </w:tcPr>
          <w:p>
            <w:pPr>
              <w:jc w:val="right"/>
              <w:ind w:right="619"/>
              <w:spacing w:after="0" w:line="175" w:lineRule="exact"/>
              <w:rPr>
                <w:sz w:val="20"/>
                <w:szCs w:val="20"/>
                <w:color w:val="auto"/>
              </w:rPr>
            </w:pPr>
            <w:r>
              <w:rPr>
                <w:rFonts w:ascii="Arial" w:cs="Arial" w:eastAsia="Arial" w:hAnsi="Arial"/>
                <w:sz w:val="16"/>
                <w:szCs w:val="16"/>
                <w:b w:val="1"/>
                <w:bCs w:val="1"/>
                <w:color w:val="auto"/>
              </w:rPr>
              <w:t>30, 2022</w:t>
            </w:r>
          </w:p>
        </w:tc>
        <w:tc>
          <w:tcPr>
            <w:tcW w:w="80" w:type="dxa"/>
            <w:vAlign w:val="bottom"/>
          </w:tcPr>
          <w:p>
            <w:pPr>
              <w:spacing w:after="0"/>
              <w:rPr>
                <w:sz w:val="15"/>
                <w:szCs w:val="15"/>
                <w:color w:val="auto"/>
              </w:rPr>
            </w:pPr>
          </w:p>
        </w:tc>
        <w:tc>
          <w:tcPr>
            <w:tcW w:w="138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10"/>
        </w:trPr>
        <w:tc>
          <w:tcPr>
            <w:tcW w:w="20" w:type="dxa"/>
            <w:vAlign w:val="bottom"/>
          </w:tcPr>
          <w:p>
            <w:pPr>
              <w:spacing w:after="0"/>
              <w:rPr>
                <w:sz w:val="18"/>
                <w:szCs w:val="18"/>
                <w:color w:val="auto"/>
              </w:rPr>
            </w:pPr>
          </w:p>
        </w:tc>
        <w:tc>
          <w:tcPr>
            <w:tcW w:w="71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(448)</w:t>
            </w:r>
          </w:p>
        </w:tc>
      </w:tr>
    </w:tbl>
    <w:p>
      <w:pPr>
        <w:spacing w:after="0" w:line="200" w:lineRule="exact"/>
        <w:rPr>
          <w:sz w:val="20"/>
          <w:szCs w:val="20"/>
          <w:color w:val="auto"/>
        </w:rPr>
      </w:pPr>
    </w:p>
    <w:p>
      <w:pPr>
        <w:spacing w:after="0" w:line="26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3"/>
              </w:rPr>
              <w:t>Three months ended June 30, 2021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b w:val="1"/>
                <w:bCs w:val="1"/>
                <w:color w:val="auto"/>
                <w:w w:val="93"/>
              </w:rPr>
              <w:t>Six Months Ended June 30, 2021</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Harrah’s</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Caesars UK</w:t>
            </w:r>
          </w:p>
        </w:tc>
        <w:tc>
          <w:tcPr>
            <w:tcW w:w="18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Caesars</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William Hill</w:t>
            </w:r>
          </w:p>
        </w:tc>
        <w:tc>
          <w:tcPr>
            <w:tcW w:w="16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Harrah’s</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Caesars UK</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Caesars</w:t>
            </w:r>
          </w:p>
        </w:tc>
        <w:tc>
          <w:tcPr>
            <w:tcW w:w="120" w:type="dxa"/>
            <w:vAlign w:val="bottom"/>
          </w:tcPr>
          <w:p>
            <w:pPr>
              <w:spacing w:after="0"/>
              <w:rPr>
                <w:sz w:val="13"/>
                <w:szCs w:val="13"/>
                <w:color w:val="auto"/>
              </w:rPr>
            </w:pPr>
          </w:p>
        </w:tc>
        <w:tc>
          <w:tcPr>
            <w:tcW w:w="11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William Hill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Louisiana</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Southern</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Louisiana</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Southern</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1"/>
              </w:rPr>
              <w:t>Downs</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5"/>
              </w:rPr>
              <w:t>Group</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6"/>
              </w:rPr>
              <w:t>Indiana</w:t>
            </w:r>
          </w:p>
        </w:tc>
        <w:tc>
          <w:tcPr>
            <w:tcW w:w="120" w:type="dxa"/>
            <w:vAlign w:val="bottom"/>
          </w:tcPr>
          <w:p>
            <w:pPr>
              <w:spacing w:after="0"/>
              <w:rPr>
                <w:sz w:val="15"/>
                <w:szCs w:val="15"/>
                <w:color w:val="auto"/>
              </w:rPr>
            </w:pPr>
          </w:p>
        </w:tc>
        <w:tc>
          <w:tcPr>
            <w:tcW w:w="120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5"/>
              </w:rPr>
              <w:t>International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7"/>
              </w:rPr>
              <w:t>Downs</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5"/>
              </w:rPr>
              <w:t>Group</w:t>
            </w:r>
          </w:p>
        </w:tc>
        <w:tc>
          <w:tcPr>
            <w:tcW w:w="180" w:type="dxa"/>
            <w:vAlign w:val="bottom"/>
          </w:tcPr>
          <w:p>
            <w:pPr>
              <w:spacing w:after="0"/>
              <w:rPr>
                <w:sz w:val="15"/>
                <w:szCs w:val="15"/>
                <w:color w:val="auto"/>
              </w:rPr>
            </w:pPr>
          </w:p>
        </w:tc>
        <w:tc>
          <w:tcPr>
            <w:tcW w:w="104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6"/>
              </w:rPr>
              <w:t>Indiana</w:t>
            </w:r>
          </w:p>
        </w:tc>
        <w:tc>
          <w:tcPr>
            <w:tcW w:w="120" w:type="dxa"/>
            <w:vAlign w:val="bottom"/>
          </w:tcPr>
          <w:p>
            <w:pPr>
              <w:spacing w:after="0"/>
              <w:rPr>
                <w:sz w:val="15"/>
                <w:szCs w:val="15"/>
                <w:color w:val="auto"/>
              </w:rPr>
            </w:pPr>
          </w:p>
        </w:tc>
        <w:tc>
          <w:tcPr>
            <w:tcW w:w="110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5"/>
              </w:rPr>
              <w:t>International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Not included in tables are assets and liabilities held for sale of $2.9 billion and $2.4 billion, respectively, as of June 30, 2022 and $3.8 billion and $2.7 billion, respectively, as of December 31, 2021, related to William Hill International. Liabilities held for sale as of June 30, 2022 and December 31, 2021 include $557 million and $617 million, respectively, of debt related to the Bridge Credit Agreement, which was repaid upon the sale of William Hill International on July 1, 2022, as described in Note 1. The Bridge Credit Agreement included a financial covenant, of which the Company was in compliance as of June 30, 2022, requiring the Bridge Facility Borrower to maintain a maximum total net leverage ratio of 10.50 to 1.00. The borrowings under the Bridge Credit Agreement were guaranteed by the Bridge Facility Borrower and its material wholly-owned subsidiaries (subject to exceptions), and were secured by a pledge of substantially all of the existing and future property and assets of the Bridge Facility Borrower and the guarantors (subject to exceptions). In addition, $850 million of debt is held for sale related to two trust deeds assumed in the William Hill Acquisition. One trust deed relates to £350 million aggregate principal amount of 4.750% Senior Notes due 2026, and the other trust deed relates to £350 million aggregate principal amount of 4.875% Senior Notes due 2023. Each of the trust deeds contain a put option due to a change in control which allowed noteholders to require the Company to purchase the notes at 101% of the principal amount with interest accrued. The put period expired on July 26, 2021, and approximately £1 million of debt was repurchased. No financial covenants were noted related to the two trust deeds assumed in the William Hill Acquisition. The two trust deeds were included within liabilities held for sale, which were disposed of on July 1, 2022 with the completion of the sale of William Hill International.</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Investments in and Advances to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Hill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entered into a 25-year agreement which granted William Hill the right to conduct betting activities, including operating our sportsbooks, and conduct certain real money online gaming activities. On April 22, 2021, the Company consummated its previously announced acquisition of William Hill PLC in an all-cash transaction. Prior to the acquisition, the Company accounted for its investment in William Hill PLC as an investment in equity securities and William Hill US as an equity method investment. See Note 2 for further detail on the consideration transferred and the allocation of the purchase price.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NeoGames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acquired net assets of William Hill included an investment in publicly traded common stock of NeoGames S.A. (“NeoGames”), a global leader of iLottery solutions and services to national and state-regulated lotteries, and other investments. On September 16, 2021, the Company sold a portion of its shares of NeoGames common stock for $136 million which decreased Company’s ownership interest from 24.5% to 8.4%. Additionally, on March 14, 2022 the Company sold its remaining 2 million shares at fair value for $26 million and recorded a loss on the change in fair value of $34 million during the six months ended June 30, 2022, which is included within Other income (loss) on the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Pompano Joint Venture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In June 2021, the joint venture issued a capital call and we contributed $3 million, for a total of $4 million in cash since inception of the joint venture. On February 12, 2021, the Company contributed 186 acres to the joint venture with a fair value of $61 million. Total contributions of approximately 206 acres of land have been made with a fair value of approximately $69 million and the Company has no further obligation to contribute additional real estate or cash as of June 30, 2022. We entered into a short-term lease agreement in February 2021, which we can cancel at any time, to lease back a portion of the land from the joint venture.</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operating costs, net on the Statements of Operations.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December 31, 2021, the Company’s investment in the joint venture is recorded in Investment in and advances to unconsolidated affiliates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Property and Equipment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6"/>
                <w:szCs w:val="16"/>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13"/>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Buildings, riverboats, and leasehold and land improvements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12,433</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12"/>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16,603</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property and equipment are subject to various operating leases for which we are the lessor. We lease our property and equipment related to our hotel rooms, convention space and retail space through various short-term and long-term operating leases.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jc w:val="right"/>
              <w:ind w:right="119"/>
              <w:spacing w:after="0" w:line="172" w:lineRule="exact"/>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19"/>
              <w:spacing w:after="0" w:line="172" w:lineRule="exact"/>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Goodwill and Intangible Assets, net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ectPr>
          <w:pgSz w:w="11900" w:h="16838" w:orient="portrait"/>
          <w:cols w:equalWidth="0" w:num="1">
            <w:col w:w="11240"/>
          </w:cols>
          <w:pgMar w:left="320" w:top="121" w:right="339" w:bottom="1440" w:gutter="0" w:footer="0" w:header="0"/>
        </w:sectPr>
      </w:pP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i w:val="1"/>
          <w:iCs w:val="1"/>
          <w:u w:val="single" w:color="auto"/>
          <w:color w:val="auto"/>
        </w:rPr>
        <w:t>Changes in Carrying Value of Goodwill and Other Intangible Assets</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December 31, 2021</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i w:val="1"/>
          <w:iCs w:val="1"/>
          <w:color w:val="auto"/>
          <w:vertAlign w:val="superscript"/>
        </w:rPr>
        <w:t>(a)</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June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ind w:left="320" w:hanging="312"/>
        <w:spacing w:after="0"/>
        <w:tabs>
          <w:tab w:leader="none" w:pos="320"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Purchase price adjustment related to William Hill Acquisition.</w:t>
      </w:r>
    </w:p>
    <w:p>
      <w:pPr>
        <w:spacing w:after="0" w:line="366"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11,076</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11,082</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-616585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-334010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40" w:space="600"/>
            <w:col w:w="570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Useful Life</w:t>
            </w:r>
          </w:p>
        </w:tc>
        <w:tc>
          <w:tcPr>
            <w:tcW w:w="12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5"/>
                <w:szCs w:val="15"/>
                <w:color w:val="auto"/>
              </w:rPr>
            </w:pP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5"/>
                <w:szCs w:val="15"/>
                <w:color w:val="auto"/>
              </w:rPr>
            </w:pPr>
          </w:p>
        </w:tc>
        <w:tc>
          <w:tcPr>
            <w:tcW w:w="1040" w:type="dxa"/>
            <w:vAlign w:val="bottom"/>
          </w:tcPr>
          <w:p>
            <w:pPr>
              <w:jc w:val="right"/>
              <w:ind w:right="219"/>
              <w:spacing w:after="0" w:line="175"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3 - 7 years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354</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20 - 34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Technology</w:t>
            </w:r>
          </w:p>
        </w:tc>
        <w:tc>
          <w:tcPr>
            <w:tcW w:w="12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7"/>
              </w:rPr>
              <w:t>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Non-amortizing intangible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7"/>
          </w:tcPr>
          <w:p>
            <w:pPr>
              <w:ind w:left="220"/>
              <w:spacing w:after="0"/>
              <w:rPr>
                <w:sz w:val="20"/>
                <w:szCs w:val="20"/>
                <w:color w:val="auto"/>
              </w:rPr>
            </w:pPr>
            <w:r>
              <w:rPr>
                <w:rFonts w:ascii="Arial" w:cs="Arial" w:eastAsia="Arial" w:hAnsi="Arial"/>
                <w:sz w:val="16"/>
                <w:szCs w:val="16"/>
                <w:color w:val="auto"/>
              </w:rPr>
              <w:t>Total amortizing and non-amortizing intangible assets, net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with respect to intangible assets for the three months ended June 30, 2022 and 2021 totaled $51 million and $37 million, respectively, and for the six months ended June 30, 2022 and 2021 totaled $108 million and $57 million, respectively, which is included in depreciation and amortization in the Statements of Operations.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Remaining 2022</w:t>
            </w:r>
          </w:p>
        </w:tc>
        <w:tc>
          <w:tcPr>
            <w:tcW w:w="24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Fair Value Measurements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assets and liabilities measured at fair value on a recurring basis, by input level, in the Balance Sheets at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20" w:type="dxa"/>
            <w:vAlign w:val="bottom"/>
          </w:tcPr>
          <w:p>
            <w:pPr>
              <w:spacing w:after="0"/>
              <w:rPr>
                <w:sz w:val="18"/>
                <w:szCs w:val="18"/>
                <w:color w:val="auto"/>
              </w:rPr>
            </w:pPr>
          </w:p>
        </w:tc>
        <w:tc>
          <w:tcPr>
            <w:tcW w:w="5700" w:type="dxa"/>
            <w:vAlign w:val="bottom"/>
            <w:gridSpan w:val="2"/>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the Company’s restricted cash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Restricted cash classified as Level 1 includes cash equivalents held in short-term certificate of deposit accounts or money market type funds. Restricted cash that is not subject to remeasurement on a recurring basis is not included in the table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Marketable securities consist primarily of trading securities held by the Company’s captive insurance subsidiary and investments acquired in the William Hill Acquisition. See Note 4. These investments also include collateral for several escrow and trust agreements with third-party beneficiaries.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w:t>
      </w:r>
      <w:r>
        <w:rPr>
          <w:rFonts w:ascii="Arial" w:cs="Arial" w:eastAsia="Arial" w:hAnsi="Arial"/>
          <w:sz w:val="18"/>
          <w:szCs w:val="18"/>
          <w:color w:val="212529"/>
        </w:rPr>
        <w:t>he Company has entered into several foreign exchange forward contracts with third parties to hedge the risk of fluctuations in the foreign exchange rates</w:t>
      </w:r>
      <w:r>
        <w:rPr>
          <w:rFonts w:ascii="Arial" w:cs="Arial" w:eastAsia="Arial" w:hAnsi="Arial"/>
          <w:sz w:val="18"/>
          <w:szCs w:val="18"/>
          <w:color w:val="auto"/>
        </w:rPr>
        <w:t xml:space="preserve"> </w:t>
      </w:r>
      <w:r>
        <w:rPr>
          <w:rFonts w:ascii="Arial" w:cs="Arial" w:eastAsia="Arial" w:hAnsi="Arial"/>
          <w:sz w:val="18"/>
          <w:szCs w:val="18"/>
          <w:color w:val="212529"/>
        </w:rPr>
        <w:t xml:space="preserve">between USD and GBP. As of June 30, 2022 the Company has one contract related to the expected proceeds of the sale of the international operations. During the </w:t>
      </w:r>
      <w:r>
        <w:rPr>
          <w:rFonts w:ascii="Arial" w:cs="Arial" w:eastAsia="Arial" w:hAnsi="Arial"/>
          <w:sz w:val="18"/>
          <w:szCs w:val="18"/>
          <w:color w:val="000000"/>
        </w:rPr>
        <w:t>three</w:t>
      </w:r>
      <w:r>
        <w:rPr>
          <w:rFonts w:ascii="Arial" w:cs="Arial" w:eastAsia="Arial" w:hAnsi="Arial"/>
          <w:sz w:val="18"/>
          <w:szCs w:val="18"/>
          <w:color w:val="212529"/>
        </w:rPr>
        <w:t xml:space="preserve"> months ended </w:t>
      </w:r>
      <w:r>
        <w:rPr>
          <w:rFonts w:ascii="Arial" w:cs="Arial" w:eastAsia="Arial" w:hAnsi="Arial"/>
          <w:sz w:val="18"/>
          <w:szCs w:val="18"/>
          <w:color w:val="000000"/>
        </w:rPr>
        <w:t>June 30, 2022 and 2021, the Company</w:t>
      </w:r>
      <w:r>
        <w:rPr>
          <w:rFonts w:ascii="Arial" w:cs="Arial" w:eastAsia="Arial" w:hAnsi="Arial"/>
          <w:sz w:val="18"/>
          <w:szCs w:val="18"/>
          <w:color w:val="212529"/>
        </w:rPr>
        <w:t xml:space="preserve"> recorded total gains of $55 million and $9 million, respectively, </w:t>
      </w:r>
      <w:r>
        <w:rPr>
          <w:rFonts w:ascii="Arial" w:cs="Arial" w:eastAsia="Arial" w:hAnsi="Arial"/>
          <w:sz w:val="18"/>
          <w:szCs w:val="18"/>
          <w:color w:val="000000"/>
        </w:rPr>
        <w:t>and $76 million and</w:t>
      </w:r>
      <w:r>
        <w:rPr>
          <w:rFonts w:ascii="Arial" w:cs="Arial" w:eastAsia="Arial" w:hAnsi="Arial"/>
          <w:sz w:val="18"/>
          <w:szCs w:val="18"/>
          <w:color w:val="212529"/>
        </w:rPr>
        <w:t xml:space="preserve"> </w:t>
      </w:r>
      <w:r>
        <w:rPr>
          <w:rFonts w:ascii="Arial" w:cs="Arial" w:eastAsia="Arial" w:hAnsi="Arial"/>
          <w:sz w:val="18"/>
          <w:szCs w:val="18"/>
          <w:color w:val="000000"/>
        </w:rPr>
        <w:t xml:space="preserve">$10 million for the six months ended June 30, 2022 and 2021, respectively, related to forward contracts, which is recorded in the Other income (loss) on the Statements of Operations. The remaining </w:t>
      </w:r>
      <w:r>
        <w:rPr>
          <w:rFonts w:ascii="Arial" w:cs="Arial" w:eastAsia="Arial" w:hAnsi="Arial"/>
          <w:sz w:val="18"/>
          <w:szCs w:val="18"/>
          <w:color w:val="212529"/>
        </w:rPr>
        <w:t>forward contract was settled in connection with the completion of the sale of William Hill International on July 1,</w:t>
      </w:r>
      <w:r>
        <w:rPr>
          <w:rFonts w:ascii="Arial" w:cs="Arial" w:eastAsia="Arial" w:hAnsi="Arial"/>
          <w:sz w:val="18"/>
          <w:szCs w:val="18"/>
          <w:color w:val="000000"/>
        </w:rPr>
        <w:t xml:space="preserve"> </w:t>
      </w:r>
      <w:r>
        <w:rPr>
          <w:rFonts w:ascii="Arial" w:cs="Arial" w:eastAsia="Arial" w:hAnsi="Arial"/>
          <w:sz w:val="18"/>
          <w:szCs w:val="18"/>
          <w:color w:val="212529"/>
        </w:rPr>
        <w:t>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assumed Former Caesars’ interest rate swaps to manage the mix of assumed debt between fixed and variable rate instruments. As of June 30, 2022, we have four interest rate swap agreements to fix the interest rate on $1.3 billion of variable rate debt related to the CRC Credit Agreement. The interest rate swaps are designated as cash flow hedging instruments. The 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 cash flows.</w:t>
      </w:r>
    </w:p>
    <w:p>
      <w:pPr>
        <w:spacing w:after="0" w:line="32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June 30,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Effective Date</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Notional Amount</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Fixed Rate Paid</w:t>
            </w:r>
          </w:p>
        </w:tc>
        <w:tc>
          <w:tcPr>
            <w:tcW w:w="2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Variable Rate Received as of</w:t>
            </w:r>
          </w:p>
        </w:tc>
        <w:tc>
          <w:tcPr>
            <w:tcW w:w="2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30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93"/>
              </w:rPr>
              <w:t>(In millions)</w:t>
            </w:r>
          </w:p>
        </w:tc>
        <w:tc>
          <w:tcPr>
            <w:tcW w:w="2260" w:type="dxa"/>
            <w:vAlign w:val="bottom"/>
            <w:gridSpan w:val="2"/>
            <w:vMerge w:val="continue"/>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2022</w:t>
            </w: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2.274%</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1.0617%</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1.0617%</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1.0617%</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0"/>
        </w:trPr>
        <w:tc>
          <w:tcPr>
            <w:tcW w:w="2200" w:type="dxa"/>
            <w:vAlign w:val="bottom"/>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2.739%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1.0617%</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Other assets, net or Other long-term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 of derivative instruments designated as hedging instruments on the Balance Sheets for amounts transferred into Accumulated other comprehensive income (loss) (“AOCI”) before tax was a gain of $10 million and $14 million during the three months ended June 30, 2022 and 2021, respectively, and a gain of $27 million and $29 million during the six months ended June 30, 2022 and 2021, respectively. AOCI reclassified to Interest expense on the Statements of Operations was $6 million and $15 million for the three months ended June 30, 2022 and 2021, respectively, and $14 million and $29 million for the six months ended June 30, 2022 and 2021, respectively. As of June 30, 2022 and December 31, 2021, the interest rate swaps derivative liability of $1 million and $28 million, respectively, was recorded in Other long-term liabilities. Net settlement of these interest rate swaps results in the reclassification of deferred gains and losses within AOCI to be reclassified to the income statement as a component of interest expense as settlements occur. The estimated amount of existing gains or losses that are reported in AOCI at the reporting date that are expected to be reclassified into earnings within the next 12 months is less than $1 million.</w:t>
      </w:r>
    </w:p>
    <w:p>
      <w:pPr>
        <w:spacing w:after="0" w:line="33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periods through June 30, 2022 and 2021 are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Foreign Currency</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3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4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5"/>
                <w:szCs w:val="15"/>
                <w:color w:val="auto"/>
              </w:rPr>
            </w:pPr>
          </w:p>
        </w:tc>
        <w:tc>
          <w:tcPr>
            <w:tcW w:w="150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2"/>
              </w:rPr>
              <w:t>Adjustments</w:t>
            </w:r>
          </w:p>
        </w:tc>
        <w:tc>
          <w:tcPr>
            <w:tcW w:w="3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2021</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7"/>
                <w:szCs w:val="17"/>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June 30,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2021</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2022</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June 30, 2022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are expected to exceed $2 billion. The insurance carriers under the Company’s insurance policies have asserted that the policies do not cover losses incurred by the Company as a result of the COVID-19 public health emergency and have refused to make payments under the applicable policies.</w:t>
      </w:r>
    </w:p>
    <w:p>
      <w:pPr>
        <w:spacing w:after="0" w:line="34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on March 19, 2021, the Company filed a lawsuit against its insurance carriers in the state court in Clark County, Nevada. On June 8, 2021, the Company filed an amended complaint. Litigation is proceeding and there can be no assurance as to the outcome of the litigation.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contractual commitments associated with Former Caesars were assumed by the Company as a result of the consummation of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(the “Ground Lease”). Based on these amendments related to Harrah’s New Orleans, the Company is required to make certain payments and to make a capital investment of $325 million on or around Harrah’s New Orleans by July 15, 2024. The capital investment will include a renovation and full interior and exterior redesign, updated casino floor, new culinary experiences and a new 340 room hotel tower as we are in the process of rebranding the property as Caesars New Orleans. As of June 30, 2022, total capital expenditures were $64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the New Jersey Gaming Control Board in connection with its approval of the Merger, we have funded $400 million in escrow to provide funds for a three year capital expenditure plan in the state of New Jersey. This amount is currently included in restricted cash in Other assets, net. As of June 30, 2022 and December 31, 2021, our restricted cash balance in the escrow account was $189 million and $297 million, respectively, for future capital expenditures in New Jersey.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w:t>
      </w:r>
      <w:r>
        <w:rPr>
          <w:rFonts w:ascii="Arial" w:cs="Arial" w:eastAsia="Arial" w:hAnsi="Arial"/>
          <w:sz w:val="18"/>
          <w:szCs w:val="18"/>
          <w:color w:val="000000"/>
        </w:rPr>
        <w:t>In connection with the</w:t>
      </w:r>
      <w:r>
        <w:rPr>
          <w:rFonts w:ascii="Arial" w:cs="Arial" w:eastAsia="Arial" w:hAnsi="Arial"/>
          <w:sz w:val="18"/>
          <w:szCs w:val="18"/>
          <w:color w:val="222222"/>
        </w:rPr>
        <w:t xml:space="preserve"> </w:t>
      </w:r>
      <w:r>
        <w:rPr>
          <w:rFonts w:ascii="Arial" w:cs="Arial" w:eastAsia="Arial" w:hAnsi="Arial"/>
          <w:sz w:val="18"/>
          <w:szCs w:val="18"/>
          <w:color w:val="000000"/>
        </w:rPr>
        <w:t xml:space="preserve">launch of the Caesars Sportsbook app, we entered into a significant marketing campaign with distinguished actors, former athletes and other media personalities. </w:t>
      </w:r>
      <w:r>
        <w:rPr>
          <w:rFonts w:ascii="Arial" w:cs="Arial" w:eastAsia="Arial" w:hAnsi="Arial"/>
          <w:sz w:val="18"/>
          <w:szCs w:val="18"/>
          <w:color w:val="222222"/>
        </w:rPr>
        <w:t>As of</w:t>
      </w:r>
      <w:r>
        <w:rPr>
          <w:rFonts w:ascii="Arial" w:cs="Arial" w:eastAsia="Arial" w:hAnsi="Arial"/>
          <w:sz w:val="18"/>
          <w:szCs w:val="18"/>
          <w:color w:val="000000"/>
        </w:rPr>
        <w:t xml:space="preserve"> June 30, 2022 and December 31, 2021</w:t>
      </w:r>
      <w:r>
        <w:rPr>
          <w:rFonts w:ascii="Arial" w:cs="Arial" w:eastAsia="Arial" w:hAnsi="Arial"/>
          <w:sz w:val="18"/>
          <w:szCs w:val="18"/>
          <w:color w:val="222222"/>
        </w:rPr>
        <w:t>, obligations related to these agreements were $988 million and $997 million, respectively, which</w:t>
      </w:r>
      <w:r>
        <w:rPr>
          <w:rFonts w:ascii="Arial" w:cs="Arial" w:eastAsia="Arial" w:hAnsi="Arial"/>
          <w:sz w:val="18"/>
          <w:szCs w:val="18"/>
          <w:color w:val="000000"/>
        </w:rPr>
        <w:t xml:space="preserve"> </w:t>
      </w:r>
      <w:r>
        <w:rPr>
          <w:rFonts w:ascii="Arial" w:cs="Arial" w:eastAsia="Arial" w:hAnsi="Arial"/>
          <w:sz w:val="18"/>
          <w:szCs w:val="18"/>
          <w:color w:val="222222"/>
        </w:rPr>
        <w:t>include obligations assumed in the William Hill Acquisition, with contracts extending through 2040. These obligations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self-insured for workers compensation and other risk insurance, as well as health insurance and general liability. Our total estimated self-insurance liability as of June 30, 2022 and December 31, 2021, was $212 million and $221 million, respectively, which is included in Accrued other liabilities in our Balance Sheets.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12529"/>
        </w:rPr>
        <w:t xml:space="preserve">On August 27, 2020, Hurricane Laura made landfall on Lake Charles as a Category 4 storm severely damaging the Isle of Capri Casino Lake Charles. During the six months ended </w:t>
      </w:r>
      <w:r>
        <w:rPr>
          <w:rFonts w:ascii="Arial" w:cs="Arial" w:eastAsia="Arial" w:hAnsi="Arial"/>
          <w:sz w:val="16"/>
          <w:szCs w:val="16"/>
          <w:color w:val="000000"/>
        </w:rPr>
        <w:t>June 30, 2022</w:t>
      </w:r>
      <w:r>
        <w:rPr>
          <w:rFonts w:ascii="Arial" w:cs="Arial" w:eastAsia="Arial" w:hAnsi="Arial"/>
          <w:sz w:val="16"/>
          <w:szCs w:val="16"/>
          <w:color w:val="212529"/>
        </w:rPr>
        <w:t xml:space="preserve">, the Company reached a final settlement agreement with the insurance carriers for a total amount of $128 million, before our insurance deductible of $25 million. The Company has received $100 million related to damaged fixed assets, remediation costs and business interruption. We expect to receive an additional $3 million in the third quarter of </w:t>
      </w:r>
      <w:r>
        <w:rPr>
          <w:rFonts w:ascii="Arial" w:cs="Arial" w:eastAsia="Arial" w:hAnsi="Arial"/>
          <w:sz w:val="16"/>
          <w:szCs w:val="16"/>
          <w:color w:val="000000"/>
        </w:rPr>
        <w:t>2022</w:t>
      </w:r>
      <w:r>
        <w:rPr>
          <w:rFonts w:ascii="Arial" w:cs="Arial" w:eastAsia="Arial" w:hAnsi="Arial"/>
          <w:sz w:val="16"/>
          <w:szCs w:val="16"/>
          <w:color w:val="212529"/>
        </w:rPr>
        <w:t>, which is included in Accounts receivable, net.</w:t>
      </w:r>
    </w:p>
    <w:p>
      <w:pPr>
        <w:spacing w:after="0" w:line="32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No gain was recorded during the three months ended </w:t>
      </w:r>
      <w:r>
        <w:rPr>
          <w:rFonts w:ascii="Arial" w:cs="Arial" w:eastAsia="Arial" w:hAnsi="Arial"/>
          <w:sz w:val="18"/>
          <w:szCs w:val="18"/>
          <w:color w:val="000000"/>
        </w:rPr>
        <w:t>June 30, 2022</w:t>
      </w:r>
      <w:r>
        <w:rPr>
          <w:rFonts w:ascii="Arial" w:cs="Arial" w:eastAsia="Arial" w:hAnsi="Arial"/>
          <w:sz w:val="18"/>
          <w:szCs w:val="18"/>
          <w:color w:val="212529"/>
        </w:rPr>
        <w:t xml:space="preserve">. The Company recorded a gain of $14 million during the three months ended June 30, 2021, and a gain of $38 million and $22 million during the six months ended </w:t>
      </w:r>
      <w:r>
        <w:rPr>
          <w:rFonts w:ascii="Arial" w:cs="Arial" w:eastAsia="Arial" w:hAnsi="Arial"/>
          <w:sz w:val="18"/>
          <w:szCs w:val="18"/>
          <w:color w:val="000000"/>
        </w:rPr>
        <w:t>June 30, 2022</w:t>
      </w:r>
      <w:r>
        <w:rPr>
          <w:rFonts w:ascii="Arial" w:cs="Arial" w:eastAsia="Arial" w:hAnsi="Arial"/>
          <w:sz w:val="18"/>
          <w:szCs w:val="18"/>
          <w:color w:val="212529"/>
        </w:rPr>
        <w:t xml:space="preserve"> and 2021, respectively, which are included in Transaction and other operating costs, net in our Statements of Operations, as proceeds received for the cost to replace damaged property were in excess of the respective carrying value of the assets. The property will remain closed u</w:t>
      </w:r>
      <w:r>
        <w:rPr>
          <w:rFonts w:ascii="Arial" w:cs="Arial" w:eastAsia="Arial" w:hAnsi="Arial"/>
          <w:sz w:val="18"/>
          <w:szCs w:val="18"/>
          <w:color w:val="000000"/>
        </w:rPr>
        <w:t>ntil the fourth quarter of 2022 w</w:t>
      </w:r>
      <w:r>
        <w:rPr>
          <w:rFonts w:ascii="Arial" w:cs="Arial" w:eastAsia="Arial" w:hAnsi="Arial"/>
          <w:sz w:val="18"/>
          <w:szCs w:val="18"/>
          <w:color w:val="212529"/>
        </w:rPr>
        <w:t>hen construction of a new land-based casino, Horseshoe Lake Charles, is expected to be complete.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Long-Term Debt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6"/>
              </w:rPr>
              <w:t>Final</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Rates</w:t>
            </w:r>
          </w:p>
        </w:tc>
        <w:tc>
          <w:tcPr>
            <w:tcW w:w="160" w:type="dxa"/>
            <w:vAlign w:val="bottom"/>
          </w:tcPr>
          <w:p>
            <w:pPr>
              <w:spacing w:after="0"/>
              <w:rPr>
                <w:sz w:val="13"/>
                <w:szCs w:val="13"/>
                <w:color w:val="auto"/>
              </w:rPr>
            </w:pPr>
          </w:p>
        </w:tc>
        <w:tc>
          <w:tcPr>
            <w:tcW w:w="16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9"/>
              </w:rPr>
              <w:t>Maturity</w:t>
            </w: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Baltimore Revolving Credit Facility</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2023</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Baltimore Term Loan</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Incremental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CEI Senior 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Convention Center Mortgage Loan</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Special Improvement District Bonds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Long-term notes and other payables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6"/>
                <w:szCs w:val="16"/>
                <w:color w:val="auto"/>
              </w:rPr>
              <w:t>Total debt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14,194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13,751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6"/>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5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w w:val="96"/>
              </w:rPr>
              <w:t>Unamortized premiums, discounts and deferred finance charges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tcPr>
          <w:p>
            <w:pPr>
              <w:ind w:left="460"/>
              <w:spacing w:after="0"/>
              <w:rPr>
                <w:sz w:val="20"/>
                <w:szCs w:val="20"/>
                <w:color w:val="auto"/>
              </w:rPr>
            </w:pPr>
            <w:r>
              <w:rPr>
                <w:rFonts w:ascii="Arial" w:cs="Arial" w:eastAsia="Arial" w:hAnsi="Arial"/>
                <w:sz w:val="16"/>
                <w:szCs w:val="16"/>
                <w:color w:val="auto"/>
              </w:rPr>
              <w:t>Fair value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13,506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0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5"/>
                <w:szCs w:val="15"/>
                <w:color w:val="auto"/>
              </w:rPr>
            </w:pPr>
          </w:p>
        </w:tc>
        <w:tc>
          <w:tcPr>
            <w:tcW w:w="82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14,194</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57" w:lineRule="auto"/>
        <w:tabs>
          <w:tab w:leader="none" w:pos="327"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Debt principal and interest payments are estimated amounts based on contractual maturity and repayment dates and exclude the effect of discretionary early repayments, such as our early repayments made in July 2022, as discussed below. Interest payments are estimated based on the forward-looking LIBOR curve, where applicable, and include the estimated impact of the four interest rate swap agreements related to our CRC Credit Facility (see Note 7). Actual payments may differ from these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long-term debt as of June 30, 2022 includes the principal payments on the term loans, other unsecured borrowings, and special improvement district bonds that are contractually due within 12 months. The Company may, from time to time, seek to repurchase its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33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June 30, 2022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Baltimore Term Loan and Baltimore Revolving Credit Facility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our increased ownership interest in Horseshoe Baltimore, we began to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2024 and is subject to a variable rate of interest calculated as LIBOR plus 4.00%. The Baltimore Revolving Credit Facility has borrowing capacity of up to $10 million available, subject to a variable rate of interest calculated as LIBOR plus 6.00%. On June 24, 2022, we entered into an amendment related to the Baltimore Revolving Credit Facility to extend the maturity date to July 7, 2023. As of June 30, 2022, there was $10 million of available borrowing capacity under the Baltimore Revolving Credit Facility.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CRC is party to a credit agreement, dated as of December 22, 2017 (as amended, the “CRC Credit Agreement”), which provided for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CRC Term Loan matures in December 2024 and the CRC Incremental Term Loan matures in July 2025. The CRC Revolving Credit Facility matures in December 2022 and includes a $400 million letter of credit sub-facility. The CRC Term Loan and the CRC Incremental Term Loan require scheduled quarterly principal payments in amounts equal to 0.25% of the original aggregate principal amount, with the balance due at maturity. The CRC Credit Agreement also includes customary voluntary and mandatory prepayment provisions, subject to certain exceptions.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CRC Credit Agreement bear interest at a rate equal to either (a) LIBOR adjusted for certain additional costs, subject to a floor of 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(b) a base rate determined by reference to the highest of (i) the federal funds rate plus 0.50%, (ii) the prime rate as determined by Credit Suisse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Branch, as administrative agent under the CRC Credit Agreement and (iii) the one-month adjusted LIBOR rate plus 1.00%,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Such applicable margin shall be (a) with respect to the CRC Term Loan, 2.75%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per annum in the case of any base rate loan, (b) with respect to the CRC Incremental Term Loan, 4.50%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 in the case of any base rate loan and (c) in the case of the CRC Revolving Credit Facility, 2.25% per annum in the case of any LIBOR loan and</w:t>
      </w:r>
    </w:p>
    <w:p>
      <w:pPr>
        <w:spacing w:after="0" w:line="3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 On September 21, 2021, CRC entered into a second amendment related to the CRC Incremental Term Loan to reduce the interest rate margins to 3.50% per annum in the case of any LIBOR loan or 2.50% per annum in the case of any base rate loan. The CRC Term Loan and the CRC Incremental Term Loan are LIBOR based loans as of June 30, 2022.</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34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the Company utilized and fully repaid on the CRC Revolving Credit Facility. Such activity is presented in the financing section in the Statements of Cash Flows. As of June 30, 2022, the Company had $966 million of available borrowing capacity, after consideration of $59 million in outstanding letters of credit under the CRC Revolving Credit Facility.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closing of the sale of William Hill International, the Company made partial prepayments totaling $630 million of the outstanding balance of the CRC Incremental Term Loan in July 2022 and recognized a $23 million loss on the early extinguishment of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which provided for a five-year CEI Revolving Credit Facility in an aggregate principal amount of $1.2 billion (the “CEI Revolving Credit Facility”). On November 10, 2021, the Company amended the CEI Revolving Credit Facility to establish reserves in the total amount of $190 million which are available only for permitted use. On May 23, 2022, pursuant to the amendment, the Company obtained approval for a reduction of $150 million in required reserves. The CEI Revolving Credit Facility matures in July 2025 and includes a letter of credit sub-facility of $250 million.</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Company is required to pay a commitment fee in respect of any unused commitments under the CEI Revolving Credit Facility in the amount of 0.50%, subject to a step-down to 0.375% based upon the Company’s total leverage ratio. The Company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 Company had $1.1 billion of available borrowing capacity under the CEI Revolving Credit Facility, after consideration of $18 million in outstanding letters of credit, $48 million committed for regulatory purposes and the reserves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6, 2020, Colt Merger Sub, Inc. (the “Escrow Issuer”) issued $1.0 billion in aggregate principal amount of 5.75% Senior Secured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will mature on July 1, 2025 with interest payable semi-annually in cash in arrears on January 1 and July 1 of each year. In the second quarter, the Company purchased a total of $11 million in principal amount of the CRC Senior Secured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will mature on July 1, 2025 with interest payable semi-annually in cash in arrears on January 1 and July 1 of each year.</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the Company entered into a loan agreement with VICI to borrow a 5-year, $400 million Forum Convention Center mortgage loan (the “Mortgage Loan”). The Mortgage Loan bears interest at a rate of, initially, 7.7% per annum, which escalates annually to a maximum interest rate of 8.3% per annum. Beginning October 1, 2021, the Mortgage Loan is subject to an interest rate of 7.854%.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6, 2020, the Escrow Issuer issued $1.8 billion in aggregate principal amount of 8.125% Senior Notes due 2027 pursuant to an indenture, dated July 6, 2020 (the “CEI Senior Notes”), by and between the Escrow Issuer and U.S. Bank National Association, as trustee. The Company assumed the rights and obligations under the CEI Senior Notes and the indenture governing such notes on July 20, 2020. The CEI Senior Notes will mature on July 1, 2027 with interest payable semi-annually in cash in arrears on January 1 and July 1 of each year. In the second quarter, the Company purchased a total of $79 million in principal amount of CEI Senior Notes. The Company purchased a total of $10 million of the outstanding balance of the CEI Senior Notes in July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 due 2029</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24, 2021, the Company issued $1.2 billion in aggregate principal amount of 4.625% Senior Notes due 2029 (the “Senior Notes”) pursuant to an indenture dated as of September 24, 2021 between the Company and U.S. Bank National Association, as Trustee. The Senior Notes will mature on October 15, 2029 with interest payable on April 15 and October 15 of each year, which began on April 15,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Credit Agreement, the CEI Revolving Credit Facility, the Baltimore Term Loan, the Baltimore Revolving Credit Facility, and the indentures governing the CEI Senior Secured Notes, the CEI Senior Notes, the CRC Senior Secured Notes and the Senior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Revolving Credit Facility and the CEI Revolving Credit Facility include a maximum first-priority net senior secured leverage ratio financial covenant of 6.35:1, which is applicable solely to the extent that certain testing conditions are satisfied. The Baltimore Revolving Credit Facility includes a senior secured leverage ratio financial covenant of 5.0:1. Failure to comply with such covenants could result in an acceleration of the maturity of indebtedness outstanding under the relevant debt document.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Company was in compliance with all of the applicable financial covenants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CEI Revolving Credit Facility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and the Senior Notes are guaranteed on a senior unsecured basis by such subsidiaries.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Credit Agreement and 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Credit Agreement and the CRC Senior Secured Notes are also guaranteed on a senior unsecured basis by CEI.</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Revenue Recognition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Statements of Operations presents net revenue disaggregated by type or nature of the good or service. A summary of net revenues disaggregated by type of revenue and reportable segment is presented below. Refer to Note 15 for additional information on the Company’s reportable segments.</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Three Months Ended June 30, 2022</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220"/>
              <w:spacing w:after="0" w:line="175" w:lineRule="exact"/>
              <w:rPr>
                <w:sz w:val="20"/>
                <w:szCs w:val="20"/>
                <w:color w:val="auto"/>
              </w:rPr>
            </w:pPr>
            <w:r>
              <w:rPr>
                <w:rFonts w:ascii="Arial" w:cs="Arial" w:eastAsia="Arial" w:hAnsi="Arial"/>
                <w:sz w:val="16"/>
                <w:szCs w:val="16"/>
                <w:b w:val="1"/>
                <w:bCs w:val="1"/>
                <w:color w:val="auto"/>
              </w:rPr>
              <w:t>Branded</w:t>
            </w:r>
          </w:p>
        </w:tc>
        <w:tc>
          <w:tcPr>
            <w:tcW w:w="120" w:type="dxa"/>
            <w:vAlign w:val="bottom"/>
          </w:tcPr>
          <w:p>
            <w:pPr>
              <w:spacing w:after="0"/>
              <w:rPr>
                <w:sz w:val="15"/>
                <w:szCs w:val="15"/>
                <w:color w:val="auto"/>
              </w:rPr>
            </w:pPr>
          </w:p>
        </w:tc>
        <w:tc>
          <w:tcPr>
            <w:tcW w:w="1260" w:type="dxa"/>
            <w:vAlign w:val="bottom"/>
            <w:gridSpan w:val="2"/>
          </w:tcPr>
          <w:p>
            <w:pPr>
              <w:ind w:left="320"/>
              <w:spacing w:after="0" w:line="175" w:lineRule="exact"/>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1"/>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w w:val="91"/>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w w:val="91"/>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Three Months Ended June 30, 2021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Branded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Six Months Ended June 30, 2022</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Branded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Six Months Ended June 30, 2021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Branded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Accounts Receivable, Net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6"/>
        </w:trPr>
        <w:tc>
          <w:tcPr>
            <w:tcW w:w="20" w:type="dxa"/>
            <w:vAlign w:val="bottom"/>
            <w:shd w:val="clear" w:color="auto" w:fill="CCEEFF"/>
          </w:tcPr>
          <w:p>
            <w:pPr>
              <w:spacing w:after="0"/>
              <w:rPr>
                <w:sz w:val="21"/>
                <w:szCs w:val="21"/>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6"/>
        </w:trPr>
        <w:tc>
          <w:tcPr>
            <w:tcW w:w="20" w:type="dxa"/>
            <w:vAlign w:val="bottom"/>
          </w:tcPr>
          <w:p>
            <w:pPr>
              <w:spacing w:after="0"/>
              <w:rPr>
                <w:sz w:val="17"/>
                <w:szCs w:val="17"/>
                <w:color w:val="auto"/>
              </w:rPr>
            </w:pPr>
          </w:p>
        </w:tc>
        <w:tc>
          <w:tcPr>
            <w:tcW w:w="75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and Contract Related Liabilities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w:t>
      </w:r>
    </w:p>
    <w:p>
      <w:pPr>
        <w:spacing w:after="0" w:line="34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Liabilities expected to be recognized as revenue beyond one year of being purchased, earned, or deposited are recorded within other long-term liabilities on the Company’s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Outstanding Chip Liability</w:t>
            </w:r>
          </w:p>
        </w:tc>
        <w:tc>
          <w:tcPr>
            <w:tcW w:w="280" w:type="dxa"/>
            <w:vAlign w:val="bottom"/>
          </w:tcPr>
          <w:p>
            <w:pPr>
              <w:spacing w:after="0"/>
              <w:rPr>
                <w:sz w:val="16"/>
                <w:szCs w:val="16"/>
                <w:color w:val="auto"/>
              </w:rPr>
            </w:pPr>
          </w:p>
        </w:tc>
        <w:tc>
          <w:tcPr>
            <w:tcW w:w="2060" w:type="dxa"/>
            <w:vAlign w:val="bottom"/>
            <w:gridSpan w:val="3"/>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Customer Deposits and Other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Deferred Revenue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240"/>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59"/>
              <w:spacing w:after="0" w:line="172" w:lineRule="exact"/>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760" w:type="dxa"/>
            <w:vAlign w:val="bottom"/>
            <w:tcBorders>
              <w:top w:val="single" w:sz="8" w:color="auto"/>
              <w:bottom w:val="single" w:sz="8" w:color="CFF0FC"/>
            </w:tcBorders>
          </w:tcPr>
          <w:p>
            <w:pPr>
              <w:spacing w:after="0" w:line="20" w:lineRule="exact"/>
              <w:rPr>
                <w:sz w:val="1"/>
                <w:szCs w:val="1"/>
                <w:color w:val="auto"/>
              </w:rPr>
            </w:pPr>
          </w:p>
        </w:tc>
        <w:tc>
          <w:tcPr>
            <w:tcW w:w="21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June 30</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37"/>
        </w:trPr>
        <w:tc>
          <w:tcPr>
            <w:tcW w:w="20" w:type="dxa"/>
            <w:vAlign w:val="bottom"/>
            <w:tcBorders>
              <w:bottom w:val="single" w:sz="8" w:color="CFF0FC"/>
            </w:tcBorders>
            <w:shd w:val="clear" w:color="auto" w:fill="CFF0FC"/>
          </w:tcPr>
          <w:p>
            <w:pPr>
              <w:spacing w:after="0"/>
              <w:rPr>
                <w:sz w:val="20"/>
                <w:szCs w:val="20"/>
                <w:color w:val="auto"/>
              </w:rPr>
            </w:pPr>
          </w:p>
        </w:tc>
        <w:tc>
          <w:tcPr>
            <w:tcW w:w="2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w w:val="91"/>
              </w:rPr>
              <w:t>(3)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June 30, 2022 balances above exclude liabilities related to liabilities held for sale recorded in 2022 and 2021. See Note 3. The change in customer deposits and other deferred revenue during the period ended June 30, 2022 was primarily due to expansion of the Caesars Digital segment from the legalization of retail and online sports betting in new jurisdictions.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June 30, 2022 and 2021, we recognized approximately $519 million and $396 million, respectively, and during the six months ended June 30, 2022 and 2021, we recognized approximately $902 million and $611 million, respectively, which is included in Hotel revenues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Statements of Operations, and during the three months ended June 30, 2022 and 2021, lease revenue related to conventions was approximately $13 million and less than $1 million, respectively, and during the six months ended June 30, 2022 and 2021, lease revenue related to conventions was approximately $19 million and less than $1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 revenue is included in Other revenue in the Statements of Operations. During the three months ended June 30, 2022 and 2021, we recognized approximately $47 million and $44 million, respectively, and during the six months ended June 30, 2022 and 2021, we recognized approximately $83 million and $65 million, respectively, of real estate lease revenue.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lease revenue includes $16 million and $6 million of variable rental income for the three months ended June 30, 2022 and 2021, respectively, and $28 million and $13 million for the six months ended June 30, 2022 and 2021, respectively.</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Earnings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(loss) per share computations for the three and six months ended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8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3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39"/>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39"/>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740" w:type="dxa"/>
            <w:vAlign w:val="bottom"/>
            <w:gridSpan w:val="3"/>
            <w:shd w:val="clear" w:color="auto" w:fill="CCEEFF"/>
          </w:tcPr>
          <w:p>
            <w:pPr>
              <w:ind w:left="20"/>
              <w:spacing w:after="0" w:line="146" w:lineRule="exact"/>
              <w:rPr>
                <w:sz w:val="20"/>
                <w:szCs w:val="20"/>
                <w:color w:val="auto"/>
              </w:rPr>
            </w:pPr>
            <w:r>
              <w:rPr>
                <w:rFonts w:ascii="Arial" w:cs="Arial" w:eastAsia="Arial" w:hAnsi="Arial"/>
                <w:sz w:val="16"/>
                <w:szCs w:val="16"/>
                <w:color w:val="auto"/>
                <w:w w:val="96"/>
              </w:rPr>
              <w:t>Net income (loss) from continuing operations attributable to Caesars,</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net of income taxes</w:t>
            </w:r>
          </w:p>
        </w:tc>
        <w:tc>
          <w:tcPr>
            <w:tcW w:w="3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Caesars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7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shares outstanding – basic</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6"/>
                <w:szCs w:val="16"/>
                <w:color w:val="auto"/>
              </w:rPr>
              <w:t>Effect of dilutive securities: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Stock-based compensation awards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6"/>
                <w:szCs w:val="16"/>
                <w:color w:val="auto"/>
              </w:rPr>
              <w:t>Weighted average shares outstanding – diluted</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6"/>
                <w:szCs w:val="16"/>
                <w:color w:val="auto"/>
              </w:rPr>
              <w:t>Basic income (loss) per share from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146"/>
        </w:trPr>
        <w:tc>
          <w:tcPr>
            <w:tcW w:w="4740" w:type="dxa"/>
            <w:vAlign w:val="bottom"/>
            <w:gridSpan w:val="3"/>
          </w:tcPr>
          <w:p>
            <w:pPr>
              <w:ind w:left="20"/>
              <w:spacing w:after="0" w:line="146" w:lineRule="exact"/>
              <w:rPr>
                <w:sz w:val="20"/>
                <w:szCs w:val="20"/>
                <w:color w:val="auto"/>
              </w:rPr>
            </w:pPr>
            <w:r>
              <w:rPr>
                <w:rFonts w:ascii="Arial" w:cs="Arial" w:eastAsia="Arial" w:hAnsi="Arial"/>
                <w:sz w:val="16"/>
                <w:szCs w:val="16"/>
                <w:color w:val="auto"/>
              </w:rPr>
              <w:t>Net income (loss) per common share attributable to common</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stockholders – basic:</w:t>
            </w:r>
          </w:p>
        </w:tc>
        <w:tc>
          <w:tcPr>
            <w:tcW w:w="3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6"/>
                <w:szCs w:val="16"/>
                <w:color w:val="auto"/>
              </w:rPr>
              <w:t>Diluted income (loss) per share from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146"/>
        </w:trPr>
        <w:tc>
          <w:tcPr>
            <w:tcW w:w="4740" w:type="dxa"/>
            <w:vAlign w:val="bottom"/>
            <w:gridSpan w:val="3"/>
          </w:tcPr>
          <w:p>
            <w:pPr>
              <w:ind w:left="20"/>
              <w:spacing w:after="0" w:line="146" w:lineRule="exact"/>
              <w:rPr>
                <w:sz w:val="20"/>
                <w:szCs w:val="20"/>
                <w:color w:val="auto"/>
              </w:rPr>
            </w:pPr>
            <w:r>
              <w:rPr>
                <w:rFonts w:ascii="Arial" w:cs="Arial" w:eastAsia="Arial" w:hAnsi="Arial"/>
                <w:sz w:val="16"/>
                <w:szCs w:val="16"/>
                <w:color w:val="auto"/>
              </w:rPr>
              <w:t>Net income (loss) per common share attributable to common</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stockholders – diluted:</w:t>
            </w:r>
          </w:p>
        </w:tc>
        <w:tc>
          <w:tcPr>
            <w:tcW w:w="3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period in which the Company generated a net loss from continuing operations, the weighted average shares outstanding - basic was used in calculating diluted loss per share because using diluted shares would have been anti-dilutive to loss per share.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Weighted-Average Number of Anti-Dilutive Shares Excluded from Calculation of EPS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300" w:type="dxa"/>
            <w:vAlign w:val="bottom"/>
            <w:gridSpan w:val="4"/>
          </w:tcPr>
          <w:p>
            <w:pPr>
              <w:ind w:left="560"/>
              <w:spacing w:after="0"/>
              <w:rPr>
                <w:sz w:val="20"/>
                <w:szCs w:val="20"/>
                <w:color w:val="auto"/>
              </w:rPr>
            </w:pPr>
            <w:r>
              <w:rPr>
                <w:rFonts w:ascii="Arial" w:cs="Arial" w:eastAsia="Arial" w:hAnsi="Arial"/>
                <w:sz w:val="16"/>
                <w:szCs w:val="16"/>
                <w:b w:val="1"/>
                <w:bCs w:val="1"/>
                <w:color w:val="auto"/>
              </w:rPr>
              <w:t>Three Months Ended June 30,</w:t>
            </w:r>
          </w:p>
        </w:tc>
        <w:tc>
          <w:tcPr>
            <w:tcW w:w="320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560" w:type="dxa"/>
            <w:vAlign w:val="bottom"/>
            <w:tcBorders>
              <w:top w:val="single" w:sz="8" w:color="auto"/>
            </w:tcBorders>
          </w:tcPr>
          <w:p>
            <w:pPr>
              <w:jc w:val="right"/>
              <w:ind w:right="53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51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560" w:type="dxa"/>
            <w:vAlign w:val="bottom"/>
            <w:tcBorders>
              <w:top w:val="single" w:sz="8" w:color="auto"/>
            </w:tcBorders>
          </w:tcPr>
          <w:p>
            <w:pPr>
              <w:jc w:val="right"/>
              <w:ind w:right="539"/>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539"/>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Arial" w:cs="Arial" w:eastAsia="Arial" w:hAnsi="Arial"/>
                <w:sz w:val="16"/>
                <w:szCs w:val="16"/>
                <w:color w:val="auto"/>
              </w:rPr>
              <w:t>Total anti-dilutive common stock</w:t>
            </w:r>
          </w:p>
        </w:tc>
        <w:tc>
          <w:tcPr>
            <w:tcW w:w="1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4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Stock-Based Compensation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in the accompanying Statements of Operations totaled $26 million and $20 million during the three months ended June 30, 2022 and 2021, respectively, and $51 million and $43 million during the six months ended June 30, 2022 and 2021, respectively. These amounts are included in Corporate expense in the Company’s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(“2015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as part of the annual incentive program, the Company granted 718 thousand RSUs to employees of the Company with an aggregate fair value of $53 million and a ratable vesting period of one to three years. Each RSU represents the right to receive payment in respect of one share of the Company’s Common Stock.</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six months ended June 30, 2022, the Company also granted 80 thousand PSUs that are scheduled to vest over a period of one to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$3 million as of June 30, 2022.</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during the six months ended June 30, 2022, the Company granted 428 thousand MSUs that are scheduled to cliff vest over a period of one to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six months ended June 30, 2022 was $36 million. Included in the MSUs granted during the period is an award for the Company’s CEO in the amount of 225,000 MSUs, with a grant date fair value of $16 million which is eligible to be earned based on the achievement of certain stock prices over a three-year period. The stock-based compensation expense associated with this award is expected to be recognized over the derived service period ending December 31, 2022. These awards will be settled in February 2025.</w:t>
      </w:r>
    </w:p>
    <w:p>
      <w:pPr>
        <w:spacing w:after="0" w:line="1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six months ended June 30, 2022, there were no grants of stock options and 19 thousand stock options were exercised. In addition, during the six months ended June 30, 2022, 589 thousand, 185 thousand and 113 thousand of RSUs, PSUs and MSUs, respectively, vested under the 2015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at End of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20" w:type="dxa"/>
            <w:vAlign w:val="bottom"/>
            <w:gridSpan w:val="5"/>
          </w:tcPr>
          <w:p>
            <w:pPr>
              <w:ind w:left="1100"/>
              <w:spacing w:after="0"/>
              <w:rPr>
                <w:sz w:val="20"/>
                <w:szCs w:val="20"/>
                <w:color w:val="auto"/>
              </w:rPr>
            </w:pPr>
            <w:r>
              <w:rPr>
                <w:rFonts w:ascii="Arial" w:cs="Arial" w:eastAsia="Arial" w:hAnsi="Arial"/>
                <w:sz w:val="16"/>
                <w:szCs w:val="16"/>
                <w:b w:val="1"/>
                <w:bCs w:val="1"/>
                <w:color w:val="auto"/>
              </w:rPr>
              <w:t>June 30, 2022</w:t>
            </w:r>
          </w:p>
        </w:tc>
        <w:tc>
          <w:tcPr>
            <w:tcW w:w="31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4860" w:type="dxa"/>
            <w:vAlign w:val="bottom"/>
          </w:tcPr>
          <w:p>
            <w:pPr>
              <w:spacing w:after="0"/>
              <w:rPr>
                <w:sz w:val="18"/>
                <w:szCs w:val="18"/>
                <w:color w:val="auto"/>
              </w:rPr>
            </w:pPr>
          </w:p>
        </w:tc>
        <w:tc>
          <w:tcPr>
            <w:tcW w:w="1620" w:type="dxa"/>
            <w:vAlign w:val="bottom"/>
            <w:tcBorders>
              <w:top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Quantity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7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Quantity</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9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2,170,957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67.56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2,090,607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61.47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Market-based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750,184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83.46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381,923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77.09</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4" w:lineRule="auto"/>
        <w:tabs>
          <w:tab w:leader="none" w:pos="327"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 Company has acquired 223,823 shares of common stock under the Share Repurchase Program at an aggregate value of $9 million and an average of $40.80 per share. No shares were repurchased during the six months ended June 30, 2022 and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Authorized Shares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w:t>
      </w:r>
    </w:p>
    <w:p>
      <w:pPr>
        <w:spacing w:after="0" w:line="29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Income Taxes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240" w:type="dxa"/>
            <w:vAlign w:val="bottom"/>
          </w:tcPr>
          <w:p>
            <w:pPr>
              <w:jc w:val="right"/>
              <w:ind w:right="559"/>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1060" w:type="dxa"/>
            <w:vAlign w:val="bottom"/>
          </w:tcPr>
          <w:p>
            <w:pPr>
              <w:jc w:val="right"/>
              <w:ind w:right="19"/>
              <w:spacing w:after="0" w:line="172" w:lineRule="exact"/>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3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59"/>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(395)</w:t>
            </w:r>
          </w:p>
        </w:tc>
      </w:tr>
      <w:tr>
        <w:trPr>
          <w:trHeight w:val="213"/>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77</w:t>
            </w:r>
          </w:p>
        </w:tc>
      </w:tr>
      <w:tr>
        <w:trPr>
          <w:trHeight w:val="21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19.5 %</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use the existing deferred tax assets. We have provided a valuation allowance on certain federal, state and foreign deferred tax assets that were not deemed realizable based upon estimates of future taxable income.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William Hill Acquisition, the Company assumed $381 million of additional net deferred tax liabilities net of necessary valuation allowances, plus $34 million in additional accruals for uncertain tax positions. $130 million of the additional deferred tax liabilities and $34 million of the accruals for uncertain tax positions relating to the William Hill Acquisition are presented in Liabilities held for sale as they relate to William Hill International.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income tax benefit (provision) for the three and six months ended June 30, 2022 differed from the expected income tax benefit (provision) based on the federal tax rate of 21% primarily due to a true-up adjustment related to the tax impact of the settlement of preexisting relationships upon the acquisition of William Hill in 2021.</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income tax benefit (provision) for the three and six months ended June 30, 2021 differed from the expected income tax benefit (provision) based on the federal tax rate of 21% due to the tax impacts of; (i) changes in certain U.S. state tax laws and the United Kingdom tax rate, each enacted in June 2021, (ii) certain income and deductions that are not tax benefited, and (iii) the reclassification of Horseshoe Hammond from held for sale.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2018, and it is possible that the amount of the liability for unrecognized tax benefits could change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Related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2022, Recreational Enterprises, Inc. (“REI”) owned approximately 4.0%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During the six months ended June 30, 2022 and 2021, there were no related party transactions between the Company and the Carano family other than compensation, including salary and equity incentives, and the CSY Lease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quarterly. Annual rent is subject to periodic rent escalations through the term of the lease. As of June 30, 2022 and December 31, 2021, there were no amounts due to or from CSY.</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Horseshoe Baltimore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an interest in Horseshoe Baltimore of approximately 44.3%, which was accounted for as an equity method investment, prior to our acquisition of an additional interest and subsequent consolidation on August 26, 2021. Related party transactions include items such as casino management fees, reimbursement of various costs incurred on behalf of Horseshoe Baltimore, and the allocation of other general corporate expenses. Following our consolidation of Horseshoe Baltimore, these transactions are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15. Segment Information</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3 and Note 6 for a discussion of any impairment of intangibles or long-lived assets related to certain segments, when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our properties (listed by segment in which each property is reported) as of June 30,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Las Vegas</w:t>
            </w:r>
          </w:p>
        </w:tc>
        <w:tc>
          <w:tcPr>
            <w:tcW w:w="8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Managed and Branded</w:t>
            </w:r>
          </w:p>
        </w:tc>
      </w:tr>
      <w:tr>
        <w:trPr>
          <w:trHeight w:val="172"/>
        </w:trPr>
        <w:tc>
          <w:tcPr>
            <w:tcW w:w="26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Bally’s Las Vegas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Atlantic City</w:t>
            </w:r>
          </w:p>
        </w:tc>
        <w:tc>
          <w:tcPr>
            <w:tcW w:w="46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ind w:left="160"/>
              <w:spacing w:after="0" w:line="172" w:lineRule="exact"/>
              <w:rPr>
                <w:sz w:val="20"/>
                <w:szCs w:val="20"/>
                <w:color w:val="auto"/>
              </w:rPr>
            </w:pPr>
            <w:r>
              <w:rPr>
                <w:rFonts w:ascii="Arial" w:cs="Arial" w:eastAsia="Arial" w:hAnsi="Arial"/>
                <w:sz w:val="16"/>
                <w:szCs w:val="16"/>
                <w:color w:val="auto"/>
              </w:rPr>
              <w:t>Horseshoe Bossier City</w:t>
            </w:r>
          </w:p>
        </w:tc>
        <w:tc>
          <w:tcPr>
            <w:tcW w:w="2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spacing w:after="0" w:line="172" w:lineRule="exact"/>
              <w:rPr>
                <w:sz w:val="20"/>
                <w:szCs w:val="20"/>
                <w:color w:val="auto"/>
              </w:rPr>
            </w:pPr>
            <w:r>
              <w:rPr>
                <w:rFonts w:ascii="Arial" w:cs="Arial" w:eastAsia="Arial" w:hAnsi="Arial"/>
                <w:sz w:val="16"/>
                <w:szCs w:val="16"/>
                <w:i w:val="1"/>
                <w:iCs w:val="1"/>
                <w:color w:val="auto"/>
              </w:rPr>
              <w:t>Managed</w:t>
            </w:r>
          </w:p>
        </w:tc>
      </w:tr>
      <w:tr>
        <w:trPr>
          <w:trHeight w:val="21"/>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Caesars Palace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Circus Circus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Council Bluffs</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Ak-Chin</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Cromwell</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Eldorado Gaming Scioto Downs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Hammond</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Cherokee</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Flamingo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Eldorado Resort Casino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Indianapolis</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Cherokee Valley River</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Grand Victoria Casino</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St. Louis</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Resort Southern California</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The LINQ Hotel &amp; Casino</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Atlantic City</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Tunica</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Caesars Windsor</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Paris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Council Bluffs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Casino Bettendorf</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Caesars Dubai</w:t>
            </w:r>
          </w:p>
        </w:tc>
      </w:tr>
      <w:tr>
        <w:trPr>
          <w:trHeight w:val="175"/>
        </w:trPr>
        <w:tc>
          <w:tcPr>
            <w:tcW w:w="2660" w:type="dxa"/>
            <w:vAlign w:val="bottom"/>
          </w:tcPr>
          <w:p>
            <w:pPr>
              <w:ind w:left="20"/>
              <w:spacing w:after="0" w:line="175" w:lineRule="exact"/>
              <w:rPr>
                <w:sz w:val="20"/>
                <w:szCs w:val="20"/>
                <w:color w:val="auto"/>
              </w:rPr>
            </w:pPr>
            <w:r>
              <w:rPr>
                <w:rFonts w:ascii="Arial" w:cs="Arial" w:eastAsia="Arial" w:hAnsi="Arial"/>
                <w:sz w:val="16"/>
                <w:szCs w:val="16"/>
                <w:color w:val="auto"/>
              </w:rPr>
              <w:t>Planet Hollywood Resort &amp; Casino</w:t>
            </w:r>
          </w:p>
        </w:tc>
        <w:tc>
          <w:tcPr>
            <w:tcW w:w="80" w:type="dxa"/>
            <w:vAlign w:val="bottom"/>
          </w:tcPr>
          <w:p>
            <w:pPr>
              <w:spacing w:after="0"/>
              <w:rPr>
                <w:sz w:val="15"/>
                <w:szCs w:val="15"/>
                <w:color w:val="auto"/>
              </w:rPr>
            </w:pPr>
          </w:p>
        </w:tc>
        <w:tc>
          <w:tcPr>
            <w:tcW w:w="2320" w:type="dxa"/>
            <w:vAlign w:val="bottom"/>
          </w:tcPr>
          <w:p>
            <w:pPr>
              <w:ind w:left="20"/>
              <w:spacing w:after="0" w:line="175" w:lineRule="exact"/>
              <w:rPr>
                <w:sz w:val="20"/>
                <w:szCs w:val="20"/>
                <w:color w:val="auto"/>
              </w:rPr>
            </w:pPr>
            <w:r>
              <w:rPr>
                <w:rFonts w:ascii="Arial" w:cs="Arial" w:eastAsia="Arial" w:hAnsi="Arial"/>
                <w:sz w:val="16"/>
                <w:szCs w:val="16"/>
                <w:color w:val="auto"/>
              </w:rPr>
              <w:t>Harrah’s Gulf Coast</w:t>
            </w:r>
          </w:p>
        </w:tc>
        <w:tc>
          <w:tcPr>
            <w:tcW w:w="460" w:type="dxa"/>
            <w:vAlign w:val="bottom"/>
          </w:tcPr>
          <w:p>
            <w:pPr>
              <w:spacing w:after="0"/>
              <w:rPr>
                <w:sz w:val="15"/>
                <w:szCs w:val="15"/>
                <w:color w:val="auto"/>
              </w:rPr>
            </w:pPr>
          </w:p>
        </w:tc>
        <w:tc>
          <w:tcPr>
            <w:tcW w:w="294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Isle of Capri Casino Boonville</w:t>
            </w:r>
          </w:p>
        </w:tc>
        <w:tc>
          <w:tcPr>
            <w:tcW w:w="20" w:type="dxa"/>
            <w:vAlign w:val="bottom"/>
          </w:tcPr>
          <w:p>
            <w:pPr>
              <w:spacing w:after="0"/>
              <w:rPr>
                <w:sz w:val="15"/>
                <w:szCs w:val="15"/>
                <w:color w:val="auto"/>
              </w:rPr>
            </w:pPr>
          </w:p>
        </w:tc>
        <w:tc>
          <w:tcPr>
            <w:tcW w:w="276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Branded</w:t>
            </w: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Rio All-Suite Hotel &amp; Casino</w:t>
            </w:r>
          </w:p>
        </w:tc>
        <w:tc>
          <w:tcPr>
            <w:tcW w:w="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Harrah’s Hoosier Park Racing &amp; Casino</w:t>
            </w:r>
          </w:p>
        </w:tc>
        <w:tc>
          <w:tcPr>
            <w:tcW w:w="29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Horseshoe Lake Charles </w:t>
            </w:r>
            <w:r>
              <w:rPr>
                <w:rFonts w:ascii="Arial" w:cs="Arial" w:eastAsia="Arial" w:hAnsi="Arial"/>
                <w:sz w:val="21"/>
                <w:szCs w:val="21"/>
                <w:i w:val="1"/>
                <w:iCs w:val="1"/>
                <w:color w:val="auto"/>
                <w:vertAlign w:val="superscript"/>
              </w:rPr>
              <w:t>(b)</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(c)</w:t>
            </w: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Joliet</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of Capri Casino Lula</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Northern California</w:t>
            </w:r>
          </w:p>
        </w:tc>
      </w:tr>
      <w:tr>
        <w:trPr>
          <w:trHeight w:val="219"/>
        </w:trPr>
        <w:tc>
          <w:tcPr>
            <w:tcW w:w="26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Caesars Digital</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Lake Tahoe</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Casino Hotel - Black Hawk</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80" w:type="dxa"/>
            <w:vAlign w:val="bottom"/>
          </w:tcPr>
          <w:p>
            <w:pPr>
              <w:spacing w:after="0"/>
              <w:rPr>
                <w:sz w:val="17"/>
                <w:szCs w:val="17"/>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Laughlin</w:t>
            </w:r>
          </w:p>
        </w:tc>
        <w:tc>
          <w:tcPr>
            <w:tcW w:w="46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Casino Pompano Park</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Metropolis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Casino Waterloo</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New Orleans</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Lady Luck Casino - Black Hawk</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North Kansas City</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Silver Legacy Resort Casino</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Philadelphia</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Trop Casino Greenville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Harveys Lake Tahoe</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Tropicana Atlantic City</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79"/>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w:t>
            </w:r>
          </w:p>
        </w:tc>
        <w:tc>
          <w:tcPr>
            <w:tcW w:w="460" w:type="dxa"/>
            <w:vAlign w:val="bottom"/>
          </w:tcPr>
          <w:p>
            <w:pPr>
              <w:spacing w:after="0"/>
              <w:rPr>
                <w:sz w:val="24"/>
                <w:szCs w:val="24"/>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Tropicana Laughlin Hotel &amp; Casino</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August 26, 2021, the Company increased its ownership interest in Horseshoe Baltimore to 75.8% and began to consolidate the property in our Regional segment following the change in ownership. Management fees prior to the consolidation of Horseshoe Baltimore have been reflected in the Managed and Branded segment.</w:t>
      </w:r>
    </w:p>
    <w:p>
      <w:pPr>
        <w:spacing w:after="0" w:line="34"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11"/>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Isle of Capri Casino Hotel Lake Charles has been temporarily closed since the end of August 2020 due to damage from Hurricane Laura and will remain closed until the fourth quarter of 2022 when construction of a new land-based casino, Horseshoe Lake Charles, is expected to be complete.</w:t>
      </w:r>
    </w:p>
    <w:p>
      <w:pPr>
        <w:spacing w:after="0" w:line="34" w:lineRule="exact"/>
        <w:rPr>
          <w:rFonts w:ascii="Arial" w:cs="Arial" w:eastAsia="Arial" w:hAnsi="Arial"/>
          <w:sz w:val="19"/>
          <w:szCs w:val="19"/>
          <w:i w:val="1"/>
          <w:iCs w:val="1"/>
          <w:color w:val="212529"/>
          <w:vertAlign w:val="superscript"/>
        </w:rPr>
      </w:pPr>
    </w:p>
    <w:p>
      <w:pPr>
        <w:jc w:val="both"/>
        <w:ind w:left="340" w:hanging="332"/>
        <w:spacing w:after="0" w:line="224" w:lineRule="auto"/>
        <w:tabs>
          <w:tab w:leader="none" w:pos="336"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 sale of Caesars Southern Indiana closed on September 3, 2021 and the Company entered into a license agreement with the Eastern Band of Cherokee Indians for the continued use of the Caesars brand and the Caesars Rewards loyalty program at Caesars Southern Indiana. Caesars Southern Indiana was previously reported within the Regional segment and subsequent to the sale, as a result of the license agreement, is reported within the Managed and Branded segment.</w:t>
      </w:r>
    </w:p>
    <w:p>
      <w:pPr>
        <w:spacing w:after="0" w:line="35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properties listed above exclude the discontinued operations, including previous international properties which have been sold, or we have entered into agreements to sell. The sale of Caesars UK Group closed on July 16, 2021, in which the buyer assumed all liabilities associated with the Caesars UK Group. Additionally, on September 8, 2021, the Company entered into an agreement to sell William Hill International, which closed on July 1, 2022.</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properties operate off-track betting locations, including Harrah’s Hoosier Park Racing &amp; Casino, which operates Winner’s Circle Indianapolis and Winner’s Circle New Haven, and Horseshoe Indianapolis (formerly “Indiana Grand”),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for the Company’s four reportable segments. We recast previously reported segment amounts to conform to the way management assesses results and allocates resources for the current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318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855</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2,056</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1,352</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995</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Caesars Digital: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i w:val="1"/>
                <w:iCs w:val="1"/>
                <w:color w:val="auto"/>
              </w:rPr>
              <w:t>Managed and Branded: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Corporate and 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EBITDA - By Segment to Net Income (Loss) Attributable to Caesars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310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619"/>
              <w:spacing w:after="0" w:line="17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9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9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99"/>
              <w:spacing w:after="0" w:line="172"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by Segment: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547</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13"/>
        </w:trPr>
        <w:tc>
          <w:tcPr>
            <w:tcW w:w="2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Corporate and Other</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r>
      <w:tr>
        <w:trPr>
          <w:trHeight w:val="193"/>
        </w:trPr>
        <w:tc>
          <w:tcPr>
            <w:tcW w:w="4160" w:type="dxa"/>
            <w:vAlign w:val="bottom"/>
            <w:gridSpan w:val="3"/>
          </w:tcPr>
          <w:p>
            <w:pPr>
              <w:ind w:left="20"/>
              <w:spacing w:after="0"/>
              <w:rPr>
                <w:sz w:val="20"/>
                <w:szCs w:val="20"/>
                <w:color w:val="auto"/>
              </w:rPr>
            </w:pPr>
            <w:r>
              <w:rPr>
                <w:rFonts w:ascii="Arial" w:cs="Arial" w:eastAsia="Arial" w:hAnsi="Arial"/>
                <w:sz w:val="16"/>
                <w:szCs w:val="16"/>
                <w:color w:val="auto"/>
                <w:w w:val="99"/>
              </w:rPr>
              <w:t>Reconciliation to net income (loss) attributable to Caesars:</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6"/>
                <w:szCs w:val="16"/>
                <w:color w:val="auto"/>
              </w:rPr>
              <w:t>Net loss from discontinued operations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20" w:type="dxa"/>
            <w:vAlign w:val="bottom"/>
          </w:tcPr>
          <w:p>
            <w:pPr>
              <w:spacing w:after="0"/>
              <w:rPr>
                <w:sz w:val="18"/>
                <w:szCs w:val="18"/>
                <w:color w:val="auto"/>
              </w:rPr>
            </w:pPr>
          </w:p>
        </w:tc>
        <w:tc>
          <w:tcPr>
            <w:tcW w:w="41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20" w:type="dxa"/>
            <w:vAlign w:val="bottom"/>
            <w:shd w:val="clear" w:color="auto" w:fill="CCEEFF"/>
          </w:tcPr>
          <w:p>
            <w:pPr>
              <w:spacing w:after="0"/>
              <w:rPr>
                <w:sz w:val="21"/>
                <w:szCs w:val="21"/>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2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(1,155)</w:t>
            </w: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r>
      <w:tr>
        <w:trPr>
          <w:trHeight w:val="216"/>
        </w:trPr>
        <w:tc>
          <w:tcPr>
            <w:tcW w:w="20" w:type="dxa"/>
            <w:vAlign w:val="bottom"/>
          </w:tcPr>
          <w:p>
            <w:pPr>
              <w:spacing w:after="0"/>
              <w:rPr>
                <w:sz w:val="18"/>
                <w:szCs w:val="18"/>
                <w:color w:val="auto"/>
              </w:rPr>
            </w:pPr>
          </w:p>
        </w:tc>
        <w:tc>
          <w:tcPr>
            <w:tcW w:w="41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Transaction and other operating costs, net </w:t>
            </w:r>
            <w:r>
              <w:rPr>
                <w:rFonts w:ascii="Arial" w:cs="Arial" w:eastAsia="Arial" w:hAnsi="Arial"/>
                <w:sz w:val="21"/>
                <w:szCs w:val="21"/>
                <w:i w:val="1"/>
                <w:iCs w:val="1"/>
                <w:color w:val="auto"/>
                <w:vertAlign w:val="superscript"/>
              </w:rPr>
              <w:t>(b)</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gridSpan w:val="2"/>
          </w:tcPr>
          <w:p>
            <w:pPr>
              <w:ind w:left="220"/>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8" w:lineRule="auto"/>
        <w:tabs>
          <w:tab w:leader="none" w:pos="327" w:val="left"/>
        </w:tabs>
        <w:numPr>
          <w:ilvl w:val="0"/>
          <w:numId w:val="12"/>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income (loss) for the three and six months ended June 30, 2022 primarily represents the net change in fair value of investments held by the Company, foreign exchange forward contracts, and the changes in the disputed claims liability related to Former Caesars’ bankruptcy prior to the Merger. Other income (loss) for the three and six months ended June 30, 2021 primarily represents a gain in the change of fair value of the Company’s investments offset by a loss on the change in fair value of the derivative liability related to the 5% Convertible Notes.</w:t>
      </w:r>
    </w:p>
    <w:p>
      <w:pPr>
        <w:spacing w:after="0" w:line="35" w:lineRule="exact"/>
        <w:rPr>
          <w:rFonts w:ascii="Arial" w:cs="Arial" w:eastAsia="Arial" w:hAnsi="Arial"/>
          <w:sz w:val="19"/>
          <w:szCs w:val="19"/>
          <w:i w:val="1"/>
          <w:iCs w:val="1"/>
          <w:color w:val="212529"/>
          <w:vertAlign w:val="superscript"/>
        </w:rPr>
      </w:pPr>
    </w:p>
    <w:p>
      <w:pPr>
        <w:jc w:val="both"/>
        <w:ind w:left="340" w:hanging="332"/>
        <w:spacing w:after="0" w:line="228" w:lineRule="auto"/>
        <w:tabs>
          <w:tab w:leader="none" w:pos="327" w:val="left"/>
        </w:tabs>
        <w:numPr>
          <w:ilvl w:val="0"/>
          <w:numId w:val="12"/>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Transaction and other operating costs, net for the three and six months ended June 30, 2022 primarily represents a gain resulting from insurance proceeds received in excess of the respective carrying value of the assets damaged at Lake Charles by Hurricane Laura partially offset by various contract or lease termination exit costs. Transaction and other operating costs, net for the three and six months ended June 30, 2021 primarily represents costs related to the William Hill Acquisition and the Merger, various contract or license termination exit costs, professional services, other acquisition costs and severance costs.</w:t>
      </w:r>
    </w:p>
    <w:p>
      <w:pPr>
        <w:spacing w:after="0" w:line="1" w:lineRule="exact"/>
        <w:rPr>
          <w:rFonts w:ascii="Arial" w:cs="Arial" w:eastAsia="Arial" w:hAnsi="Arial"/>
          <w:sz w:val="19"/>
          <w:szCs w:val="19"/>
          <w:i w:val="1"/>
          <w:iCs w:val="1"/>
          <w:color w:val="212529"/>
          <w:vertAlign w:val="superscript"/>
        </w:rPr>
      </w:pPr>
    </w:p>
    <w:p>
      <w:pPr>
        <w:ind w:left="320" w:hanging="312"/>
        <w:spacing w:after="0" w:line="237" w:lineRule="auto"/>
        <w:tabs>
          <w:tab w:leader="none" w:pos="320" w:val="left"/>
        </w:tabs>
        <w:numPr>
          <w:ilvl w:val="0"/>
          <w:numId w:val="1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Total Assets - By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6"/>
                <w:szCs w:val="16"/>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Las Vegas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22,374</w:t>
            </w:r>
          </w:p>
        </w:tc>
      </w:tr>
      <w:tr>
        <w:trPr>
          <w:trHeight w:val="240"/>
        </w:trPr>
        <w:tc>
          <w:tcPr>
            <w:tcW w:w="20" w:type="dxa"/>
            <w:vAlign w:val="bottom"/>
          </w:tcPr>
          <w:p>
            <w:pPr>
              <w:spacing w:after="0"/>
              <w:rPr>
                <w:sz w:val="20"/>
                <w:szCs w:val="20"/>
                <w:color w:val="auto"/>
              </w:rPr>
            </w:pPr>
          </w:p>
        </w:tc>
        <w:tc>
          <w:tcPr>
            <w:tcW w:w="7600" w:type="dxa"/>
            <w:vAlign w:val="bottom"/>
            <w:gridSpan w:val="2"/>
          </w:tcPr>
          <w:p>
            <w:pPr>
              <w:ind w:left="20"/>
              <w:spacing w:after="0"/>
              <w:rPr>
                <w:sz w:val="20"/>
                <w:szCs w:val="20"/>
                <w:color w:val="auto"/>
              </w:rPr>
            </w:pPr>
            <w:r>
              <w:rPr>
                <w:rFonts w:ascii="Arial" w:cs="Arial" w:eastAsia="Arial" w:hAnsi="Arial"/>
                <w:sz w:val="16"/>
                <w:szCs w:val="16"/>
                <w:color w:val="auto"/>
              </w:rPr>
              <w:t>Regional</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14,678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14,419</w:t>
            </w: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Digital</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r>
      <w:tr>
        <w:trPr>
          <w:trHeight w:val="240"/>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Managed and Branded</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3,527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Includes eliminations of transactions among segments, to reconcile to the Company’s consolidated results.</w:t>
      </w:r>
    </w:p>
    <w:p>
      <w:pPr>
        <w:spacing w:after="0" w:line="38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BF2115"/>
        </w:rPr>
        <w:t>Item 2. Management’s Discussion and Analysis of Financial Condition and Results of Operations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Caesars Entertainment, Inc., a Delaware corporation, and its consolidated subsidiaries, which may be referred to as the “Company,” “CEI,” “Caesars,” “we,” “our,” or “us,” for the three and six months ended June 30, 2022 and 2021 should be read in conjunction with the unaudited consolidated condensed financial statements and the notes thereto and other financial information included elsewhere in this Form 10-Q as well as our Annual Report on Form 10-K for the fiscal year ended December 31, 2021 (“2021 Annual Report”). Capitalized terms used but not defined in this Form 10-Q have the same meanings as in the 2021 Annual Report.</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(“Isle” or “Isle of Capri”) in 2017 and Tropicana Entertainment, Inc. in 2018. On July 20, 2020, we completed the merger with Caesars Entertainment Corporation (“Former Caesars”) pursuant to which Former Caesars became our wholly-owned subsidiary (the “Merger”) and our ticker symbol on the NASDAQ Stock Market changed from “ERI” to “CZR”. On April 22, 2021, we completed the acquisition of William Hill PLC for </w:t>
      </w:r>
      <w:r>
        <w:rPr>
          <w:rFonts w:ascii="Arial" w:cs="Arial" w:eastAsia="Arial" w:hAnsi="Arial"/>
          <w:sz w:val="18"/>
          <w:szCs w:val="18"/>
          <w:color w:val="212529"/>
        </w:rPr>
        <w:t>£2.9 billion, or approximately $3.9 billion (the “William Hill Acquisition”).</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own, lease or manage an aggregate of 51 domestic properties in 16 states with approximately 53,200 slot machines, video lottery terminals and e-tables, approximately 2,900 table games and approximately 47,500 hotel rooms as of June 30, 2022. In addition, we have other domestic and international properties that are authorized to use the brands and marks of Caesars Entertainment, Inc., as well as other non-gaming properties. Our primary source of revenue is generated by our casino properties’ gaming operations, our retail and online sports betting, as well as our online gaming, and we utilize our hotels, restaurants, bars, entertainment, racing, retail shops and other services to attract customers to our properties.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2022, we owned 20 of our casinos and leased 25 casinos in the U.S. We lease 18 casinos from VICI Properties L.P., a Delaware limited partnership (“VICI”) pursuant to a regional lease, a Las Vegas lease and a Joliet lease. In addition, we lease six casinos from GLP Capital, L.P., the operating partnership of Gaming and Leisure Properties, Inc. (“GLPI”) pursuant to a Master Lease (as amended, the “GLPI Master Lease”) and a Lumière lease (together with the GLPI Master Lease, the “GLPI Leases”). Additionally, we lease the Rio All-Suite Hotel &amp; Casino from a separate third party.</w:t>
      </w:r>
    </w:p>
    <w:p>
      <w:pPr>
        <w:spacing w:after="0" w:line="32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We also operate and conduct sports wagering across 25 jurisdictions in North America, 18 of which are mobile for sports betting, and operate regulated online real money gaming in six jurisdictions in North America. Our recently launched Caesars Sportsbook app operates on the Liberty platform, which we acquired in the William Hill Acquisition, along with other technology platforms that we intend to migrate to the Liberty platform in the future, subject to required approvals. The map below illustrates Caesars Digital’s presence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93345</wp:posOffset>
            </wp:positionV>
            <wp:extent cx="5863590" cy="42602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359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Caesars Sportsbook app, we partnered with NYRABets LLC, the official online wagering platform of the New York Racing Association, Inc., and launched the Caesars Racebook app within five states as of June 30, 2022, excluding Kentucky which went live in July 2022. The Caesars Racebook app provides access for wagers at over 300 race tracks around the world. Wagers placed can earn credits towards our Caesars Rewards program or points which can be redeemed for free wagering credits.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in the process of expanding our Caesars Digital footprint into other states in the near term with our Caesars Sportsbook and Caesars Racebook apps as jurisdictions legalize or provide necessary approvals.</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We periodically divest of assets in order to raise capital or as a result of a determination that the assets are not core to our business. We also divested certain assets in connection with obtaining regulatory approvals related to the closing of the Merger. A summary of recently completed and planned divestitures of our properties as of June 30, 2022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Property</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Sales Price</w:t>
            </w:r>
          </w:p>
        </w:tc>
      </w:tr>
      <w:tr>
        <w:trPr>
          <w:trHeight w:val="213"/>
        </w:trPr>
        <w:tc>
          <w:tcPr>
            <w:tcW w:w="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April 6,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 million</w:t>
            </w:r>
          </w:p>
        </w:tc>
      </w:tr>
      <w:tr>
        <w:trPr>
          <w:trHeight w:val="375"/>
        </w:trPr>
        <w:tc>
          <w:tcPr>
            <w:tcW w:w="2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Tropicana Evansville (“Evansville”)</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June 3, 2021</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$480 million</w:t>
            </w:r>
          </w:p>
        </w:tc>
      </w:tr>
      <w:tr>
        <w:trPr>
          <w:trHeight w:val="219"/>
        </w:trPr>
        <w:tc>
          <w:tcPr>
            <w:tcW w:w="2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May 5, 2022</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93"/>
              </w:rPr>
              <w:t>Discontinued operations:</w:t>
            </w: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375"/>
        </w:trPr>
        <w:tc>
          <w:tcPr>
            <w:tcW w:w="2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Harrah’s Louisiana Downs</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November 1, 2021</w:t>
            </w: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$22 million (a)</w:t>
            </w:r>
          </w:p>
        </w:tc>
      </w:tr>
      <w:tr>
        <w:trPr>
          <w:trHeight w:val="381"/>
        </w:trPr>
        <w:tc>
          <w:tcPr>
            <w:tcW w:w="20" w:type="dxa"/>
            <w:vAlign w:val="bottom"/>
            <w:shd w:val="clear" w:color="auto" w:fill="CCEEFF"/>
          </w:tcPr>
          <w:p>
            <w:pPr>
              <w:spacing w:after="0"/>
              <w:rPr>
                <w:sz w:val="24"/>
                <w:szCs w:val="24"/>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Southern Indiana</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September 3,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$250 million</w:t>
            </w:r>
          </w:p>
        </w:tc>
      </w:tr>
      <w:tr>
        <w:trPr>
          <w:trHeight w:val="213"/>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Emerald Resort &amp; Casino</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16, 2021</w:t>
            </w:r>
          </w:p>
        </w:tc>
        <w:tc>
          <w:tcPr>
            <w:tcW w:w="16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Entertainment UK</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16,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372"/>
        </w:trPr>
        <w:tc>
          <w:tcPr>
            <w:tcW w:w="2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William Hill International</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 2022</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£2.0 billion</w:t>
            </w:r>
          </w:p>
        </w:tc>
      </w:tr>
      <w:tr>
        <w:trPr>
          <w:trHeight w:val="264"/>
        </w:trPr>
        <w:tc>
          <w:tcPr>
            <w:tcW w:w="1680" w:type="dxa"/>
            <w:vAlign w:val="bottom"/>
            <w:gridSpan w:val="2"/>
          </w:tcPr>
          <w:p>
            <w:pPr>
              <w:spacing w:after="0"/>
              <w:rPr>
                <w:sz w:val="20"/>
                <w:szCs w:val="20"/>
                <w:color w:val="auto"/>
              </w:rPr>
            </w:pPr>
            <w:r>
              <w:rPr>
                <w:rFonts w:ascii="Arial" w:cs="Arial" w:eastAsia="Arial" w:hAnsi="Arial"/>
                <w:sz w:val="14"/>
                <w:szCs w:val="14"/>
                <w:color w:val="auto"/>
              </w:rPr>
              <w:t>___________________</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r>
    </w:tbl>
    <w:p>
      <w:pPr>
        <w:spacing w:after="0" w:line="3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proceeds of this sale were split between the Company and VICI.</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Acquisitions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William Hill Acquisition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On April 22, 2021, we completed the acquisition of William Hill PLC for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w:t>
      </w:r>
      <w:r>
        <w:rPr>
          <w:rFonts w:ascii="Arial" w:cs="Arial" w:eastAsia="Arial" w:hAnsi="Arial"/>
          <w:sz w:val="17"/>
          <w:szCs w:val="17"/>
          <w:color w:val="auto"/>
        </w:rPr>
        <w:t>.</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we drew down the full £116 million from the revolving credit facility and the proceeds, in addition to excess Company cash, were used to make a partial repayment of the asset sale bridge facility in the amount of £700 million. On July 1, 2022 outstanding borrowings under the Bridge Credit Agreement were repaid immediately following the sale of William Hill’s non-U.S. operations, which included the UK and international online divisions and the retail betting shops (collectively, “William Hill International”), all of which were held for sale as of the date of the closing of the William Hill Acquisition with operations reflected within discontinued operations. Certain investments acquired have been excluded from the held for sale asset group.</w:t>
      </w:r>
    </w:p>
    <w:p>
      <w:pPr>
        <w:spacing w:after="0" w:line="12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September 8, 2021, we entered into an agreement to sell William Hill International to 888 Holdings Plc for approximately £2.2 billion. In order to manage the risk of changes in the GBP denominated sales price and expected proceeds, we entered into foreign exchange forward contracts. On April 7, 2022, we amended the agreement to sell the non-US assets of William Hill to 888 Holdings Plc for a revised enterprise value of approximately £2.0 billion. The amended agreement reflects a £250 million reduction in consideration payable at closing and up to £100 million as deferred consideration to be paid to us, subject to 888 Holdings Plc meeting certain 2023 financial targets. During the three and six months ended June 30, 2022, we recorded impairments to assets held for sale of </w:t>
      </w:r>
      <w:r>
        <w:rPr>
          <w:rFonts w:ascii="Arial" w:cs="Arial" w:eastAsia="Arial" w:hAnsi="Arial"/>
          <w:sz w:val="16"/>
          <w:szCs w:val="16"/>
          <w:color w:val="212529"/>
        </w:rPr>
        <w:t>$174 million and</w:t>
      </w:r>
      <w:r>
        <w:rPr>
          <w:rFonts w:ascii="Arial" w:cs="Arial" w:eastAsia="Arial" w:hAnsi="Arial"/>
          <w:sz w:val="16"/>
          <w:szCs w:val="16"/>
          <w:color w:val="auto"/>
        </w:rPr>
        <w:t xml:space="preserve"> $503 million, respectively, within discontinued operations based on the revised and final sales prices.</w:t>
      </w:r>
    </w:p>
    <w:p>
      <w:pPr>
        <w:spacing w:after="0" w:line="31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On July 1, 2022, we completed the sale of William Hill International to 888 Holdings Plc. After the repayment of the Bridge Credit Agreement, other permitted leakage, and the settlement of related forward contracts, we received net proceeds of $730 million. Including open market repurchases during the second quarter and subsequent repurchases and repayments in July 2022, we utilized all $730 million to reduce our outstanding debt.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acquisition-related transaction costs of $7 million and $62 million for the three months ended June 30, 2022 and 2021, respectively, and $8 million and $67 million for the six months ended June 30, 2022 and 2021, respectively, excluding additional transaction costs associated with the sale of William Hill International. These costs were associated with legal and professional services and were recorded in Transaction and other operating costs, net in our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 of Horseshoe Baltimore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we increased our ownership interest in CBAC Borrower, LLC (“Horseshoe Baltimore”), a property which we also manage, to approximately 75.8% for cash consideration of $55 million. We were subsequently determined to have a controlling financial interest in Horseshoe Baltimore and have consolidated the results of operations of the property following our change in ownership.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Partnerships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NeoGames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acquired net assets of William Hill included an investment in publicly traded common stock of NeoGames S.A. (“NeoGames”), a global leader of iLottery solutions and services to national and state-regulated lotteries, and other investments. On September 16, 2021, we sold a portion of our shares of NeoGames common stock for $136 million which decreased our ownership interest from 24.5% to 8.4%. Additionally, on March 14, 2022, we sold our remaining 2 million shares at fair value for $26 million and recorded a loss on the change in fair value of $34 million during the six months ended June 30, 2022, which is included within Other income (loss) on our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Pompano Joint Venture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In June 2021, the joint venture issued a capital call and we contributed $3 million, for a total of $4 million in cash since inception of the joint venture. On February 12, 2021, we contributed 186 acres to the joint venture with a fair value of $61 million. Total contributions of approximately 206 acres of land have been made with a fair value of approximately $69 million and we have no further obligation to contribute additional real estate or cash as of June 30, 2022. We entered into a short-term lease agreement in February 2021, which we can cancel at any time, to lease back a portion of the land from the joint venture.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operating costs, net on our Statements of Operations. As of June 30, 2022 and December 31, 2021, our investment in the joint venture is recorded in Investment in and advances to unconsolidated affiliates on the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presentation of financial information included in this Item 2 for the periods after our acquisition of William Hill on April 22, 2021 and the acquisition of an additional interest in Horseshoe Baltimore on August 26, 2021, is not fully comparable to the periods prior to the respective acquisitions. In addition, the presentation of financial information herein for the periods after the sale of various properties is not fully comparable to the periods prior to their respective sale dates. See “Reportable Segments” above for a discussion of changes to the Company’s reportable segments.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Performance Metrics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visiting and staying at our properties and using our sports betting and iGaming applications.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14% to 23% of table game drop in the Las Vegas segment and 18% to 21% of table game drop in the Regional segment. Sports betting hold is typically in the range of 5% to 9% and iGaming hold typically ranges from 3% to 4%. In addition, hotel occupancy, which is the average percentage of available hotel rooms occupied during a period, is a key indicator for our hotel business in the Las Vegas segment. See “Results of Operations” section below. Complimentary rooms are treated as occupied rooms in our calculation of hotel occupancy. The key metrics we utilize to measure our profitability and performance are Adjusted EBITDA and Adjusted EBITDA margin.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highlights the significant factors impacting our financial results for the three and six months ended June 30, 2022 and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and Transaction Costs</w:t>
      </w:r>
    </w:p>
    <w:p>
      <w:pPr>
        <w:spacing w:after="0" w:line="171" w:lineRule="exact"/>
        <w:rPr>
          <w:sz w:val="20"/>
          <w:szCs w:val="20"/>
          <w:color w:val="auto"/>
        </w:rPr>
      </w:pPr>
    </w:p>
    <w:p>
      <w:pPr>
        <w:jc w:val="both"/>
        <w:ind w:left="660" w:hanging="328"/>
        <w:spacing w:after="0" w:line="257" w:lineRule="auto"/>
        <w:tabs>
          <w:tab w:leader="none" w:pos="65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William Hill Acquisition – </w:t>
      </w:r>
      <w:r>
        <w:rPr>
          <w:rFonts w:ascii="Arial" w:cs="Arial" w:eastAsia="Arial" w:hAnsi="Arial"/>
          <w:sz w:val="18"/>
          <w:szCs w:val="18"/>
          <w:color w:val="auto"/>
        </w:rPr>
        <w:t>On April 22, 2021, we consummated our previously announced acquisition of the entire issued and to be issued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(other than shares owned by us or held in treasury) of William Hill PLC, in an all-cash transaction of £2.9 billion, or approximately $3.9 billion. We recognized acquisition-related transaction costs of $7 million and $62 million for the three months ended June 30, 2022 and 2021, respectively, and $8 million and $67 million for the six months ended June 30, 2022 and 2021, respectively, excluding additional transaction costs associated with the sale of William Hill International.</w:t>
      </w:r>
    </w:p>
    <w:p>
      <w:pPr>
        <w:spacing w:after="0" w:line="133"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16"/>
        </w:numPr>
        <w:rPr>
          <w:rFonts w:ascii="Arial" w:cs="Arial" w:eastAsia="Arial" w:hAnsi="Arial"/>
          <w:sz w:val="18"/>
          <w:szCs w:val="18"/>
          <w:b w:val="1"/>
          <w:bCs w:val="1"/>
          <w:i w:val="1"/>
          <w:iCs w:val="1"/>
          <w:color w:val="auto"/>
          <w:strike w:val="1"/>
        </w:rPr>
      </w:pPr>
      <w:r>
        <w:rPr>
          <w:rFonts w:ascii="Arial" w:cs="Arial" w:eastAsia="Arial" w:hAnsi="Arial"/>
          <w:sz w:val="18"/>
          <w:szCs w:val="18"/>
          <w:i w:val="1"/>
          <w:iCs w:val="1"/>
          <w:color w:val="auto"/>
        </w:rPr>
        <w:t xml:space="preserve">Consolidation of Horseshoe Baltimore – </w:t>
      </w:r>
      <w:r>
        <w:rPr>
          <w:rFonts w:ascii="Arial" w:cs="Arial" w:eastAsia="Arial" w:hAnsi="Arial"/>
          <w:sz w:val="18"/>
          <w:szCs w:val="18"/>
          <w:color w:val="auto"/>
        </w:rPr>
        <w:t>On August 26, 2021, we increased our ownership interest in Horseshoe Baltimore to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75.8%. Prior to the purchase, we held an interest in Horseshoe Baltimore of approximately 44.3% which was accounted for as an equity method investment. Subsequent to the change in ownership, we were determined that we have a controlling financial interest and have consolidated the operations of Horseshoe Baltimore. As discussed in the section above, the operations post consolidation are not fully comparable to the prior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Divestitures and Discontinued Operations</w:t>
      </w:r>
    </w:p>
    <w:p>
      <w:pPr>
        <w:spacing w:after="0" w:line="171" w:lineRule="exact"/>
        <w:rPr>
          <w:sz w:val="20"/>
          <w:szCs w:val="20"/>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Divestitures and Discontinued Operations – </w:t>
      </w:r>
      <w:r>
        <w:rPr>
          <w:rFonts w:ascii="Arial" w:cs="Arial" w:eastAsia="Arial" w:hAnsi="Arial"/>
          <w:sz w:val="18"/>
          <w:szCs w:val="18"/>
          <w:color w:val="auto"/>
        </w:rPr>
        <w:t>See “Overview” section above for detail on properties divested or held for sale, including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Other Significant Factors</w:t>
      </w:r>
    </w:p>
    <w:p>
      <w:pPr>
        <w:spacing w:after="0" w:line="171" w:lineRule="exact"/>
        <w:rPr>
          <w:sz w:val="20"/>
          <w:szCs w:val="20"/>
          <w:color w:val="auto"/>
        </w:rPr>
      </w:pPr>
    </w:p>
    <w:p>
      <w:pPr>
        <w:jc w:val="both"/>
        <w:ind w:left="660" w:hanging="328"/>
        <w:spacing w:after="0" w:line="271" w:lineRule="auto"/>
        <w:tabs>
          <w:tab w:leader="none" w:pos="655" w:val="left"/>
        </w:tabs>
        <w:numPr>
          <w:ilvl w:val="0"/>
          <w:numId w:val="18"/>
        </w:numPr>
        <w:rPr>
          <w:rFonts w:ascii="Arial" w:cs="Arial" w:eastAsia="Arial" w:hAnsi="Arial"/>
          <w:sz w:val="17"/>
          <w:szCs w:val="17"/>
          <w:b w:val="1"/>
          <w:bCs w:val="1"/>
          <w:color w:val="212529"/>
        </w:rPr>
      </w:pPr>
      <w:r>
        <w:rPr>
          <w:rFonts w:ascii="Arial" w:cs="Arial" w:eastAsia="Arial" w:hAnsi="Arial"/>
          <w:sz w:val="17"/>
          <w:szCs w:val="17"/>
          <w:i w:val="1"/>
          <w:iCs w:val="1"/>
          <w:color w:val="auto"/>
        </w:rPr>
        <w:t xml:space="preserve">Economic Factors Impacting Discretionary Spending – </w:t>
      </w:r>
      <w:r>
        <w:rPr>
          <w:rFonts w:ascii="Arial" w:cs="Arial" w:eastAsia="Arial" w:hAnsi="Arial"/>
          <w:sz w:val="17"/>
          <w:szCs w:val="17"/>
          <w:color w:val="212529"/>
        </w:rPr>
        <w:t>Gaming and other leisure activities we offer represent discretionary expenditures which</w:t>
      </w:r>
      <w:r>
        <w:rPr>
          <w:rFonts w:ascii="Arial" w:cs="Arial" w:eastAsia="Arial" w:hAnsi="Arial"/>
          <w:sz w:val="17"/>
          <w:szCs w:val="17"/>
          <w:i w:val="1"/>
          <w:iCs w:val="1"/>
          <w:color w:val="auto"/>
        </w:rPr>
        <w:t xml:space="preserve"> </w:t>
      </w:r>
      <w:r>
        <w:rPr>
          <w:rFonts w:ascii="Arial" w:cs="Arial" w:eastAsia="Arial" w:hAnsi="Arial"/>
          <w:sz w:val="17"/>
          <w:szCs w:val="17"/>
          <w:color w:val="212529"/>
        </w:rPr>
        <w:t xml:space="preserve">may be sensitive to economic downturns. </w:t>
      </w:r>
      <w:r>
        <w:rPr>
          <w:rFonts w:ascii="Arial" w:cs="Arial" w:eastAsia="Arial" w:hAnsi="Arial"/>
          <w:sz w:val="17"/>
          <w:szCs w:val="17"/>
          <w:color w:val="000000"/>
        </w:rPr>
        <w:t>The resurgence of the Omicron variant of COVID-19 continued to impact the beginning of the year,</w:t>
      </w:r>
      <w:r>
        <w:rPr>
          <w:rFonts w:ascii="Arial" w:cs="Arial" w:eastAsia="Arial" w:hAnsi="Arial"/>
          <w:sz w:val="17"/>
          <w:szCs w:val="17"/>
          <w:color w:val="212529"/>
        </w:rPr>
        <w:t xml:space="preserve"> </w:t>
      </w:r>
      <w:r>
        <w:rPr>
          <w:rFonts w:ascii="Arial" w:cs="Arial" w:eastAsia="Arial" w:hAnsi="Arial"/>
          <w:sz w:val="17"/>
          <w:szCs w:val="17"/>
          <w:color w:val="000000"/>
        </w:rPr>
        <w:t>however, many of our properties experienced positive trends during much of the six months ended June 30, 2022 including higher hotel occupancy, particularly in Las Vegas, and increased gaming and food and beverage volumes coupled with improved product mix. During 2021, mandates and restrictions on maximum capacities and amenities available were eased, discretionary consumer spending was supplemented via governmental stimulus, and pent-up consumer demand from the prolong impact of COVID-19 resulted in strong results across our properties. As a result, our results of operations remain comparable to pre-pandemic years, however, specifically within our Regional segment, are slightly down to the comparative prior year period.</w:t>
      </w:r>
    </w:p>
    <w:p>
      <w:pPr>
        <w:spacing w:after="0" w:line="178" w:lineRule="exact"/>
        <w:rPr>
          <w:rFonts w:ascii="Arial" w:cs="Arial" w:eastAsia="Arial" w:hAnsi="Arial"/>
          <w:sz w:val="17"/>
          <w:szCs w:val="17"/>
          <w:b w:val="1"/>
          <w:bCs w:val="1"/>
          <w:color w:val="212529"/>
        </w:rPr>
      </w:pPr>
    </w:p>
    <w:p>
      <w:pPr>
        <w:jc w:val="both"/>
        <w:ind w:left="660"/>
        <w:spacing w:after="0" w:line="259" w:lineRule="auto"/>
        <w:rPr>
          <w:rFonts w:ascii="Arial" w:cs="Arial" w:eastAsia="Arial" w:hAnsi="Arial"/>
          <w:sz w:val="17"/>
          <w:szCs w:val="17"/>
          <w:b w:val="1"/>
          <w:bCs w:val="1"/>
          <w:color w:val="212529"/>
        </w:rPr>
      </w:pPr>
      <w:r>
        <w:rPr>
          <w:rFonts w:ascii="Arial" w:cs="Arial" w:eastAsia="Arial" w:hAnsi="Arial"/>
          <w:sz w:val="18"/>
          <w:szCs w:val="18"/>
          <w:color w:val="auto"/>
        </w:rPr>
        <w:t>In addition to the effects of the increase in consumer discretionary spend in the prior year primarily attributable to government stimulus programs, we are monitoring the trend in higher inflation in the current year and the possible implications on certain customers most affected by lower discretionary income. Although we have seen some reduced visitation from those customers, those not as affected by inflation remain steady or have slightly improved.</w:t>
      </w:r>
    </w:p>
    <w:p>
      <w:pPr>
        <w:spacing w:after="0" w:line="132" w:lineRule="exact"/>
        <w:rPr>
          <w:rFonts w:ascii="Arial" w:cs="Arial" w:eastAsia="Arial" w:hAnsi="Arial"/>
          <w:sz w:val="17"/>
          <w:szCs w:val="17"/>
          <w:b w:val="1"/>
          <w:bCs w:val="1"/>
          <w:color w:val="212529"/>
        </w:rPr>
      </w:pPr>
    </w:p>
    <w:p>
      <w:pPr>
        <w:jc w:val="both"/>
        <w:ind w:left="660" w:hanging="328"/>
        <w:spacing w:after="0" w:line="271" w:lineRule="auto"/>
        <w:tabs>
          <w:tab w:leader="none" w:pos="655" w:val="left"/>
        </w:tabs>
        <w:numPr>
          <w:ilvl w:val="0"/>
          <w:numId w:val="18"/>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Construction Disruption – </w:t>
      </w:r>
      <w:r>
        <w:rPr>
          <w:rFonts w:ascii="Arial" w:cs="Arial" w:eastAsia="Arial" w:hAnsi="Arial"/>
          <w:sz w:val="17"/>
          <w:szCs w:val="17"/>
          <w:color w:val="auto"/>
        </w:rPr>
        <w:t>In late August 2020, our Regional segment was negatively impacted by Hurricane Laura, causing severe damage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Lake Charles, which will remain closed until the fourth quarter of 2022 when construction of a new land-based casino, Horseshoe Lake Charles, is expected to be complete. </w:t>
      </w:r>
      <w:r>
        <w:rPr>
          <w:rFonts w:ascii="Arial" w:cs="Arial" w:eastAsia="Arial" w:hAnsi="Arial"/>
          <w:sz w:val="17"/>
          <w:szCs w:val="17"/>
          <w:color w:val="212529"/>
        </w:rPr>
        <w:t>During the six</w:t>
      </w:r>
      <w:r>
        <w:rPr>
          <w:rFonts w:ascii="Arial" w:cs="Arial" w:eastAsia="Arial" w:hAnsi="Arial"/>
          <w:sz w:val="17"/>
          <w:szCs w:val="17"/>
          <w:color w:val="auto"/>
        </w:rPr>
        <w:t xml:space="preserve"> months ended June 30, 2022</w:t>
      </w:r>
      <w:r>
        <w:rPr>
          <w:rFonts w:ascii="Arial" w:cs="Arial" w:eastAsia="Arial" w:hAnsi="Arial"/>
          <w:sz w:val="17"/>
          <w:szCs w:val="17"/>
          <w:color w:val="212529"/>
        </w:rPr>
        <w:t>, we reached a final settlement agreement with the insurance carriers for</w:t>
      </w:r>
      <w:r>
        <w:rPr>
          <w:rFonts w:ascii="Arial" w:cs="Arial" w:eastAsia="Arial" w:hAnsi="Arial"/>
          <w:sz w:val="17"/>
          <w:szCs w:val="17"/>
          <w:color w:val="auto"/>
        </w:rPr>
        <w:t xml:space="preserve"> </w:t>
      </w:r>
      <w:r>
        <w:rPr>
          <w:rFonts w:ascii="Arial" w:cs="Arial" w:eastAsia="Arial" w:hAnsi="Arial"/>
          <w:sz w:val="17"/>
          <w:szCs w:val="17"/>
          <w:color w:val="212529"/>
        </w:rPr>
        <w:t xml:space="preserve">$128 million, before our insurance deductible of $25 million. We recorded a gain of $38 million and $22 million during the six months ended </w:t>
      </w:r>
      <w:r>
        <w:rPr>
          <w:rFonts w:ascii="Arial" w:cs="Arial" w:eastAsia="Arial" w:hAnsi="Arial"/>
          <w:sz w:val="17"/>
          <w:szCs w:val="17"/>
          <w:color w:val="000000"/>
        </w:rPr>
        <w:t xml:space="preserve">June 30, 2022 </w:t>
      </w:r>
      <w:r>
        <w:rPr>
          <w:rFonts w:ascii="Arial" w:cs="Arial" w:eastAsia="Arial" w:hAnsi="Arial"/>
          <w:sz w:val="17"/>
          <w:szCs w:val="17"/>
          <w:color w:val="212529"/>
        </w:rPr>
        <w:t>and 2021, respectively, which are included in Transaction and other operating costs, net in our Statements of Operations, as</w:t>
      </w:r>
      <w:r>
        <w:rPr>
          <w:rFonts w:ascii="Arial" w:cs="Arial" w:eastAsia="Arial" w:hAnsi="Arial"/>
          <w:sz w:val="17"/>
          <w:szCs w:val="17"/>
          <w:color w:val="000000"/>
        </w:rPr>
        <w:t xml:space="preserve"> </w:t>
      </w:r>
      <w:r>
        <w:rPr>
          <w:rFonts w:ascii="Arial" w:cs="Arial" w:eastAsia="Arial" w:hAnsi="Arial"/>
          <w:sz w:val="17"/>
          <w:szCs w:val="17"/>
          <w:color w:val="212529"/>
        </w:rPr>
        <w:t>proceeds received for the cost to replace damaged property were in excess of the respective carrying value of the assets. Construction disruption has also been experienced within our Regional segment as we are currently performing significant renovations, remodeling and rebranding of certain properties. See further discussion below within Liquidity and Capital Resources.</w:t>
      </w:r>
    </w:p>
    <w:p>
      <w:pPr>
        <w:spacing w:after="0" w:line="124" w:lineRule="exact"/>
        <w:rPr>
          <w:rFonts w:ascii="Arial" w:cs="Arial" w:eastAsia="Arial" w:hAnsi="Arial"/>
          <w:sz w:val="17"/>
          <w:szCs w:val="17"/>
          <w:b w:val="1"/>
          <w:bCs w:val="1"/>
          <w:i w:val="1"/>
          <w:iCs w:val="1"/>
          <w:color w:val="212529"/>
        </w:rPr>
      </w:pPr>
    </w:p>
    <w:p>
      <w:pPr>
        <w:jc w:val="both"/>
        <w:ind w:left="660" w:hanging="328"/>
        <w:spacing w:after="0" w:line="288" w:lineRule="auto"/>
        <w:tabs>
          <w:tab w:leader="none" w:pos="655"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i w:val="1"/>
          <w:iCs w:val="1"/>
          <w:color w:val="212529"/>
        </w:rPr>
        <w:t xml:space="preserve">Caesars Sportsbook and Caesars Racebook </w:t>
      </w:r>
      <w:r>
        <w:rPr>
          <w:rFonts w:ascii="Arial" w:cs="Arial" w:eastAsia="Arial" w:hAnsi="Arial"/>
          <w:sz w:val="16"/>
          <w:szCs w:val="16"/>
          <w:color w:val="000000"/>
        </w:rPr>
        <w:t>– In connection with the launch and rebranding of the Caesars Sportsbook app, our Caesars Digital</w:t>
      </w:r>
      <w:r>
        <w:rPr>
          <w:rFonts w:ascii="Arial" w:cs="Arial" w:eastAsia="Arial" w:hAnsi="Arial"/>
          <w:sz w:val="16"/>
          <w:szCs w:val="16"/>
          <w:i w:val="1"/>
          <w:iCs w:val="1"/>
          <w:color w:val="212529"/>
        </w:rPr>
        <w:t xml:space="preserve"> </w:t>
      </w:r>
      <w:r>
        <w:rPr>
          <w:rFonts w:ascii="Arial" w:cs="Arial" w:eastAsia="Arial" w:hAnsi="Arial"/>
          <w:sz w:val="16"/>
          <w:szCs w:val="16"/>
          <w:color w:val="000000"/>
        </w:rPr>
        <w:t>segment initiated a significant marketing campaign with distinguished actors, former athletes and other media personalities. As new states and jurisdictions have legalized sports betting, we have made significant upfront investments which have been executed through marketing campaigns and promotional incentives to acquire new customers and establish ourselves as an industry leader. For example, in connection with the launch of our Caesars Sportsbook app in the state of New York on January 8, 2022 and Louisiana on January 28, 2022, we experienced negative net revenue at the beginning of 2022 resulting from a substantial amount of bonus cash and matched deposits issued to customers as sign-on incentives, which exceeded our gaming win. Our level of investment and types of incentives provided are discretionary and are not expected to continue at elevated levels subsequent to the initial launch period. In addition, as our Caesars Racebook launches in new states and jurisdictions, we may offer deposit matching incentives to new users. A significant portion of our marketing and promotional costs are variable and we continue to monitor and adjust our level of investment based on jurisdiction specific conditions, customer behaviors, and results observed from prior state launches.</w:t>
      </w:r>
    </w:p>
    <w:p>
      <w:pPr>
        <w:spacing w:after="0" w:line="33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328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r>
      <w:tr>
        <w:trPr>
          <w:trHeight w:val="172"/>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5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5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59"/>
              <w:spacing w:after="0" w:line="172"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2,056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1,352</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2,681</w:t>
            </w: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125</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r>
      <w:tr>
        <w:trPr>
          <w:trHeight w:val="243"/>
        </w:trPr>
        <w:tc>
          <w:tcPr>
            <w:tcW w:w="2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20" w:type="dxa"/>
            <w:vAlign w:val="bottom"/>
          </w:tcPr>
          <w:p>
            <w:pPr>
              <w:spacing w:after="0"/>
              <w:rPr>
                <w:sz w:val="21"/>
                <w:szCs w:val="21"/>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w:t>
            </w: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74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(352)</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585</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995</w:t>
            </w: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4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r>
      <w:tr>
        <w:trPr>
          <w:trHeight w:val="243"/>
        </w:trPr>
        <w:tc>
          <w:tcPr>
            <w:tcW w:w="2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margin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40.1 %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35.8 %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34"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definition of Adjusted EBITDA and a reconciliation of net income (loss) to Adjusted EBITDA.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comparison of the three and six months ended June 30,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00" w:type="dxa"/>
            <w:vAlign w:val="bottom"/>
            <w:gridSpan w:val="7"/>
          </w:tcPr>
          <w:p>
            <w:pPr>
              <w:ind w:left="80"/>
              <w:spacing w:after="0"/>
              <w:rPr>
                <w:sz w:val="20"/>
                <w:szCs w:val="20"/>
                <w:color w:val="auto"/>
              </w:rPr>
            </w:pPr>
            <w:r>
              <w:rPr>
                <w:rFonts w:ascii="Arial" w:cs="Arial" w:eastAsia="Arial" w:hAnsi="Arial"/>
                <w:sz w:val="16"/>
                <w:szCs w:val="16"/>
                <w:b w:val="1"/>
                <w:bCs w:val="1"/>
                <w:color w:val="auto"/>
                <w:w w:val="99"/>
              </w:rPr>
              <w:t>Three Months Ended June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9"/>
              </w:rPr>
              <w:t>30,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140" w:type="dxa"/>
            <w:vAlign w:val="bottom"/>
            <w:gridSpan w:val="6"/>
          </w:tcPr>
          <w:p>
            <w:pPr>
              <w:ind w:left="80"/>
              <w:spacing w:after="0"/>
              <w:rPr>
                <w:sz w:val="20"/>
                <w:szCs w:val="20"/>
                <w:color w:val="auto"/>
              </w:rPr>
            </w:pPr>
            <w:r>
              <w:rPr>
                <w:rFonts w:ascii="Arial" w:cs="Arial" w:eastAsia="Arial" w:hAnsi="Arial"/>
                <w:sz w:val="16"/>
                <w:szCs w:val="16"/>
                <w:b w:val="1"/>
                <w:bCs w:val="1"/>
                <w:color w:val="auto"/>
                <w:w w:val="98"/>
              </w:rPr>
              <w:t>Six Months Ended June 30,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79"/>
              <w:spacing w:after="0" w:line="169" w:lineRule="exact"/>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108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100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69.1 %</w:t>
            </w:r>
          </w:p>
        </w:tc>
      </w:tr>
      <w:tr>
        <w:trPr>
          <w:trHeight w:val="21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47.6 %</w:t>
            </w:r>
          </w:p>
        </w:tc>
      </w:tr>
      <w:tr>
        <w:trPr>
          <w:trHeight w:val="213"/>
        </w:trPr>
        <w:tc>
          <w:tcPr>
            <w:tcW w:w="2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40.0 %</w:t>
            </w:r>
          </w:p>
        </w:tc>
      </w:tr>
      <w:tr>
        <w:trPr>
          <w:trHeight w:val="233"/>
        </w:trPr>
        <w:tc>
          <w:tcPr>
            <w:tcW w:w="2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resurgence of the Omicron variant during the beginning of 2022, consolidated net revenues increased for the three and six months ended June 30, 2022 as compared to the same prior year periods. The Company’s net revenues have benefited from increased gaming volumes, hotel occupancy, and food and beverage offerings, particularly in Las Vegas. The Company continues to remain strategic with new food and beverage offerings with a focus on operating margins. Live entertainment events and conventions continue to increase year over year following the prolonged impacts from COVID-19. Additionally, the consolidation of Horseshoe Baltimore on August 26, 2021 contributed to the increase in net revenues for the three and six months ended June 30, 2022. These increases were offset slightly by negative gaming revenue in our Caesars Digital segment in the first quarter of 2022 and the impact of our recent divestitures, described above.</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309"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0" w:type="dxa"/>
            <w:vAlign w:val="bottom"/>
            <w:gridSpan w:val="7"/>
          </w:tcPr>
          <w:p>
            <w:pPr>
              <w:ind w:left="40"/>
              <w:spacing w:after="0"/>
              <w:rPr>
                <w:sz w:val="20"/>
                <w:szCs w:val="20"/>
                <w:color w:val="auto"/>
              </w:rPr>
            </w:pPr>
            <w:r>
              <w:rPr>
                <w:rFonts w:ascii="Arial" w:cs="Arial" w:eastAsia="Arial" w:hAnsi="Arial"/>
                <w:sz w:val="16"/>
                <w:szCs w:val="16"/>
                <w:b w:val="1"/>
                <w:bCs w:val="1"/>
                <w:color w:val="auto"/>
                <w:w w:val="96"/>
              </w:rPr>
              <w:t>Three Months Ended June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ind w:left="20"/>
              <w:spacing w:after="0"/>
              <w:rPr>
                <w:sz w:val="20"/>
                <w:szCs w:val="20"/>
                <w:color w:val="auto"/>
              </w:rPr>
            </w:pPr>
            <w:r>
              <w:rPr>
                <w:rFonts w:ascii="Arial" w:cs="Arial" w:eastAsia="Arial" w:hAnsi="Arial"/>
                <w:sz w:val="16"/>
                <w:szCs w:val="16"/>
                <w:b w:val="1"/>
                <w:bCs w:val="1"/>
                <w:color w:val="auto"/>
              </w:rPr>
              <w:t>Six Months Ended June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w w:val="80"/>
              </w:rPr>
              <w:t>30,</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w w:val="89"/>
              </w:rPr>
              <w:t>30,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4"/>
                <w:szCs w:val="14"/>
                <w:color w:val="auto"/>
              </w:rPr>
            </w:pPr>
          </w:p>
        </w:tc>
        <w:tc>
          <w:tcPr>
            <w:tcW w:w="66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106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4"/>
                <w:szCs w:val="14"/>
                <w:color w:val="auto"/>
              </w:rPr>
            </w:pPr>
          </w:p>
        </w:tc>
        <w:tc>
          <w:tcPr>
            <w:tcW w:w="74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w w:val="89"/>
              </w:rPr>
              <w:t>Variance</w:t>
            </w:r>
          </w:p>
        </w:tc>
        <w:tc>
          <w:tcPr>
            <w:tcW w:w="100" w:type="dxa"/>
            <w:vAlign w:val="bottom"/>
          </w:tcPr>
          <w:p>
            <w:pPr>
              <w:spacing w:after="0"/>
              <w:rPr>
                <w:sz w:val="14"/>
                <w:szCs w:val="14"/>
                <w:color w:val="auto"/>
              </w:rPr>
            </w:pPr>
          </w:p>
        </w:tc>
        <w:tc>
          <w:tcPr>
            <w:tcW w:w="1000" w:type="dxa"/>
            <w:vAlign w:val="bottom"/>
          </w:tcPr>
          <w:p>
            <w:pPr>
              <w:jc w:val="right"/>
              <w:ind w:right="15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47.5 %</w:t>
            </w:r>
          </w:p>
        </w:tc>
      </w:tr>
      <w:tr>
        <w:trPr>
          <w:trHeight w:val="213"/>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62.0 %</w:t>
            </w:r>
          </w:p>
        </w:tc>
      </w:tr>
      <w:tr>
        <w:trPr>
          <w:trHeight w:val="21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33.2 %</w:t>
            </w:r>
          </w:p>
        </w:tc>
      </w:tr>
      <w:tr>
        <w:trPr>
          <w:trHeight w:val="213"/>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32.9 %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30.4 %</w:t>
            </w:r>
          </w:p>
        </w:tc>
      </w:tr>
      <w:tr>
        <w:trPr>
          <w:trHeight w:val="21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27.3 %</w:t>
            </w:r>
          </w:p>
        </w:tc>
      </w:tr>
      <w:tr>
        <w:trPr>
          <w:trHeight w:val="213"/>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13"/>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Transaction and other operating costs, net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Casino and pari-mutuel expenses consist primarily of salaries and wages associated with our gaming operations, gaming taxes and marketing and promotions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and professional talent fees associated with our retail, entertainment and other operations.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Casino, food and beverage, hotel, and other expenses for the three and six months ended June 30, 2022 increased year over year as a result of the William Hill Acquisition and the consolidation of Horseshoe Baltimore. During the six months ended June 30, 2022, advertising costs consisting of television, radio and internet marketing campaigns directly attributable to our Caesars Sportsbook app also contributed to the increase in Casino and pari-mutuel commissions, particularly during the launch of the app in New York and Louisiana during the first quarter. These increases were partially offset as we scaled back our advertising efforts during the three months ended June 30, 2022 and continue to identify more efficient methods to manage marketing and promotional spend and reduce gaming expenses within our Las Vegas and Regional segments. We also continue to focus on labor efficiencies to manage rising labor costs. Moreover, we have managed recent increases in food costs by focusing on efficiencies within food and beverage venues and menu options.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include items such as information technology, facility maintenance, utilities, property and liability insurance, expenses for administrative departments such as accounting, compliance, purchasing, human resources, legal and internal audit, and property taxes. General and administrative expenses also include other marketing expenses indirectly related to our gaming and non-gaming operations.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and depreciation and amortization expense increased for the three and six months ended June 30, 2022 as compared to the same prior year period, mainly due to the William Hill Acquisition and the consolidation of Horseshoe Baltimore.</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Transaction and other operating costs decreased for the three and six months ended June 30, 2022 as compared to the same prior year period due a gain </w:t>
      </w:r>
      <w:r>
        <w:rPr>
          <w:rFonts w:ascii="Arial" w:cs="Arial" w:eastAsia="Arial" w:hAnsi="Arial"/>
          <w:sz w:val="16"/>
          <w:szCs w:val="16"/>
          <w:color w:val="212529"/>
        </w:rPr>
        <w:t>of</w:t>
      </w:r>
      <w:r>
        <w:rPr>
          <w:rFonts w:ascii="Arial" w:cs="Arial" w:eastAsia="Arial" w:hAnsi="Arial"/>
          <w:sz w:val="16"/>
          <w:szCs w:val="16"/>
          <w:color w:val="auto"/>
        </w:rPr>
        <w:t xml:space="preserve"> </w:t>
      </w:r>
      <w:r>
        <w:rPr>
          <w:rFonts w:ascii="Arial" w:cs="Arial" w:eastAsia="Arial" w:hAnsi="Arial"/>
          <w:sz w:val="16"/>
          <w:szCs w:val="16"/>
          <w:color w:val="212529"/>
        </w:rPr>
        <w:t>approximately $38 million as proceeds received for the Lake Charles property damage were in excess of the respective carrying value of the assets. Additionally, no significant acquisition related transaction costs were incurred during the year as compared to the William Hill Acquisition in the prior year.</w:t>
      </w:r>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2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1"/>
              </w:rPr>
              <w:t>Three Months Ended June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14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3"/>
              </w:rPr>
              <w:t>Six Months Ended June 30,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1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rPr>
              <w:t>Variance</w:t>
            </w:r>
          </w:p>
        </w:tc>
        <w:tc>
          <w:tcPr>
            <w:tcW w:w="1140" w:type="dxa"/>
            <w:vAlign w:val="bottom"/>
            <w:gridSpan w:val="2"/>
          </w:tcPr>
          <w:p>
            <w:pPr>
              <w:ind w:left="26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Variance</w:t>
            </w:r>
          </w:p>
        </w:tc>
        <w:tc>
          <w:tcPr>
            <w:tcW w:w="104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89"/>
              </w:rPr>
              <w:t>17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44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13"/>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399"/>
              <w:spacing w:after="0"/>
              <w:rPr>
                <w:sz w:val="20"/>
                <w:szCs w:val="20"/>
                <w:color w:val="auto"/>
              </w:rPr>
            </w:pPr>
            <w:r>
              <w:rPr>
                <w:rFonts w:ascii="Arial" w:cs="Arial" w:eastAsia="Arial" w:hAnsi="Arial"/>
                <w:sz w:val="16"/>
                <w:szCs w:val="16"/>
                <w:color w:val="auto"/>
                <w:w w:val="89"/>
              </w:rPr>
              <w:t>23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439"/>
              <w:spacing w:after="0"/>
              <w:rPr>
                <w:sz w:val="20"/>
                <w:szCs w:val="20"/>
                <w:color w:val="auto"/>
              </w:rPr>
            </w:pPr>
            <w:r>
              <w:rPr>
                <w:rFonts w:ascii="Arial" w:cs="Arial" w:eastAsia="Arial" w:hAnsi="Arial"/>
                <w:sz w:val="16"/>
                <w:szCs w:val="16"/>
                <w:color w:val="auto"/>
                <w:w w:val="89"/>
              </w:rPr>
              <w:t>23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1"/>
              </w:rPr>
              <w:t>(65)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379"/>
              <w:spacing w:after="0"/>
              <w:rPr>
                <w:sz w:val="20"/>
                <w:szCs w:val="20"/>
                <w:color w:val="auto"/>
              </w:rPr>
            </w:pPr>
            <w:r>
              <w:rPr>
                <w:rFonts w:ascii="Arial" w:cs="Arial" w:eastAsia="Arial" w:hAnsi="Arial"/>
                <w:sz w:val="16"/>
                <w:szCs w:val="16"/>
                <w:color w:val="auto"/>
                <w:w w:val="91"/>
              </w:rPr>
              <w:t>(53)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399"/>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expense, net decreased for the three and six months ended June 30, 2022, as compared to the same prior year period due to the extinguishment of 5% Convertible Notes in June 2021, partial repurchase of the CEI Senior Notes completed in October 2021, the repricing of CRC Incremental Term Loan in September 2021 and partial repurchases of CEI Senior Notes and CRC Senior Secured Notes during the three months ended June 30, 2022. Additionally, on September 24, 2021, the Company issued $1.2 billion in aggregate principal amount of 4.625% Senior Notes due 2029. Proceeds from the issuance of the Senior Notes, as well as cash on hand, was used to repay the $1.7 billion aggregate principal amount of 5.25% CRC Notes. These decreases were offset slightly by the consolidation of debt held by Horseshoe Baltimore.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extinguishment of debt decreased for the three and six months ended June 30, 2022, as compared to the same prior year period due to the early extinguishment of the 5% Convertible Notes and the related discount on the settlement date, which was June 29, 2021.</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2022, other income (loss) primarily consisted of a gain related to the resolution of a portion of disputed claims liability related to Former Caesars’ bankruptcy and a change in the fair value of foreign exchange forward contracts, offset by the change in fair value of investments. For the three and six months ended June 30, 2021, other income (loss) primarily consisted of a loss on the change in fair value of a derivative liability, offset by a foreign exchange transaction gain.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income tax benefit (provision) for the three and six months ended June 30, 2022 differed from the expected income tax benefit (provision) based on the federal tax rate of 21% primarily due to a true-up adjustment related to the tax impact of the settlement of preexisting relationships upon the acquisition of William Hill in 2021.</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income tax benefit (provision) for the three and six months ended June 30, 2021 differed from the expected income tax benefit (provision) based on the federal tax rate of 21% due to the tax impacts of; (i) changes in certain U.S. state tax laws and the United Kingdom tax rate, each enacted in June 2021, (ii) certain income and deductions that are not tax benefited, and (iii) the reclassification of Horseshoe Hammond from held for sale.</w:t>
      </w: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3" w:name="page44"/>
    <w:bookmarkEnd w:id="43"/>
    <w:p>
      <w:pPr>
        <w:ind w:right="5160"/>
        <w:spacing w:after="0" w:line="470" w:lineRule="auto"/>
        <w:rPr>
          <w:sz w:val="20"/>
          <w:szCs w:val="20"/>
          <w:color w:val="auto"/>
        </w:rPr>
      </w:pPr>
      <w:r>
        <w:rPr>
          <w:rFonts w:ascii="Arial" w:cs="Arial" w:eastAsia="Arial" w:hAnsi="Arial"/>
          <w:sz w:val="18"/>
          <w:szCs w:val="18"/>
          <w:b w:val="1"/>
          <w:bCs w:val="1"/>
          <w:color w:val="auto"/>
        </w:rPr>
        <w:t xml:space="preserve">Segment comparison of the three and six months ended June 30, 2022 and 2021 </w:t>
      </w:r>
      <w:r>
        <w:rPr>
          <w:rFonts w:ascii="Arial" w:cs="Arial" w:eastAsia="Arial" w:hAnsi="Arial"/>
          <w:sz w:val="18"/>
          <w:szCs w:val="18"/>
          <w:i w:val="1"/>
          <w:iCs w:val="1"/>
          <w:u w:val="single" w:color="auto"/>
          <w:color w:val="auto"/>
        </w:rPr>
        <w:t>Las Vegas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8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8"/>
                <w:szCs w:val="18"/>
                <w:color w:val="auto"/>
              </w:rPr>
            </w:pPr>
          </w:p>
        </w:tc>
        <w:tc>
          <w:tcPr>
            <w:tcW w:w="218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w w:val="89"/>
              </w:rPr>
              <w:t>Variance</w:t>
            </w:r>
          </w:p>
        </w:tc>
        <w:tc>
          <w:tcPr>
            <w:tcW w:w="80" w:type="dxa"/>
            <w:vAlign w:val="bottom"/>
          </w:tcPr>
          <w:p>
            <w:pPr>
              <w:spacing w:after="0"/>
              <w:rPr>
                <w:sz w:val="14"/>
                <w:szCs w:val="14"/>
                <w:color w:val="auto"/>
              </w:rPr>
            </w:pPr>
          </w:p>
        </w:tc>
        <w:tc>
          <w:tcPr>
            <w:tcW w:w="106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94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Arial" w:cs="Arial" w:eastAsia="Arial" w:hAnsi="Arial"/>
                <w:sz w:val="16"/>
                <w:szCs w:val="16"/>
                <w:color w:val="auto"/>
                <w:w w:val="98"/>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606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12.0 %</w:t>
            </w:r>
          </w:p>
        </w:tc>
      </w:tr>
      <w:tr>
        <w:trPr>
          <w:trHeight w:val="21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100.4 %</w:t>
            </w:r>
          </w:p>
        </w:tc>
      </w:tr>
      <w:tr>
        <w:trPr>
          <w:trHeight w:val="213"/>
        </w:trPr>
        <w:tc>
          <w:tcPr>
            <w:tcW w:w="2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47.9 %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74.8 %</w:t>
            </w:r>
          </w:p>
        </w:tc>
      </w:tr>
      <w:tr>
        <w:trPr>
          <w:trHeight w:val="21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58.3 %</w:t>
            </w:r>
          </w:p>
        </w:tc>
      </w:tr>
      <w:tr>
        <w:trPr>
          <w:trHeight w:val="210"/>
        </w:trPr>
        <w:tc>
          <w:tcPr>
            <w:tcW w:w="2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33.6 %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2,056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52.1 %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789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1,704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24.5 %</w:t>
            </w:r>
          </w:p>
        </w:tc>
      </w:tr>
      <w:tr>
        <w:trPr>
          <w:trHeight w:val="21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 pts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pts</w:t>
            </w:r>
          </w:p>
        </w:tc>
      </w:tr>
      <w:tr>
        <w:trPr>
          <w:trHeight w:val="213"/>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2,669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2,823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5,157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4,585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12.5 %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Hotel occupancy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7.6 pts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947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61.9 %</w:t>
            </w:r>
          </w:p>
        </w:tc>
      </w:tr>
      <w:tr>
        <w:trPr>
          <w:trHeight w:val="21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 pts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274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 months ended June 30, 2022, the Las Vegas segment’s net revenues and Adjusted EBITDA increased year over year. Despite the negative impact of the resurgence of the Omicron variant of COVID-19 on the beginning of 2022, including cancellations and postponements of significant entertainment offerings, events and conventions, the Las Vegas segment experienced strong, positive trends year over year with increases in hotel occupancy and higher gaming and food and beverage volumes. For the three and six months ended June 30, 2022, slot win percentage in the Las Vegas segment was within our typical range.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Regional Segment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gridSpan w:val="6"/>
          </w:tcPr>
          <w:p>
            <w:pPr>
              <w:ind w:left="80"/>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8"/>
                <w:szCs w:val="18"/>
                <w:color w:val="auto"/>
              </w:rPr>
            </w:pPr>
          </w:p>
        </w:tc>
        <w:tc>
          <w:tcPr>
            <w:tcW w:w="218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Variance</w:t>
            </w:r>
          </w:p>
        </w:tc>
        <w:tc>
          <w:tcPr>
            <w:tcW w:w="100" w:type="dxa"/>
            <w:vAlign w:val="bottom"/>
          </w:tcPr>
          <w:p>
            <w:pPr>
              <w:spacing w:after="0"/>
              <w:rPr>
                <w:sz w:val="14"/>
                <w:szCs w:val="14"/>
                <w:color w:val="auto"/>
              </w:rPr>
            </w:pPr>
          </w:p>
        </w:tc>
        <w:tc>
          <w:tcPr>
            <w:tcW w:w="1020" w:type="dxa"/>
            <w:vAlign w:val="bottom"/>
            <w:gridSpan w:val="2"/>
          </w:tcPr>
          <w:p>
            <w:pPr>
              <w:ind w:left="200"/>
              <w:spacing w:after="0" w:line="169" w:lineRule="exact"/>
              <w:rPr>
                <w:sz w:val="20"/>
                <w:szCs w:val="20"/>
                <w:color w:val="auto"/>
              </w:rPr>
            </w:pPr>
            <w:r>
              <w:rPr>
                <w:rFonts w:ascii="Arial" w:cs="Arial" w:eastAsia="Arial" w:hAnsi="Arial"/>
                <w:sz w:val="16"/>
                <w:szCs w:val="16"/>
                <w:b w:val="1"/>
                <w:bCs w:val="1"/>
                <w:color w:val="auto"/>
              </w:rPr>
              <w:t>Change</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w w:val="89"/>
              </w:rPr>
              <w:t>Variance</w:t>
            </w:r>
          </w:p>
        </w:tc>
        <w:tc>
          <w:tcPr>
            <w:tcW w:w="80" w:type="dxa"/>
            <w:vAlign w:val="bottom"/>
          </w:tcPr>
          <w:p>
            <w:pPr>
              <w:spacing w:after="0"/>
              <w:rPr>
                <w:sz w:val="14"/>
                <w:szCs w:val="14"/>
                <w:color w:val="auto"/>
              </w:rPr>
            </w:pPr>
          </w:p>
        </w:tc>
        <w:tc>
          <w:tcPr>
            <w:tcW w:w="94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w w:val="97"/>
              </w:rPr>
              <w:t>Casino and pari-mutuel commissions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2,168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2,145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29.5 %</w:t>
            </w:r>
          </w:p>
        </w:tc>
      </w:tr>
      <w:tr>
        <w:trPr>
          <w:trHeight w:val="213"/>
        </w:trPr>
        <w:tc>
          <w:tcPr>
            <w:tcW w:w="20" w:type="dxa"/>
            <w:vAlign w:val="bottom"/>
          </w:tcPr>
          <w:p>
            <w:pPr>
              <w:spacing w:after="0"/>
              <w:rPr>
                <w:sz w:val="18"/>
                <w:szCs w:val="18"/>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9.4 %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37.1 %</w:t>
            </w:r>
          </w:p>
        </w:tc>
      </w:tr>
      <w:tr>
        <w:trPr>
          <w:trHeight w:val="209"/>
        </w:trPr>
        <w:tc>
          <w:tcPr>
            <w:tcW w:w="20" w:type="dxa"/>
            <w:vAlign w:val="bottom"/>
          </w:tcPr>
          <w:p>
            <w:pPr>
              <w:spacing w:after="0"/>
              <w:rPr>
                <w:sz w:val="18"/>
                <w:szCs w:val="18"/>
                <w:color w:val="auto"/>
              </w:rPr>
            </w:pPr>
          </w:p>
        </w:tc>
        <w:tc>
          <w:tcPr>
            <w:tcW w:w="27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2,818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2,681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5.1 %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2,117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2,117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 pts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pts</w:t>
            </w: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10,929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12,190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(1,261)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21,341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22,132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972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995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 pts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w:t>
            </w: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spacing w:after="0" w:line="287" w:lineRule="auto"/>
        <w:rPr>
          <w:sz w:val="20"/>
          <w:szCs w:val="20"/>
          <w:color w:val="auto"/>
        </w:rPr>
      </w:pPr>
      <w:r>
        <w:rPr>
          <w:rFonts w:ascii="Arial" w:cs="Arial" w:eastAsia="Arial" w:hAnsi="Arial"/>
          <w:sz w:val="16"/>
          <w:szCs w:val="16"/>
          <w:color w:val="auto"/>
        </w:rPr>
        <w:t xml:space="preserve">Regional segment’s Adjusted EBITDA, Adjusted EBITDA margin, and gaming volumes decreased for the three and six months ended June 30, 2022 compared to the same prior year period. The reduction in mandates and restrictions, combined with pent up consumer demand and supplemental discretionary spend from governmental stimulus resulted in strong results during 2021. Performance among our Regional properties was affected by a resurgence of the Omicron variant of COVID-19 in the beginning of 2022, however, the Regional segment subsequently experienced positive results due to increased food and beverage offerings and an increase in banquets. Although net revenues are up for the six months ended June 30, 2022, the second quarter experienced softening as customers’ discretionary spending has been impacted when compared to the prior year period, which benefited from government stimulus programs. </w:t>
      </w:r>
      <w:r>
        <w:rPr>
          <w:rFonts w:ascii="Arial" w:cs="Arial" w:eastAsia="Arial" w:hAnsi="Arial"/>
          <w:sz w:val="16"/>
          <w:szCs w:val="16"/>
          <w:color w:val="212529"/>
        </w:rPr>
        <w:t>We are monitoring these trends in the current year and the possible implications on certain customers most affected by</w:t>
      </w:r>
      <w:r>
        <w:rPr>
          <w:rFonts w:ascii="Arial" w:cs="Arial" w:eastAsia="Arial" w:hAnsi="Arial"/>
          <w:sz w:val="16"/>
          <w:szCs w:val="16"/>
          <w:color w:val="auto"/>
        </w:rPr>
        <w:t xml:space="preserve"> </w:t>
      </w:r>
      <w:r>
        <w:rPr>
          <w:rFonts w:ascii="Arial" w:cs="Arial" w:eastAsia="Arial" w:hAnsi="Arial"/>
          <w:sz w:val="16"/>
          <w:szCs w:val="16"/>
          <w:color w:val="212529"/>
        </w:rPr>
        <w:t xml:space="preserve">lower discretionary income. Although we have seen some reduced visitation from those customers, those not as affected by inflationary pressures remain steady or have slightly improved. </w:t>
      </w:r>
      <w:r>
        <w:rPr>
          <w:rFonts w:ascii="Arial" w:cs="Arial" w:eastAsia="Arial" w:hAnsi="Arial"/>
          <w:sz w:val="16"/>
          <w:szCs w:val="16"/>
          <w:color w:val="000000"/>
        </w:rPr>
        <w:t>In addition, certain of our properties have experienced increased competition with the opening of a new casino resort in</w:t>
      </w:r>
      <w:r>
        <w:rPr>
          <w:rFonts w:ascii="Arial" w:cs="Arial" w:eastAsia="Arial" w:hAnsi="Arial"/>
          <w:sz w:val="16"/>
          <w:szCs w:val="16"/>
          <w:color w:val="212529"/>
        </w:rPr>
        <w:t xml:space="preserve"> </w:t>
      </w:r>
      <w:r>
        <w:rPr>
          <w:rFonts w:ascii="Arial" w:cs="Arial" w:eastAsia="Arial" w:hAnsi="Arial"/>
          <w:sz w:val="16"/>
          <w:szCs w:val="16"/>
          <w:color w:val="000000"/>
        </w:rPr>
        <w:t>Gary, Indiana. Further, renovations and capital projects at Harrah’s New Orleans and Atlantic City properties have led to slight disruptions in operations. Despite these headwinds, and the impact of our recent divestitures described above, our results of operations remain strong as compared to pre-pandemic years. The consolidation of Horseshoe Baltimore has also had a positive impact to our results.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Table game hold percentage in the Regional segment for the three and six months ended June 30, 2022 was slightly higher than our typical range. Slot win percentage in the Regional segment for the three and six months ended June 30, 2022 was within our typical range.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Caesars Digital Segment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60" w:type="dxa"/>
            <w:vAlign w:val="bottom"/>
            <w:gridSpan w:val="6"/>
          </w:tcPr>
          <w:p>
            <w:pPr>
              <w:ind w:left="40"/>
              <w:spacing w:after="0"/>
              <w:rPr>
                <w:sz w:val="20"/>
                <w:szCs w:val="20"/>
                <w:color w:val="auto"/>
              </w:rPr>
            </w:pPr>
            <w:r>
              <w:rPr>
                <w:rFonts w:ascii="Arial" w:cs="Arial" w:eastAsia="Arial" w:hAnsi="Arial"/>
                <w:sz w:val="16"/>
                <w:szCs w:val="16"/>
                <w:b w:val="1"/>
                <w:bCs w:val="1"/>
                <w:color w:val="auto"/>
                <w:w w:val="97"/>
              </w:rPr>
              <w:t>Three Months Ended June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214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92"/>
              </w:rPr>
              <w:t>Variance</w:t>
            </w:r>
          </w:p>
        </w:tc>
        <w:tc>
          <w:tcPr>
            <w:tcW w:w="80" w:type="dxa"/>
            <w:vAlign w:val="bottom"/>
          </w:tcPr>
          <w:p>
            <w:pPr>
              <w:spacing w:after="0"/>
              <w:rPr>
                <w:sz w:val="14"/>
                <w:szCs w:val="14"/>
                <w:color w:val="auto"/>
              </w:rPr>
            </w:pPr>
          </w:p>
        </w:tc>
        <w:tc>
          <w:tcPr>
            <w:tcW w:w="1040" w:type="dxa"/>
            <w:vAlign w:val="bottom"/>
            <w:gridSpan w:val="2"/>
          </w:tcPr>
          <w:p>
            <w:pPr>
              <w:ind w:left="200"/>
              <w:spacing w:after="0" w:line="169" w:lineRule="exact"/>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w w:val="89"/>
              </w:rPr>
              <w:t>Variance</w:t>
            </w:r>
          </w:p>
        </w:tc>
        <w:tc>
          <w:tcPr>
            <w:tcW w:w="80" w:type="dxa"/>
            <w:vAlign w:val="bottom"/>
          </w:tcPr>
          <w:p>
            <w:pPr>
              <w:spacing w:after="0"/>
              <w:rPr>
                <w:sz w:val="14"/>
                <w:szCs w:val="14"/>
                <w:color w:val="auto"/>
              </w:rPr>
            </w:pPr>
          </w:p>
        </w:tc>
        <w:tc>
          <w:tcPr>
            <w:tcW w:w="94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120"/>
              <w:spacing w:after="0" w:line="216" w:lineRule="exact"/>
              <w:rPr>
                <w:sz w:val="20"/>
                <w:szCs w:val="20"/>
                <w:color w:val="auto"/>
              </w:rPr>
            </w:pPr>
            <w:r>
              <w:rPr>
                <w:rFonts w:ascii="Arial" w:cs="Arial" w:eastAsia="Arial" w:hAnsi="Arial"/>
                <w:sz w:val="16"/>
                <w:szCs w:val="16"/>
                <w:color w:val="auto"/>
                <w:w w:val="95"/>
              </w:rPr>
              <w:t xml:space="preserve">Casino and pari-mutuel commissions </w:t>
            </w:r>
            <w:r>
              <w:rPr>
                <w:rFonts w:ascii="Arial" w:cs="Arial" w:eastAsia="Arial" w:hAnsi="Arial"/>
                <w:sz w:val="21"/>
                <w:szCs w:val="21"/>
                <w:i w:val="1"/>
                <w:iCs w:val="1"/>
                <w:color w:val="auto"/>
                <w:w w:val="95"/>
                <w:vertAlign w:val="superscript"/>
              </w:rPr>
              <w:t>(a)</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75.6 %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(39.3)%</w:t>
            </w: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87.5 %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138.5 %</w:t>
            </w:r>
          </w:p>
        </w:tc>
      </w:tr>
      <w:tr>
        <w:trPr>
          <w:trHeight w:val="183"/>
        </w:trPr>
        <w:tc>
          <w:tcPr>
            <w:tcW w:w="20" w:type="dxa"/>
            <w:vAlign w:val="bottom"/>
          </w:tcPr>
          <w:p>
            <w:pPr>
              <w:spacing w:after="0"/>
              <w:rPr>
                <w:sz w:val="15"/>
                <w:szCs w:val="15"/>
                <w:color w:val="auto"/>
              </w:rPr>
            </w:pPr>
          </w:p>
        </w:tc>
        <w:tc>
          <w:tcPr>
            <w:tcW w:w="2840" w:type="dxa"/>
            <w:vAlign w:val="bottom"/>
            <w:gridSpan w:val="2"/>
          </w:tcPr>
          <w:p>
            <w:pPr>
              <w:ind w:left="340"/>
              <w:spacing w:after="0" w:line="183" w:lineRule="exact"/>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152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86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w:t>
            </w:r>
          </w:p>
        </w:tc>
        <w:tc>
          <w:tcPr>
            <w:tcW w:w="10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76.7 %</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99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125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w:t>
            </w:r>
          </w:p>
        </w:tc>
        <w:tc>
          <w:tcPr>
            <w:tcW w:w="10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Sports betting handle </w:t>
            </w:r>
            <w:r>
              <w:rPr>
                <w:rFonts w:ascii="Arial" w:cs="Arial" w:eastAsia="Arial" w:hAnsi="Arial"/>
                <w:sz w:val="21"/>
                <w:szCs w:val="21"/>
                <w:i w:val="1"/>
                <w:iCs w:val="1"/>
                <w:color w:val="auto"/>
                <w:vertAlign w:val="superscript"/>
              </w:rPr>
              <w:t>(b)</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1,731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192.3 %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7,321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6,408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Sports betting hold %</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 pts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iGaming handle</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86.6 %</w:t>
            </w:r>
          </w:p>
        </w:tc>
      </w:tr>
      <w:tr>
        <w:trPr>
          <w:trHeight w:val="213"/>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iGaming hold %</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 pts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(39.6) pts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286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55" w:lineRule="exact"/>
        <w:rPr>
          <w:sz w:val="20"/>
          <w:szCs w:val="20"/>
          <w:color w:val="auto"/>
        </w:rPr>
      </w:pPr>
    </w:p>
    <w:p>
      <w:pPr>
        <w:jc w:val="both"/>
        <w:ind w:left="340" w:hanging="332"/>
        <w:spacing w:after="0" w:line="248" w:lineRule="auto"/>
        <w:tabs>
          <w:tab w:leader="none" w:pos="327" w:val="left"/>
        </w:tabs>
        <w:numPr>
          <w:ilvl w:val="0"/>
          <w:numId w:val="24"/>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Includes total promotional and complimentary incentives related to sports betting, iGaming, and poker of $66 million and $19 million for the three months ended June 30, 2022 and 2021, respectively, and $439 million and $30 million for the six months ended June 30, 2022 and 2021, respectively. Promotional and complimentary incentives for poker were $8 million and $3 million for the three months ended June 30, 2022 and 2021, respectively, and $13 million and $5 million for the six months ended June 30, 2022 and 2021, respectively.</w:t>
      </w:r>
    </w:p>
    <w:p>
      <w:pPr>
        <w:spacing w:after="0" w:line="29" w:lineRule="exact"/>
        <w:rPr>
          <w:rFonts w:ascii="Arial" w:cs="Arial" w:eastAsia="Arial" w:hAnsi="Arial"/>
          <w:sz w:val="17"/>
          <w:szCs w:val="17"/>
          <w:i w:val="1"/>
          <w:iCs w:val="1"/>
          <w:color w:val="auto"/>
          <w:vertAlign w:val="superscript"/>
        </w:rPr>
      </w:pPr>
    </w:p>
    <w:p>
      <w:pPr>
        <w:jc w:val="both"/>
        <w:ind w:left="340" w:hanging="332"/>
        <w:spacing w:after="0" w:line="253" w:lineRule="auto"/>
        <w:tabs>
          <w:tab w:leader="none" w:pos="327" w:val="left"/>
        </w:tabs>
        <w:numPr>
          <w:ilvl w:val="0"/>
          <w:numId w:val="24"/>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Caesars Digital generated an additional $261 million and $129 million of sports betting handle, for the three months ended June 30, 2022 and 2021, respectively, and $604 million and $129 million for the six months ended June 30, 2022 and 2021, respectively, which is not included in this table, for select wholly-owned and third-party operations for which Caesars Digital provides services and we receive all, or a share of, the net profits. Hold related to these operations was 7.7% and 9.1%, for the three months ended June 30, 2022 and 2021, respectively, and 8.7% and 9.1% for the six months ended June 30, 2022 and 2021, respectively. Sports betting handle includes $14 million and $12 million for the three months ended June 30, 2022 and 2021, respectively, and $27 million and $12 million for the six months ended June 30, 2022 and 2021, respectively, related to horse racing and pari-mutuel wagers.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Caesars Digital includes Caesars’ operations for retail and mobile sports betting, online casino, and poker, which includes our Caesars Sportsbook app and our Caesars Racebook app. Caesars Digital’s sports betting handle and iGaming handle increased significantly for the three and six months ended June 30, 2022 compared to the same prior year period due to the William Hill Acquisition, the launch of our new Caesars Sportsbook app in 2021, and the expansion of sports betting into additional states subsequent to the acquisition. Net Revenues increased during the three months ended June 30, 2022, as we significantly scaled back promotions such as cash bonuses and matched deposits offered to new customers as sign-on incentives as compared to those offered in the first quarter with the launch of the Caesars Sportsbook app in New York and Louisiana. Outside of these promotional launch periods, we continue to rationalize our promotional and marketing spend and reduce gaming expenses.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expand into new states and jurisdictions with our apps, our Caesars branded sportsbooks, and our iGaming applications, to the extent such jurisdictions allow. During significant promotional periods, such as entering these new jurisdictions, we may deploy a significant level of marketing spend to build brand awareness and acquire and retain customers.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sports betting and online casinos expand through increased state legalization and customer adoption, increases in marketing and promotional costs in highly competitive markets may negatively impact Caesars Digital’s net revenues, Adjusted EBITDA and margin in comparison to prior periods. These periods are not expected to be long in duration as we use our discretion to determine the level of investment for a particular jurisdiction.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Managed and Branded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June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3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92"/>
              </w:rPr>
              <w:t>Variance</w:t>
            </w:r>
          </w:p>
        </w:tc>
        <w:tc>
          <w:tcPr>
            <w:tcW w:w="80" w:type="dxa"/>
            <w:vAlign w:val="bottom"/>
          </w:tcPr>
          <w:p>
            <w:pPr>
              <w:spacing w:after="0"/>
              <w:rPr>
                <w:sz w:val="14"/>
                <w:szCs w:val="14"/>
                <w:color w:val="auto"/>
              </w:rPr>
            </w:pPr>
          </w:p>
        </w:tc>
        <w:tc>
          <w:tcPr>
            <w:tcW w:w="106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5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9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90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09"/>
        </w:trPr>
        <w:tc>
          <w:tcPr>
            <w:tcW w:w="20" w:type="dxa"/>
            <w:vAlign w:val="bottom"/>
          </w:tcPr>
          <w:p>
            <w:pPr>
              <w:spacing w:after="0"/>
              <w:rPr>
                <w:sz w:val="18"/>
                <w:szCs w:val="18"/>
                <w:color w:val="auto"/>
              </w:rPr>
            </w:pPr>
          </w:p>
        </w:tc>
        <w:tc>
          <w:tcPr>
            <w:tcW w:w="29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10.2 %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(9.7) pts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Net income (loss) attributable to Caesars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29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manage several properties and license rights to the use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0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1"/>
              </w:rPr>
              <w:t>Three Months Ended June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0"/>
              </w:rPr>
              <w:t>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w:t>
            </w:r>
          </w:p>
        </w:tc>
        <w:tc>
          <w:tcPr>
            <w:tcW w:w="210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Six Months Ended June 30,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79"/>
              <w:spacing w:after="0" w:line="169" w:lineRule="exact"/>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92"/>
              </w:rPr>
              <w:t>Variance</w:t>
            </w:r>
          </w:p>
        </w:tc>
        <w:tc>
          <w:tcPr>
            <w:tcW w:w="80" w:type="dxa"/>
            <w:vAlign w:val="bottom"/>
          </w:tcPr>
          <w:p>
            <w:pPr>
              <w:spacing w:after="0"/>
              <w:rPr>
                <w:sz w:val="14"/>
                <w:szCs w:val="14"/>
                <w:color w:val="auto"/>
              </w:rPr>
            </w:pPr>
          </w:p>
        </w:tc>
        <w:tc>
          <w:tcPr>
            <w:tcW w:w="1160" w:type="dxa"/>
            <w:vAlign w:val="bottom"/>
            <w:gridSpan w:val="2"/>
          </w:tcPr>
          <w:p>
            <w:pPr>
              <w:ind w:left="260"/>
              <w:spacing w:after="0" w:line="169" w:lineRule="exact"/>
              <w:rPr>
                <w:sz w:val="20"/>
                <w:szCs w:val="20"/>
                <w:color w:val="auto"/>
              </w:rPr>
            </w:pPr>
            <w:r>
              <w:rPr>
                <w:rFonts w:ascii="Arial" w:cs="Arial" w:eastAsia="Arial" w:hAnsi="Arial"/>
                <w:sz w:val="16"/>
                <w:szCs w:val="16"/>
                <w:b w:val="1"/>
                <w:bCs w:val="1"/>
                <w:color w:val="auto"/>
              </w:rPr>
              <w:t>Change</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95"/>
              </w:rPr>
              <w:t>Variance</w:t>
            </w:r>
          </w:p>
        </w:tc>
        <w:tc>
          <w:tcPr>
            <w:tcW w:w="80" w:type="dxa"/>
            <w:vAlign w:val="bottom"/>
          </w:tcPr>
          <w:p>
            <w:pPr>
              <w:spacing w:after="0"/>
              <w:rPr>
                <w:sz w:val="14"/>
                <w:szCs w:val="14"/>
                <w:color w:val="auto"/>
              </w:rPr>
            </w:pPr>
          </w:p>
        </w:tc>
        <w:tc>
          <w:tcPr>
            <w:tcW w:w="106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Reimbursable management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22.5 %</w:t>
            </w:r>
          </w:p>
        </w:tc>
      </w:tr>
      <w:tr>
        <w:trPr>
          <w:trHeight w:val="210"/>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6"/>
                <w:szCs w:val="16"/>
                <w:color w:val="auto"/>
              </w:rPr>
              <w:t>Reimbursable management cost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22.5 %</w:t>
            </w:r>
          </w:p>
        </w:tc>
      </w:tr>
    </w:tbl>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closing of the sale of Caesars Southern Indiana on September 3, 2021, the Company and the Eastern Band of Cherokee Indians extended their existing relationship by entering into a 10-year brand license agreement for the continued use of the Caesars brand and Caesars Rewards loyalty program at Caesars Southern Indiana. Caesars Southern Indiana was previously reported within the Regional segment and subsequent to the sale, as a result of the license agreement, is reported within the Managed and Branded segment. The increase was slightly offset by the consolidation of Horseshoe Baltimore beginning in the third quarter of 2021. The operations of the property are included in the Regional segment and management revenue is eliminated upon consolidation.</w:t>
      </w:r>
    </w:p>
    <w:p>
      <w:pPr>
        <w:spacing w:after="0" w:line="35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Corporate &amp; Other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gridSpan w:val="6"/>
          </w:tcPr>
          <w:p>
            <w:pPr>
              <w:ind w:left="80"/>
              <w:spacing w:after="0"/>
              <w:rPr>
                <w:sz w:val="20"/>
                <w:szCs w:val="20"/>
                <w:color w:val="auto"/>
              </w:rPr>
            </w:pPr>
            <w:r>
              <w:rPr>
                <w:rFonts w:ascii="Arial" w:cs="Arial" w:eastAsia="Arial" w:hAnsi="Arial"/>
                <w:sz w:val="16"/>
                <w:szCs w:val="16"/>
                <w:b w:val="1"/>
                <w:bCs w:val="1"/>
                <w:color w:val="auto"/>
                <w:w w:val="99"/>
              </w:rPr>
              <w:t>Three Months Ended June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10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Six Months Ended June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1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4"/>
                <w:szCs w:val="14"/>
                <w:color w:val="auto"/>
              </w:rPr>
            </w:pPr>
          </w:p>
        </w:tc>
        <w:tc>
          <w:tcPr>
            <w:tcW w:w="1100" w:type="dxa"/>
            <w:vAlign w:val="bottom"/>
            <w:gridSpan w:val="2"/>
          </w:tcPr>
          <w:p>
            <w:pPr>
              <w:ind w:left="24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4"/>
                <w:szCs w:val="14"/>
                <w:color w:val="auto"/>
              </w:rPr>
            </w:pPr>
          </w:p>
        </w:tc>
        <w:tc>
          <w:tcPr>
            <w:tcW w:w="98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ind w:left="439"/>
              <w:spacing w:after="0"/>
              <w:rPr>
                <w:sz w:val="20"/>
                <w:szCs w:val="20"/>
                <w:color w:val="auto"/>
              </w:rPr>
            </w:pPr>
            <w:r>
              <w:rPr>
                <w:rFonts w:ascii="Arial" w:cs="Arial" w:eastAsia="Arial" w:hAnsi="Arial"/>
                <w:sz w:val="16"/>
                <w:szCs w:val="16"/>
                <w:color w:val="auto"/>
                <w:w w:val="91"/>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w w:val="91"/>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09"/>
        </w:trPr>
        <w:tc>
          <w:tcPr>
            <w:tcW w:w="20" w:type="dxa"/>
            <w:vAlign w:val="bottom"/>
          </w:tcPr>
          <w:p>
            <w:pPr>
              <w:spacing w:after="0"/>
              <w:rPr>
                <w:sz w:val="18"/>
                <w:szCs w:val="18"/>
                <w:color w:val="auto"/>
              </w:rPr>
            </w:pPr>
          </w:p>
        </w:tc>
        <w:tc>
          <w:tcPr>
            <w:tcW w:w="296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ind w:left="439"/>
              <w:spacing w:after="0"/>
              <w:rPr>
                <w:sz w:val="20"/>
                <w:szCs w:val="20"/>
                <w:color w:val="auto"/>
              </w:rPr>
            </w:pPr>
            <w:r>
              <w:rPr>
                <w:rFonts w:ascii="Arial" w:cs="Arial" w:eastAsia="Arial" w:hAnsi="Arial"/>
                <w:sz w:val="16"/>
                <w:szCs w:val="16"/>
                <w:color w:val="auto"/>
                <w:w w:val="91"/>
              </w:rPr>
              <w:t>(7)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ind w:left="459"/>
              <w:spacing w:after="0"/>
              <w:rPr>
                <w:sz w:val="20"/>
                <w:szCs w:val="20"/>
                <w:color w:val="auto"/>
              </w:rPr>
            </w:pPr>
            <w:r>
              <w:rPr>
                <w:rFonts w:ascii="Arial" w:cs="Arial" w:eastAsia="Arial" w:hAnsi="Arial"/>
                <w:sz w:val="16"/>
                <w:szCs w:val="16"/>
                <w:color w:val="auto"/>
                <w:w w:val="89"/>
              </w:rPr>
              <w:t>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17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21.0 %</w:t>
            </w:r>
          </w:p>
        </w:tc>
      </w:tr>
      <w:tr>
        <w:trPr>
          <w:trHeight w:val="316"/>
        </w:trPr>
        <w:tc>
          <w:tcPr>
            <w:tcW w:w="298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Three and Six Months Ended June 30, 2022 and 2021</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(gain) loss on investments and marketable securities, depreciation and amortization,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 sign-on and retention bonuses, business optimization expenses and transformation expenses, certain litigation awards and settlements, contract exit or termination costs,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It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34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7" w:name="page48"/>
    <w:bookmarkEnd w:id="47"/>
    <w:p>
      <w:pPr>
        <w:ind w:right="20"/>
        <w:spacing w:after="0" w:line="277" w:lineRule="auto"/>
        <w:rPr>
          <w:sz w:val="20"/>
          <w:szCs w:val="20"/>
          <w:color w:val="auto"/>
        </w:rPr>
      </w:pPr>
      <w:r>
        <w:rPr>
          <w:rFonts w:ascii="Arial" w:cs="Arial" w:eastAsia="Arial" w:hAnsi="Arial"/>
          <w:sz w:val="18"/>
          <w:szCs w:val="18"/>
          <w:color w:val="auto"/>
        </w:rPr>
        <w:t>The following tables summarize our Adjusted EBITDA for the three and six months ended June 30, 2022 and 2021, respectively, in addition to reconciling net income (loss) to Adjusted EBITDA in accordance with GAAP (unaudited):</w:t>
      </w:r>
    </w:p>
    <w:p>
      <w:pPr>
        <w:spacing w:after="0" w:line="157"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Three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w:t>
            </w:r>
            <w:r>
              <w:rPr>
                <w:rFonts w:ascii="Arial" w:cs="Arial" w:eastAsia="Arial" w:hAnsi="Arial"/>
                <w:sz w:val="21"/>
                <w:szCs w:val="21"/>
                <w:i w:val="1"/>
                <w:iCs w:val="1"/>
                <w:color w:val="auto"/>
                <w:vertAlign w:val="superscript"/>
              </w:rPr>
              <w:t>(a)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40"/>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and other operating costs, net </w:t>
            </w:r>
            <w:r>
              <w:rPr>
                <w:rFonts w:ascii="Arial" w:cs="Arial" w:eastAsia="Arial" w:hAnsi="Arial"/>
                <w:sz w:val="21"/>
                <w:szCs w:val="21"/>
                <w:i w:val="1"/>
                <w:iCs w:val="1"/>
                <w:color w:val="auto"/>
                <w:vertAlign w:val="superscript"/>
              </w:rPr>
              <w:t>(b)</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line="213" w:lineRule="exact"/>
              <w:rPr>
                <w:sz w:val="20"/>
                <w:szCs w:val="20"/>
                <w:color w:val="auto"/>
              </w:rPr>
            </w:pPr>
            <w:r>
              <w:rPr>
                <w:rFonts w:ascii="Arial" w:cs="Arial" w:eastAsia="Arial" w:hAnsi="Arial"/>
                <w:sz w:val="16"/>
                <w:szCs w:val="16"/>
                <w:color w:val="auto"/>
              </w:rPr>
              <w:t xml:space="preserve">Pre-consolidation, pre-acquisition, and pre-disposition EBITDA, net </w:t>
            </w:r>
            <w:r>
              <w:rPr>
                <w:rFonts w:ascii="Arial" w:cs="Arial" w:eastAsia="Arial" w:hAnsi="Arial"/>
                <w:sz w:val="21"/>
                <w:szCs w:val="21"/>
                <w:i w:val="1"/>
                <w:iCs w:val="1"/>
                <w:color w:val="auto"/>
                <w:vertAlign w:val="superscript"/>
              </w:rPr>
              <w:t>(d)</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Adjusted EBITDA</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and other operating costs, net </w:t>
            </w:r>
            <w:r>
              <w:rPr>
                <w:rFonts w:ascii="Arial" w:cs="Arial" w:eastAsia="Arial" w:hAnsi="Arial"/>
                <w:sz w:val="21"/>
                <w:szCs w:val="21"/>
                <w:i w:val="1"/>
                <w:iCs w:val="1"/>
                <w:color w:val="auto"/>
                <w:vertAlign w:val="superscript"/>
              </w:rPr>
              <w:t>(b)</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line="213" w:lineRule="exact"/>
              <w:rPr>
                <w:sz w:val="20"/>
                <w:szCs w:val="20"/>
                <w:color w:val="auto"/>
              </w:rPr>
            </w:pPr>
            <w:r>
              <w:rPr>
                <w:rFonts w:ascii="Arial" w:cs="Arial" w:eastAsia="Arial" w:hAnsi="Arial"/>
                <w:sz w:val="16"/>
                <w:szCs w:val="16"/>
                <w:color w:val="auto"/>
              </w:rPr>
              <w:t xml:space="preserve">Pre-consolidation, pre-acquisition, and pre-disposition EBITDA, net </w:t>
            </w:r>
            <w:r>
              <w:rPr>
                <w:rFonts w:ascii="Arial" w:cs="Arial" w:eastAsia="Arial" w:hAnsi="Arial"/>
                <w:sz w:val="21"/>
                <w:szCs w:val="21"/>
                <w:i w:val="1"/>
                <w:iCs w:val="1"/>
                <w:color w:val="auto"/>
                <w:vertAlign w:val="superscript"/>
              </w:rPr>
              <w:t>(d)</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Adjusted EBITDA</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hanging="332"/>
        <w:spacing w:after="0" w:line="252" w:lineRule="auto"/>
        <w:tabs>
          <w:tab w:leader="none" w:pos="327" w:val="left"/>
        </w:tabs>
        <w:numPr>
          <w:ilvl w:val="0"/>
          <w:numId w:val="27"/>
        </w:numPr>
        <w:rPr>
          <w:rFonts w:ascii="Arial" w:cs="Arial" w:eastAsia="Arial" w:hAnsi="Arial"/>
          <w:sz w:val="9"/>
          <w:szCs w:val="9"/>
          <w:i w:val="1"/>
          <w:iCs w:val="1"/>
          <w:color w:val="212529"/>
        </w:rPr>
      </w:pPr>
      <w:r>
        <w:rPr>
          <w:rFonts w:ascii="Arial" w:cs="Arial" w:eastAsia="Arial" w:hAnsi="Arial"/>
          <w:sz w:val="14"/>
          <w:szCs w:val="14"/>
          <w:i w:val="1"/>
          <w:iCs w:val="1"/>
          <w:color w:val="auto"/>
        </w:rPr>
        <w:t>Other income for the three and six months ended June 30, 2022 primarily represents the net change in fair value of investments held by the Company, foreign exchange forward contracts, and the changes in the disputed claims liability related to Former Caesars’ bankruptcy prior to the Merger. Other (income) loss for the three and six months ended June 30, 2021 primarily represents a gain in the change of fair value of the Company’s investment in NeoGames offset by a loss on the change in fair value of the derivative liability related to the 5% Convertible Notes.</w:t>
      </w:r>
    </w:p>
    <w:p>
      <w:pPr>
        <w:spacing w:after="0" w:line="25" w:lineRule="exact"/>
        <w:rPr>
          <w:rFonts w:ascii="Arial" w:cs="Arial" w:eastAsia="Arial" w:hAnsi="Arial"/>
          <w:sz w:val="9"/>
          <w:szCs w:val="9"/>
          <w:i w:val="1"/>
          <w:iCs w:val="1"/>
          <w:color w:val="212529"/>
        </w:rPr>
      </w:pPr>
    </w:p>
    <w:p>
      <w:pPr>
        <w:jc w:val="both"/>
        <w:ind w:left="340" w:hanging="332"/>
        <w:spacing w:after="0" w:line="252" w:lineRule="auto"/>
        <w:tabs>
          <w:tab w:leader="none" w:pos="327" w:val="left"/>
        </w:tabs>
        <w:numPr>
          <w:ilvl w:val="0"/>
          <w:numId w:val="27"/>
        </w:numPr>
        <w:rPr>
          <w:rFonts w:ascii="Arial" w:cs="Arial" w:eastAsia="Arial" w:hAnsi="Arial"/>
          <w:sz w:val="9"/>
          <w:szCs w:val="9"/>
          <w:i w:val="1"/>
          <w:iCs w:val="1"/>
          <w:color w:val="212529"/>
        </w:rPr>
      </w:pPr>
      <w:r>
        <w:rPr>
          <w:rFonts w:ascii="Arial" w:cs="Arial" w:eastAsia="Arial" w:hAnsi="Arial"/>
          <w:sz w:val="14"/>
          <w:szCs w:val="14"/>
          <w:i w:val="1"/>
          <w:iCs w:val="1"/>
          <w:color w:val="auto"/>
        </w:rPr>
        <w:t>Transaction and other operating costs, net for the three and six months ended June 30, 2022 primarily represents a gain resulting from insurance proceeds received in excess of the respective carrying value of the assets damaged at Lake Charles by Hurricane Laura in Q1 2022 partially offset by various contract or license termination costs. Transaction and other operating costs, net for the three and six months ended June 30, 2021 primarily represent costs related to the William Hill Acquisition and the Merger, various contract or license termination exit costs, professional services, other acquisition costs and severance costs.</w:t>
      </w:r>
    </w:p>
    <w:p>
      <w:pPr>
        <w:spacing w:after="0" w:line="25" w:lineRule="exact"/>
        <w:rPr>
          <w:rFonts w:ascii="Arial" w:cs="Arial" w:eastAsia="Arial" w:hAnsi="Arial"/>
          <w:sz w:val="9"/>
          <w:szCs w:val="9"/>
          <w:i w:val="1"/>
          <w:iCs w:val="1"/>
          <w:color w:val="212529"/>
        </w:rPr>
      </w:pPr>
    </w:p>
    <w:p>
      <w:pPr>
        <w:ind w:left="320" w:hanging="312"/>
        <w:spacing w:after="0"/>
        <w:tabs>
          <w:tab w:leader="none" w:pos="320" w:val="left"/>
        </w:tabs>
        <w:numPr>
          <w:ilvl w:val="0"/>
          <w:numId w:val="27"/>
        </w:numPr>
        <w:rPr>
          <w:rFonts w:ascii="Arial" w:cs="Arial" w:eastAsia="Arial" w:hAnsi="Arial"/>
          <w:sz w:val="9"/>
          <w:szCs w:val="9"/>
          <w:i w:val="1"/>
          <w:iCs w:val="1"/>
          <w:color w:val="212529"/>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pacing w:after="0" w:line="55" w:lineRule="exact"/>
        <w:rPr>
          <w:rFonts w:ascii="Arial" w:cs="Arial" w:eastAsia="Arial" w:hAnsi="Arial"/>
          <w:sz w:val="9"/>
          <w:szCs w:val="9"/>
          <w:i w:val="1"/>
          <w:iCs w:val="1"/>
          <w:color w:val="212529"/>
        </w:rPr>
      </w:pPr>
    </w:p>
    <w:p>
      <w:pPr>
        <w:jc w:val="both"/>
        <w:ind w:left="340" w:hanging="332"/>
        <w:spacing w:after="0" w:line="252" w:lineRule="auto"/>
        <w:tabs>
          <w:tab w:leader="none" w:pos="327" w:val="left"/>
        </w:tabs>
        <w:numPr>
          <w:ilvl w:val="0"/>
          <w:numId w:val="27"/>
        </w:numPr>
        <w:rPr>
          <w:rFonts w:ascii="Arial" w:cs="Arial" w:eastAsia="Arial" w:hAnsi="Arial"/>
          <w:sz w:val="9"/>
          <w:szCs w:val="9"/>
          <w:i w:val="1"/>
          <w:iCs w:val="1"/>
          <w:color w:val="212529"/>
        </w:rPr>
      </w:pPr>
      <w:r>
        <w:rPr>
          <w:rFonts w:ascii="Arial" w:cs="Arial" w:eastAsia="Arial" w:hAnsi="Arial"/>
          <w:sz w:val="14"/>
          <w:szCs w:val="14"/>
          <w:i w:val="1"/>
          <w:iCs w:val="1"/>
          <w:color w:val="auto"/>
        </w:rPr>
        <w:t>Results of operations for Horseshoe Baltimore for periods prior to the consolidation resulting from the Company’s increase in its ownership interest on August 26, 2021 and William Hill prior to its acquisition on April 22, 2021 are added to Adjusted EBITDA. The results of operations for MontBleu, Evansville, and Belle of Baton Rouge prior to divestiture are subtracted from Adjusted EBITDA.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pacing w:after="0" w:line="35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our cash on hand and revolving borrowing capacity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30,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2,180</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Available revolver capacity committed as regulatory requirement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9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2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$1,145 million under our CEI Revolving Credit Facility, as amended, maturing in July 2025, $1,025 million under our CRC Revolving Credit Facility, maturing in December 2022 and $10 million under our Baltimore Revolving Credit Facility, as amended, maturing in July 2023.</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our operating activities generated operating cash inflows of $116 million, as compared to operating cash inflows of $672 million during the six months ended June 30, 2021 due to the results of operations described above. In addition, as a result of our debt reduction and the reduction in our borrowing rates, our interest rate payments have been reduced.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w:t>
      </w:r>
      <w:r>
        <w:rPr>
          <w:rFonts w:ascii="Arial" w:cs="Arial" w:eastAsia="Arial" w:hAnsi="Arial"/>
          <w:sz w:val="18"/>
          <w:szCs w:val="18"/>
          <w:color w:val="212529"/>
        </w:rPr>
        <w:t>£2.9 billion</w:t>
      </w:r>
      <w:r>
        <w:rPr>
          <w:rFonts w:ascii="Arial" w:cs="Arial" w:eastAsia="Arial" w:hAnsi="Arial"/>
          <w:sz w:val="18"/>
          <w:szCs w:val="18"/>
          <w:color w:val="auto"/>
        </w:rPr>
        <w:t xml:space="preserve">, or approximately </w:t>
      </w:r>
      <w:r>
        <w:rPr>
          <w:rFonts w:ascii="Arial" w:cs="Arial" w:eastAsia="Arial" w:hAnsi="Arial"/>
          <w:sz w:val="18"/>
          <w:szCs w:val="18"/>
          <w:color w:val="212529"/>
        </w:rPr>
        <w:t>$3.9 billion</w:t>
      </w:r>
      <w:r>
        <w:rPr>
          <w:rFonts w:ascii="Arial" w:cs="Arial" w:eastAsia="Arial" w:hAnsi="Arial"/>
          <w:sz w:val="18"/>
          <w:szCs w:val="18"/>
          <w:color w:val="auto"/>
        </w:rPr>
        <w:t>.</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connection with the William Hill Acquisition, on April 22, 2021, a newly formed subsidiary, the Bridge Facility Borrower, entered into the Bridge Credit Agreement with certain lenders party thereto and Deutsche Bank AG, London Branch, as administrative agent and collateral agent, pursuant to which the lenders party thereto provided the Debt Financing. The Bridge Credit Agreement provides for (a) a 540-day £1.0 billion asset sale bridge facility, (b) a 60-day £503 million cash confirmation bridge facility and (c) a 540-day £116 million revolving credit facility.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entered into on October 6, 2020 with Deutsche Bank AG, London Branch and JPMorgan Chase Bank, N.A., and amended on December 11, 2020, was terminated upon the execution of the Bridge Credit Agreement. On May 12, 2021, the Company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On July 1, 2022, outstanding borrowings under the Bridge Credit Agreement were repaid immediately following the sale of William Hill International, all of which were held for sale as of the date of the closing of the William Hill Acquisition and are reflected within discontinued operations. Certain investments acquired have been excluded from the held for sale asset group. On September 8, 2021, the Company entered into an agreement to sell William Hill International to 888 Holdings Plc for approximately £2.2 billion. In order to </w:t>
      </w:r>
      <w:r>
        <w:rPr>
          <w:rFonts w:ascii="Arial" w:cs="Arial" w:eastAsia="Arial" w:hAnsi="Arial"/>
          <w:sz w:val="17"/>
          <w:szCs w:val="17"/>
          <w:color w:val="212529"/>
        </w:rPr>
        <w:t>manage the risk of changes in the GBP</w:t>
      </w:r>
      <w:r>
        <w:rPr>
          <w:rFonts w:ascii="Arial" w:cs="Arial" w:eastAsia="Arial" w:hAnsi="Arial"/>
          <w:sz w:val="17"/>
          <w:szCs w:val="17"/>
          <w:color w:val="auto"/>
        </w:rPr>
        <w:t xml:space="preserve"> </w:t>
      </w:r>
      <w:r>
        <w:rPr>
          <w:rFonts w:ascii="Arial" w:cs="Arial" w:eastAsia="Arial" w:hAnsi="Arial"/>
          <w:sz w:val="17"/>
          <w:szCs w:val="17"/>
          <w:color w:val="212529"/>
        </w:rPr>
        <w:t xml:space="preserve">denominated sales price and expected proceeds, the Company entered into foreign exchange forward contracts. </w:t>
      </w:r>
      <w:r>
        <w:rPr>
          <w:rFonts w:ascii="Arial" w:cs="Arial" w:eastAsia="Arial" w:hAnsi="Arial"/>
          <w:sz w:val="17"/>
          <w:szCs w:val="17"/>
          <w:color w:val="000000"/>
        </w:rPr>
        <w:t>On April 7, 2022, the Company amended</w:t>
      </w:r>
      <w:r>
        <w:rPr>
          <w:rFonts w:ascii="Arial" w:cs="Arial" w:eastAsia="Arial" w:hAnsi="Arial"/>
          <w:sz w:val="17"/>
          <w:szCs w:val="17"/>
          <w:color w:val="212529"/>
        </w:rPr>
        <w:t xml:space="preserve"> </w:t>
      </w:r>
      <w:r>
        <w:rPr>
          <w:rFonts w:ascii="Arial" w:cs="Arial" w:eastAsia="Arial" w:hAnsi="Arial"/>
          <w:sz w:val="17"/>
          <w:szCs w:val="17"/>
          <w:color w:val="000000"/>
        </w:rPr>
        <w:t>the agreement to sell the non-US assets of William Hill to 888 Holdings Plc for a revised enterprise value of approximately £2.0 billion. The amended agreement reflects a £250 million reduction in consideration payable at closing and up to £100 million as deferred consideration to be paid to the Company, subject to 888 Holdings Plc meeting certain 2023 financial targets. D</w:t>
      </w:r>
      <w:r>
        <w:rPr>
          <w:rFonts w:ascii="Arial" w:cs="Arial" w:eastAsia="Arial" w:hAnsi="Arial"/>
          <w:sz w:val="17"/>
          <w:szCs w:val="17"/>
          <w:color w:val="212529"/>
        </w:rPr>
        <w:t>uring the three and six months ended June 30, 2022, the Company recorded</w:t>
      </w:r>
      <w:r>
        <w:rPr>
          <w:rFonts w:ascii="Arial" w:cs="Arial" w:eastAsia="Arial" w:hAnsi="Arial"/>
          <w:sz w:val="17"/>
          <w:szCs w:val="17"/>
          <w:color w:val="000000"/>
        </w:rPr>
        <w:t xml:space="preserve"> </w:t>
      </w:r>
      <w:r>
        <w:rPr>
          <w:rFonts w:ascii="Arial" w:cs="Arial" w:eastAsia="Arial" w:hAnsi="Arial"/>
          <w:sz w:val="17"/>
          <w:szCs w:val="17"/>
          <w:color w:val="212529"/>
        </w:rPr>
        <w:t>impairments to assets held for sale of $174 million and $503 million, respectively, within discontinued operations based on the revised and final sales prices.</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On July 1, 2022 the Company completed the sale of William Hill International to 888 Holdings Plc. After the repayment of the Bridge Credit Agreement, other permitted leakage, and the settlement of related forward contracts, Caesars received net proceeds of $730 million. Including open market repurchases during the second quarter and subsequent repurchases and repayments in July 2022, the Company utilized all $730 million to reduce the Company’s outstanding debt.</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the remainder of </w:t>
      </w:r>
      <w:r>
        <w:rPr>
          <w:rFonts w:ascii="Arial" w:cs="Arial" w:eastAsia="Arial" w:hAnsi="Arial"/>
          <w:sz w:val="16"/>
          <w:szCs w:val="16"/>
          <w:color w:val="212529"/>
        </w:rPr>
        <w:t xml:space="preserve">2022 </w:t>
      </w:r>
      <w:r>
        <w:rPr>
          <w:rFonts w:ascii="Arial" w:cs="Arial" w:eastAsia="Arial" w:hAnsi="Arial"/>
          <w:sz w:val="16"/>
          <w:szCs w:val="16"/>
          <w:color w:val="000000"/>
        </w:rPr>
        <w:t>are expected to increase compared to prior periods as a result of increased expansion projects, the rebranding of certain properties, implementation</w:t>
      </w:r>
      <w:r>
        <w:rPr>
          <w:rFonts w:ascii="Arial" w:cs="Arial" w:eastAsia="Arial" w:hAnsi="Arial"/>
          <w:sz w:val="16"/>
          <w:szCs w:val="16"/>
          <w:color w:val="212529"/>
        </w:rPr>
        <w:t xml:space="preserve"> </w:t>
      </w:r>
      <w:r>
        <w:rPr>
          <w:rFonts w:ascii="Arial" w:cs="Arial" w:eastAsia="Arial" w:hAnsi="Arial"/>
          <w:sz w:val="16"/>
          <w:szCs w:val="16"/>
          <w:color w:val="000000"/>
        </w:rPr>
        <w:t>and migration of our Caesars Sportsbook and iGaming applications in certain states to our Liberty platform, and continued investment into new markets with our Caesars Sportsbook and iGaming applications in our Caesars Digital segment. In addition, we may, from time to time, seek to repurchase our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We continue to expand into new markets with projects such as Caesars Virginia, which is expected to be a $500 million premier destination resort casino. The property plans to include a 500 room hotel and casino including slot machines, table games, WSOP Room and Caesars Sportsbook. Additionally, Caesars announced the plans to expand into Nebraska with the development of a Harrah’s casino and racetrack.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funded $400 million to escrow as of the closing of the Merger and have begun to utilize those funds in accordance with a three year capital expenditure plan in the state of New Jersey. This amount is currently included in restricted cash in Other assets, net. As of June 30, 2022, our restricted cash balance in the escrow account was $189 million for future capital expenditures in New Jersey.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in Harrah’s New Orleans by July 15, 2024. The capital investment will include a renovation and full interior and exterior redesign, updated casino floor, new culinary experiences and a new 340 room hotel tower as we are also in the process of rebranding the property as Caesars New Orleans. We expect to meet our required investment as the project has a current capital plan of $430 million as of June 30, 2022. Total capital expenditures have been $64 million since the project began.</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On August 27, 2020, Hurricane Laura made landfall on Lake Charles as a Category 4 storm severely damaging the Isle of Capri Casino Lake Charles. During the six months ended </w:t>
      </w:r>
      <w:r>
        <w:rPr>
          <w:rFonts w:ascii="Arial" w:cs="Arial" w:eastAsia="Arial" w:hAnsi="Arial"/>
          <w:sz w:val="18"/>
          <w:szCs w:val="18"/>
          <w:color w:val="000000"/>
        </w:rPr>
        <w:t>June 30, 2022</w:t>
      </w:r>
      <w:r>
        <w:rPr>
          <w:rFonts w:ascii="Arial" w:cs="Arial" w:eastAsia="Arial" w:hAnsi="Arial"/>
          <w:sz w:val="18"/>
          <w:szCs w:val="18"/>
          <w:color w:val="212529"/>
        </w:rPr>
        <w:t xml:space="preserve">, the Company reached a final settlement agreement with the insurance carriers for a total amount of $128 million, before our insurance deductible of $25 million, of which $100 million has been received by the Company related to damaged fixed assets and remediation costs and business interruption. The remaining $3 million is included in Accounts receivable, net and is expected to be received in the third quarter of </w:t>
      </w:r>
      <w:r>
        <w:rPr>
          <w:rFonts w:ascii="Arial" w:cs="Arial" w:eastAsia="Arial" w:hAnsi="Arial"/>
          <w:sz w:val="18"/>
          <w:szCs w:val="18"/>
          <w:color w:val="000000"/>
        </w:rPr>
        <w:t>2022</w:t>
      </w:r>
      <w:r>
        <w:rPr>
          <w:rFonts w:ascii="Arial" w:cs="Arial" w:eastAsia="Arial" w:hAnsi="Arial"/>
          <w:sz w:val="18"/>
          <w:szCs w:val="18"/>
          <w:color w:val="212529"/>
        </w:rPr>
        <w:t>. The property will remain closed u</w:t>
      </w:r>
      <w:r>
        <w:rPr>
          <w:rFonts w:ascii="Arial" w:cs="Arial" w:eastAsia="Arial" w:hAnsi="Arial"/>
          <w:sz w:val="18"/>
          <w:szCs w:val="18"/>
          <w:color w:val="000000"/>
        </w:rPr>
        <w:t>ntil the fourth quarter of</w:t>
      </w:r>
      <w:r>
        <w:rPr>
          <w:rFonts w:ascii="Arial" w:cs="Arial" w:eastAsia="Arial" w:hAnsi="Arial"/>
          <w:sz w:val="18"/>
          <w:szCs w:val="18"/>
          <w:color w:val="212529"/>
        </w:rPr>
        <w:t xml:space="preserve"> 2022 </w:t>
      </w:r>
      <w:r>
        <w:rPr>
          <w:rFonts w:ascii="Arial" w:cs="Arial" w:eastAsia="Arial" w:hAnsi="Arial"/>
          <w:sz w:val="18"/>
          <w:szCs w:val="18"/>
          <w:color w:val="000000"/>
        </w:rPr>
        <w:t>w</w:t>
      </w:r>
      <w:r>
        <w:rPr>
          <w:rFonts w:ascii="Arial" w:cs="Arial" w:eastAsia="Arial" w:hAnsi="Arial"/>
          <w:sz w:val="18"/>
          <w:szCs w:val="18"/>
          <w:color w:val="212529"/>
        </w:rPr>
        <w:t>hen construction of a new land-based casino, Horseshoe Lake Charles, is expected to be complete.</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 xml:space="preserve">Cash spent for capital expenditures totaled $471 million </w:t>
      </w:r>
      <w:r>
        <w:rPr>
          <w:rFonts w:ascii="Arial" w:cs="Arial" w:eastAsia="Arial" w:hAnsi="Arial"/>
          <w:sz w:val="16"/>
          <w:szCs w:val="16"/>
          <w:color w:val="000000"/>
        </w:rPr>
        <w:t>and $177 million</w:t>
      </w:r>
      <w:r>
        <w:rPr>
          <w:rFonts w:ascii="Arial" w:cs="Arial" w:eastAsia="Arial" w:hAnsi="Arial"/>
          <w:sz w:val="16"/>
          <w:szCs w:val="16"/>
          <w:color w:val="212529"/>
        </w:rPr>
        <w:t xml:space="preserve"> for the six months ended </w:t>
      </w:r>
      <w:r>
        <w:rPr>
          <w:rFonts w:ascii="Arial" w:cs="Arial" w:eastAsia="Arial" w:hAnsi="Arial"/>
          <w:sz w:val="16"/>
          <w:szCs w:val="16"/>
          <w:color w:val="000000"/>
        </w:rPr>
        <w:t>June 30, 2022 and 2021</w:t>
      </w:r>
      <w:r>
        <w:rPr>
          <w:rFonts w:ascii="Arial" w:cs="Arial" w:eastAsia="Arial" w:hAnsi="Arial"/>
          <w:sz w:val="16"/>
          <w:szCs w:val="16"/>
          <w:color w:val="212529"/>
        </w:rPr>
        <w:t>, respectively. The following table summarizes our capital expenditures for the six months ended June 30, 2022, and an estimated range of capital expenditures for the remainder of</w:t>
      </w:r>
    </w:p>
    <w:p>
      <w:pPr>
        <w:spacing w:after="0"/>
        <w:rPr>
          <w:sz w:val="20"/>
          <w:szCs w:val="20"/>
          <w:color w:val="auto"/>
        </w:rPr>
      </w:pPr>
      <w:r>
        <w:rPr>
          <w:rFonts w:ascii="Arial" w:cs="Arial" w:eastAsia="Arial" w:hAnsi="Arial"/>
          <w:sz w:val="18"/>
          <w:szCs w:val="18"/>
          <w:color w:val="auto"/>
        </w:rPr>
        <w:t>2022</w:t>
      </w:r>
      <w:r>
        <w:rPr>
          <w:rFonts w:ascii="Arial" w:cs="Arial" w:eastAsia="Arial" w:hAnsi="Arial"/>
          <w:sz w:val="18"/>
          <w:szCs w:val="18"/>
          <w:color w:val="212529"/>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5580" w:type="dxa"/>
            <w:vAlign w:val="bottom"/>
            <w:gridSpan w:val="8"/>
          </w:tcPr>
          <w:p>
            <w:pPr>
              <w:ind w:left="20"/>
              <w:spacing w:after="0"/>
              <w:rPr>
                <w:sz w:val="20"/>
                <w:szCs w:val="20"/>
                <w:color w:val="auto"/>
              </w:rPr>
            </w:pPr>
            <w:r>
              <w:rPr>
                <w:rFonts w:ascii="Arial" w:cs="Arial" w:eastAsia="Arial" w:hAnsi="Arial"/>
                <w:sz w:val="16"/>
                <w:szCs w:val="16"/>
                <w:b w:val="1"/>
                <w:bCs w:val="1"/>
                <w:color w:val="auto"/>
                <w:w w:val="95"/>
              </w:rPr>
              <w:t>Six Months Ended June 30,   Estimate of Remaining Capital Expenditures for</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0" w:type="dxa"/>
            <w:vAlign w:val="bottom"/>
          </w:tcPr>
          <w:p>
            <w:pPr>
              <w:jc w:val="center"/>
              <w:ind w:left="459"/>
              <w:spacing w:after="0" w:line="172" w:lineRule="exact"/>
              <w:rPr>
                <w:sz w:val="20"/>
                <w:szCs w:val="20"/>
                <w:color w:val="auto"/>
              </w:rPr>
            </w:pPr>
            <w:r>
              <w:rPr>
                <w:rFonts w:ascii="Arial" w:cs="Arial" w:eastAsia="Arial" w:hAnsi="Arial"/>
                <w:sz w:val="16"/>
                <w:szCs w:val="16"/>
                <w:b w:val="1"/>
                <w:bCs w:val="1"/>
                <w:color w:val="auto"/>
                <w:w w:val="93"/>
              </w:rPr>
              <w:t>Actual</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ind w:left="300"/>
              <w:spacing w:after="0" w:line="172" w:lineRule="exact"/>
              <w:rPr>
                <w:sz w:val="20"/>
                <w:szCs w:val="20"/>
                <w:color w:val="auto"/>
              </w:rPr>
            </w:pPr>
            <w:r>
              <w:rPr>
                <w:rFonts w:ascii="Arial" w:cs="Arial" w:eastAsia="Arial" w:hAnsi="Arial"/>
                <w:sz w:val="16"/>
                <w:szCs w:val="16"/>
                <w:b w:val="1"/>
                <w:bCs w:val="1"/>
                <w:color w:val="auto"/>
              </w:rPr>
              <w:t>Low</w:t>
            </w:r>
          </w:p>
        </w:tc>
        <w:tc>
          <w:tcPr>
            <w:tcW w:w="400" w:type="dxa"/>
            <w:vAlign w:val="bottom"/>
          </w:tcPr>
          <w:p>
            <w:pPr>
              <w:spacing w:after="0"/>
              <w:rPr>
                <w:sz w:val="14"/>
                <w:szCs w:val="14"/>
                <w:color w:val="auto"/>
              </w:rPr>
            </w:pPr>
          </w:p>
        </w:tc>
        <w:tc>
          <w:tcPr>
            <w:tcW w:w="1320" w:type="dxa"/>
            <w:vAlign w:val="bottom"/>
          </w:tcPr>
          <w:p>
            <w:pPr>
              <w:jc w:val="right"/>
              <w:ind w:right="619"/>
              <w:spacing w:after="0" w:line="172" w:lineRule="exact"/>
              <w:rPr>
                <w:sz w:val="20"/>
                <w:szCs w:val="20"/>
                <w:color w:val="auto"/>
              </w:rPr>
            </w:pPr>
            <w:r>
              <w:rPr>
                <w:rFonts w:ascii="Arial" w:cs="Arial" w:eastAsia="Arial" w:hAnsi="Arial"/>
                <w:sz w:val="16"/>
                <w:szCs w:val="16"/>
                <w:b w:val="1"/>
                <w:bCs w:val="1"/>
                <w:color w:val="auto"/>
              </w:rPr>
              <w:t>High</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Indiana racing operations</w:t>
            </w:r>
          </w:p>
        </w:tc>
        <w:tc>
          <w:tcPr>
            <w:tcW w:w="1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0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Growth and renovation projects</w:t>
            </w:r>
          </w:p>
        </w:tc>
        <w:tc>
          <w:tcPr>
            <w:tcW w:w="14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1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Maintenance projects</w:t>
            </w:r>
          </w:p>
        </w:tc>
        <w:tc>
          <w:tcPr>
            <w:tcW w:w="1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2"/>
              </w:rPr>
              <w:t>Total estimated capital expenditures from unrestricted cash and insurance proceeds</w:t>
            </w:r>
          </w:p>
        </w:tc>
        <w:tc>
          <w:tcPr>
            <w:tcW w:w="1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w:t>
            </w:r>
          </w:p>
        </w:tc>
      </w:tr>
      <w:tr>
        <w:trPr>
          <w:trHeight w:val="206"/>
        </w:trPr>
        <w:tc>
          <w:tcPr>
            <w:tcW w:w="20" w:type="dxa"/>
            <w:vAlign w:val="bottom"/>
          </w:tcPr>
          <w:p>
            <w:pPr>
              <w:spacing w:after="0"/>
              <w:rPr>
                <w:sz w:val="17"/>
                <w:szCs w:val="17"/>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7"/>
          <w:szCs w:val="17"/>
          <w:color w:val="auto"/>
        </w:rPr>
        <w:t>A significant portion of our liquidity needs are for debt service and payments associated with our leases. Our estimated debt service (including principal and interest) is approximately $484 million for the remainder of 2022, excluding the early extinguishment of debt in July 2022, which we estimate would reduce our debt service payments for the remainder of 2022 by approximately $20 million based on projected rates as of June 30, 2022, for our variable rate debt subject to changes in LIBOR. We also lease certain real property assets from third parties, including VICI and GLPI. We estimate our lease payments to VICI and GLPI to be approximately $600 million for the remainder of 2022.</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periodically divests assets to raise capital or, in some cases, to comply with conditions, terms, obligations or restrictions imposed by antitrust, gaming and other regulatory entities.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5, 2022, the Company consummated the sale of the equity interests of Baton Rouge to CQ Holding Company, Inc., subject to a customary working capital adjustment.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If the agreed upon selling price for future divestitures does not exceed the carrying value of the assets, we may be required to record additional impairment charges in future periods which may be material.</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expect that our current liquidity, cash flows from operations, availability of borrowings under committed credit facilities and proceeds from the</w:t>
      </w:r>
      <w:r>
        <w:rPr>
          <w:rFonts w:ascii="Arial" w:cs="Arial" w:eastAsia="Arial" w:hAnsi="Arial"/>
          <w:sz w:val="17"/>
          <w:szCs w:val="17"/>
          <w:color w:val="auto"/>
        </w:rPr>
        <w:t xml:space="preserve"> </w:t>
      </w:r>
      <w:r>
        <w:rPr>
          <w:rFonts w:ascii="Arial" w:cs="Arial" w:eastAsia="Arial" w:hAnsi="Arial"/>
          <w:sz w:val="17"/>
          <w:szCs w:val="17"/>
          <w:color w:val="212529"/>
        </w:rPr>
        <w:t>announced asset sales will be sufficient to fund our operations, capital requirements and service our outstanding indebtedness for the next twelve months. However, we cannot be certain that the COVID-19 public health emergency will not adversely affect our business, financial condition and results of operations in the future, or cause disruption in the financial markets that could adversely affect ability to access additional capital.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CRC Credit Agreement, the CEI Revolving Credit Facility, the Baltimore Term Loan, the Baltimore Revolving Credit Facility and the indentures related to the CEI Senior Secured Notes, the CEI Senior Notes, the CRC Senior Secured Notes and the Senior Notes contain covenants which are standard and customary for these types of agreements.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Revolving Credit Facility and the CEI Revolving Credit Facility include a maximum first-priority net senior secured leverage ratio financial covenant of 6.35:1, which is applicable solely to the extent that certain testing conditions are satisfied. The Baltimore Revolving Credit Facility includes a senior secured leverage ratio financial covenant of 5.0:1. Failure to comply with such covenants could result in an acceleration of the maturity of indebtedness outstanding under the relevant debt document.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Leases and VICI Leases contain certain covenants requiring minimum capital expenditures based on a percentage of net revenues along with maintaining certain financial ratios.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Bridge Credit Agreement associated with the completed divestiture of William Hill International, which was presented within liabilities held for sale as of June 30, 2022, included a financial covenant requiring the Bridge Facility Borrower to comply with a maximum total net leverage ratio of 10.50 to 1.00. The borrowings under the Bridge Credit Agreement were guaranteed by the Bridge Facility Borrower and the Bridge Facility Borrower’s material wholly-owned subsidiaries (subject to exceptions), and were secured by a pledge of substantially all of the existing and future property and assets of the Bridge Facility Borrower and the guarantors (subject to exceptions). The outstanding debt under the Bridge Credit Agreement was fully repaid upon closing of the sale of William Hill International on July 1, 2022. Additionally, no financial covenants were related to the $850 million of debt from the two trust deeds assumed in the William Hill Acquisition, which are also held for sale as of June 30, 2022. The two trust deeds were included within liabilities held for sale, which were disposed of on July 1, 2022 with the completion of the sale of William Hill International.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33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 xml:space="preserve">As of June 30, 2022, we have acquired 223,823 shares of common stock under the program at an aggregate value of $9 million and an average of $40.80 per share. No shares were repurchased during the </w:t>
      </w:r>
      <w:r>
        <w:rPr>
          <w:rFonts w:ascii="Arial" w:cs="Arial" w:eastAsia="Arial" w:hAnsi="Arial"/>
          <w:sz w:val="18"/>
          <w:szCs w:val="18"/>
          <w:color w:val="212529"/>
        </w:rPr>
        <w:t>six months ended June 30, 2022</w:t>
      </w:r>
      <w:r>
        <w:rPr>
          <w:rFonts w:ascii="Arial" w:cs="Arial" w:eastAsia="Arial" w:hAnsi="Arial"/>
          <w:sz w:val="18"/>
          <w:szCs w:val="18"/>
          <w:color w:val="auto"/>
        </w:rPr>
        <w:t xml:space="preserve"> and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material changes during the six months ended June 30, 2022 to our contractual obligations as disclosed in Part II, Item 7 of our Annual Report on Form 10-K for the year ended December 31, 2021. See Note 8 to our unaudited Financial Statements, which is included elsewhere in this report, for additional information regarding contractual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faced with certain contingencies, from time to time, involving litigation, claims, assessments, environmental remediation or compliance. These commitments and contingencies are discussed in greater detail in “Part II, Item 1. Legal Proceedings” and Note 8 to our unaudited Financial Statements, both of which are included elsewhere in this report. In addition, new competition among retail and online operations may have a material adverse effect on our revenues and could have a similar adverse effect on our liquidity. See “Part I, Item 1A. Risk Factors—Risks Related to Our Business” which is included elsewhere in our Annual Report on Form 10-K for the year ended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2021. There have been no material changes since December 31, 2021. We have not substantively changed the application of our policies and there have been no material changes in assumptions or estimation techniques used as compared to those described in our Annual Report on Form 10-K for the year ended December 31, 2021.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and foreign exchange risks associated with certain transactions.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2022, long-term variable-rate borrowings totaled $6.5 billion under the CRC term loans and the Baltimore term loan and no amounts were outstanding under the CEI Revolving Credit Facility, CRC Revolving Credit Facility or Baltimore Revolving Credit Facility. Long-term variable-rate borrowings under the CRC term loans and the Baltimore term loan represented approximately 46% of consolidated long-term debt as of June 30, 2022. We have entered into four interest rate swap agreements to fix the interest rate on $1.3 billion of variable rate debt, and $5.2 billion of debt remains subject to variable interest rates for the term of the agreements. During the six months ended June 30, 2022, the weighted average interest rates on our variable and fixed rate debt were 4.07% and 6.40%, respectively.</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LIBOR was discontinued by lending institutions after December 31, 2021 for new debt agreements and after June 30, 2023 no additional LIBOR rates are expected to be available. We have variable rate debt instruments which are subject to LIBOR interest rates plus a margin or a base rate plus a margin. Our CRC term loans and CEI Revolving Credit Facility contain LIBOR replacement provisions in the event that LIBOR is no longer available. We intend to work with our lenders to ensure any transition away from LIBOR will have minimal impact on our financial condition, but can provide no assurances regarding the impact of the discontinuation of LIBOR. Our interest rate swaps mature on December 31, 2022.</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w:t>
      </w:r>
      <w:r>
        <w:rPr>
          <w:rFonts w:ascii="Arial" w:cs="Arial" w:eastAsia="Arial" w:hAnsi="Arial"/>
          <w:sz w:val="17"/>
          <w:szCs w:val="17"/>
          <w:color w:val="212529"/>
        </w:rPr>
        <w:t>he Company has entered into foreign exchange forward contracts with third parties to hedge the risk of fluctuations in the foreign exchange rates between</w:t>
      </w:r>
      <w:r>
        <w:rPr>
          <w:rFonts w:ascii="Arial" w:cs="Arial" w:eastAsia="Arial" w:hAnsi="Arial"/>
          <w:sz w:val="17"/>
          <w:szCs w:val="17"/>
          <w:color w:val="auto"/>
        </w:rPr>
        <w:t xml:space="preserve"> </w:t>
      </w:r>
      <w:r>
        <w:rPr>
          <w:rFonts w:ascii="Arial" w:cs="Arial" w:eastAsia="Arial" w:hAnsi="Arial"/>
          <w:sz w:val="17"/>
          <w:szCs w:val="17"/>
          <w:color w:val="212529"/>
        </w:rPr>
        <w:t xml:space="preserve">USD and GBP. As of June 30, 2022 the Company has one contract related to the expected proceeds of the sale of the international operations. During the </w:t>
      </w:r>
      <w:r>
        <w:rPr>
          <w:rFonts w:ascii="Arial" w:cs="Arial" w:eastAsia="Arial" w:hAnsi="Arial"/>
          <w:sz w:val="17"/>
          <w:szCs w:val="17"/>
          <w:color w:val="000000"/>
        </w:rPr>
        <w:t xml:space="preserve">three </w:t>
      </w:r>
      <w:r>
        <w:rPr>
          <w:rFonts w:ascii="Arial" w:cs="Arial" w:eastAsia="Arial" w:hAnsi="Arial"/>
          <w:sz w:val="17"/>
          <w:szCs w:val="17"/>
          <w:color w:val="212529"/>
        </w:rPr>
        <w:t>months ended</w:t>
      </w:r>
      <w:r>
        <w:rPr>
          <w:rFonts w:ascii="Arial" w:cs="Arial" w:eastAsia="Arial" w:hAnsi="Arial"/>
          <w:sz w:val="17"/>
          <w:szCs w:val="17"/>
          <w:color w:val="000000"/>
        </w:rPr>
        <w:t xml:space="preserve"> June 30, 2022 and 2021, the Company </w:t>
      </w:r>
      <w:r>
        <w:rPr>
          <w:rFonts w:ascii="Arial" w:cs="Arial" w:eastAsia="Arial" w:hAnsi="Arial"/>
          <w:sz w:val="17"/>
          <w:szCs w:val="17"/>
          <w:color w:val="212529"/>
        </w:rPr>
        <w:t>recorded total gains of $55 million and $9 million, respectively,</w:t>
      </w:r>
      <w:r>
        <w:rPr>
          <w:rFonts w:ascii="Arial" w:cs="Arial" w:eastAsia="Arial" w:hAnsi="Arial"/>
          <w:sz w:val="17"/>
          <w:szCs w:val="17"/>
          <w:color w:val="000000"/>
        </w:rPr>
        <w:t xml:space="preserve"> and $76 million and $10 million for the six months ended June 30, 2022 and 2021, respectively, related to forward contracts. The remaining </w:t>
      </w:r>
      <w:r>
        <w:rPr>
          <w:rFonts w:ascii="Arial" w:cs="Arial" w:eastAsia="Arial" w:hAnsi="Arial"/>
          <w:sz w:val="17"/>
          <w:szCs w:val="17"/>
          <w:color w:val="212529"/>
        </w:rPr>
        <w:t>forward contract was settled in connection with</w:t>
      </w:r>
      <w:r>
        <w:rPr>
          <w:rFonts w:ascii="Arial" w:cs="Arial" w:eastAsia="Arial" w:hAnsi="Arial"/>
          <w:sz w:val="17"/>
          <w:szCs w:val="17"/>
          <w:color w:val="000000"/>
        </w:rPr>
        <w:t xml:space="preserve"> </w:t>
      </w:r>
      <w:r>
        <w:rPr>
          <w:rFonts w:ascii="Arial" w:cs="Arial" w:eastAsia="Arial" w:hAnsi="Arial"/>
          <w:sz w:val="17"/>
          <w:szCs w:val="17"/>
          <w:color w:val="212529"/>
        </w:rPr>
        <w:t>the completion of the sale of William Hill International on July 1, 2022.</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There were no other material quantitative changes in our market risk exposure, or how such risks are managed, for the six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Except as noted below, 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in the process of integrating William Hill US into our internal controls over financial reporting. As a result of these integration activities, certain controls will be evaluated and may be changed.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Excluding the William Hill Acquisition, there were no changes in our internal controls over financial reporting during the three months ended June 30, 2022 that have materially affected, or are reasonably likely to materially affect, our internal controls over financial reporting.</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Legal Proceedings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our “Legal Proceedings,” refer to Note 8 to our Consolidated Condensed Financial Statements located elsewhere in this Quarterly Report on Form 10-Q and Note 11 to our Consolidated Financial Statements included in our Annual Report on Form 10-K for the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Cautionary Statements Regarding Forward-Looking Information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on our business and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74" w:lineRule="exact"/>
        <w:rPr>
          <w:rFonts w:ascii="Arial" w:cs="Arial" w:eastAsia="Arial" w:hAnsi="Arial"/>
          <w:sz w:val="17"/>
          <w:szCs w:val="17"/>
          <w:color w:val="auto"/>
        </w:rPr>
      </w:pPr>
    </w:p>
    <w:p>
      <w:pPr>
        <w:ind w:left="660" w:hanging="652"/>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additional acquisitions and divestitures;</w:t>
      </w:r>
    </w:p>
    <w:p>
      <w:pPr>
        <w:spacing w:after="0" w:line="63" w:lineRule="exact"/>
        <w:rPr>
          <w:rFonts w:ascii="Arial" w:cs="Arial" w:eastAsia="Arial" w:hAnsi="Arial"/>
          <w:sz w:val="18"/>
          <w:szCs w:val="18"/>
          <w:color w:val="auto"/>
        </w:rPr>
      </w:pPr>
    </w:p>
    <w:p>
      <w:pPr>
        <w:ind w:left="660" w:hanging="652"/>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 and</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factors impacting our ability to successfully operate our digital betting and iGaming platform and expand its user base.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that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These risks and uncertainties include: (a) the extent and duration of the impact of COVID-19, inflation, increased fuel prices, supply chain shortages, labor shortages and other economic and market conditions, including changes in consumer discretionary spending resulting from such factors, on our business, financial results and liquidity; (b) our ability to successfully operate our digital betting and iGaming platform and expand its user base; (c) risks associated with our leverage and our ability to reduce our leverage; (d) the effects of competition, including new competition in certain of our markets, on our business and results of operations; and (e) additional factors discussed in the sections entitled “Risk Factors” and “Management’s Discussion and Analysis of Financial Condition and Results of Operations” contained in this Quarterly Report on Form 10-Q and our most recent Annual Reports on Form 10-K as filed with the Securities and Exchange Commission. Actual results may differ materially from any future results, performance or achievements expressed or implied by such statements and forward-looking statements should not be regarded as a representation by us or any other person that the forward-looking statements will be achieved.</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these forward-looking statements speak only as of the date on which the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To the extent that reports issued by securities analysts contain projections, forecasts or opinions, those reports are not our responsibility and are not endorsed by us.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1A. Risk Factors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10-K for the year ended December 31, 2021. There have been no material changes to those risk factors during the six months ended June 30, 2022.</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5.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5" w:name="page56"/>
    <w:bookmarkEnd w:id="55"/>
    <w:p>
      <w:pPr>
        <w:spacing w:after="0"/>
        <w:rPr>
          <w:sz w:val="20"/>
          <w:szCs w:val="20"/>
          <w:color w:val="auto"/>
        </w:rPr>
      </w:pPr>
      <w:r>
        <w:rPr>
          <w:rFonts w:ascii="Arial" w:cs="Arial" w:eastAsia="Arial" w:hAnsi="Arial"/>
          <w:sz w:val="19"/>
          <w:szCs w:val="19"/>
          <w:b w:val="1"/>
          <w:bCs w:val="1"/>
          <w:color w:val="BF2115"/>
        </w:rPr>
        <w:t>Item 6. Exhibits</w:t>
      </w:r>
    </w:p>
    <w:p>
      <w:pPr>
        <w:sectPr>
          <w:pgSz w:w="11900" w:h="16838" w:orient="portrait"/>
          <w:cols w:equalWidth="0" w:num="1">
            <w:col w:w="11200"/>
          </w:cols>
          <w:pgMar w:left="320" w:top="1314" w:right="37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972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3.1</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3.2</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10.1</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31.1</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31.2</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32.1</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32.2</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99.1</w:t>
      </w:r>
    </w:p>
    <w:p>
      <w:pPr>
        <w:spacing w:after="0" w:line="100"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101.1</w:t>
      </w:r>
    </w:p>
    <w:p>
      <w:pPr>
        <w:spacing w:after="0" w:line="11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101.2</w:t>
      </w:r>
    </w:p>
    <w:p>
      <w:pPr>
        <w:spacing w:after="0" w:line="11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101.3</w:t>
      </w:r>
    </w:p>
    <w:p>
      <w:pPr>
        <w:spacing w:after="0" w:line="11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101.4</w:t>
      </w:r>
    </w:p>
    <w:p>
      <w:pPr>
        <w:spacing w:after="0" w:line="11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101.5</w:t>
      </w:r>
    </w:p>
    <w:p>
      <w:pPr>
        <w:spacing w:after="0" w:line="11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101.6</w:t>
      </w:r>
    </w:p>
    <w:p>
      <w:pPr>
        <w:spacing w:after="0" w:line="11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20" w:type="dxa"/>
            <w:vAlign w:val="bottom"/>
            <w:tcBorders>
              <w:bottom w:val="single" w:sz="8" w:color="auto"/>
            </w:tcBorders>
            <w:gridSpan w:val="10"/>
          </w:tcPr>
          <w:p>
            <w:pPr>
              <w:ind w:left="3240"/>
              <w:spacing w:after="0"/>
              <w:rPr>
                <w:sz w:val="20"/>
                <w:szCs w:val="20"/>
                <w:color w:val="auto"/>
              </w:rPr>
            </w:pPr>
            <w:r>
              <w:rPr>
                <w:rFonts w:ascii="Arial" w:cs="Arial" w:eastAsia="Arial" w:hAnsi="Arial"/>
                <w:sz w:val="16"/>
                <w:szCs w:val="16"/>
                <w:b w:val="1"/>
                <w:bCs w:val="1"/>
                <w:color w:val="auto"/>
              </w:rPr>
              <w:t>Description of Exhibit</w:t>
            </w:r>
          </w:p>
        </w:tc>
        <w:tc>
          <w:tcPr>
            <w:tcW w:w="100" w:type="dxa"/>
            <w:vAlign w:val="bottom"/>
          </w:tcPr>
          <w:p>
            <w:pPr>
              <w:spacing w:after="0"/>
              <w:rPr>
                <w:sz w:val="19"/>
                <w:szCs w:val="19"/>
                <w:color w:val="auto"/>
              </w:rPr>
            </w:pPr>
          </w:p>
        </w:tc>
        <w:tc>
          <w:tcPr>
            <w:tcW w:w="22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Method of Filing</w:t>
            </w:r>
          </w:p>
        </w:tc>
        <w:tc>
          <w:tcPr>
            <w:tcW w:w="0" w:type="dxa"/>
            <w:vAlign w:val="bottom"/>
          </w:tcPr>
          <w:p>
            <w:pPr>
              <w:spacing w:after="0"/>
              <w:rPr>
                <w:sz w:val="1"/>
                <w:szCs w:val="1"/>
                <w:color w:val="auto"/>
              </w:rPr>
            </w:pPr>
          </w:p>
        </w:tc>
      </w:tr>
      <w:tr>
        <w:trPr>
          <w:trHeight w:val="219"/>
        </w:trPr>
        <w:tc>
          <w:tcPr>
            <w:tcW w:w="8120" w:type="dxa"/>
            <w:vAlign w:val="bottom"/>
            <w:gridSpan w:val="11"/>
          </w:tcPr>
          <w:p>
            <w:pPr>
              <w:ind w:left="20"/>
              <w:spacing w:after="0"/>
              <w:rPr>
                <w:rFonts w:ascii="Arial" w:cs="Arial" w:eastAsia="Arial" w:hAnsi="Arial"/>
                <w:sz w:val="16"/>
                <w:szCs w:val="16"/>
                <w:color w:val="0000FF"/>
              </w:rPr>
            </w:pPr>
            <w:hyperlink r:id="rId76">
              <w:r>
                <w:rPr>
                  <w:rFonts w:ascii="Arial" w:cs="Arial" w:eastAsia="Arial" w:hAnsi="Arial"/>
                  <w:sz w:val="16"/>
                  <w:szCs w:val="16"/>
                  <w:color w:val="0000FF"/>
                </w:rPr>
                <w:t>Composite Certificate of Incorporation of Caesars Entertainment, Inc.</w:t>
              </w:r>
            </w:hyperlink>
          </w:p>
        </w:tc>
        <w:tc>
          <w:tcPr>
            <w:tcW w:w="2200" w:type="dxa"/>
            <w:vAlign w:val="bottom"/>
          </w:tcPr>
          <w:p>
            <w:pPr>
              <w:ind w:left="20"/>
              <w:spacing w:after="0"/>
              <w:rPr>
                <w:sz w:val="20"/>
                <w:szCs w:val="20"/>
                <w:color w:val="auto"/>
              </w:rPr>
            </w:pPr>
            <w:r>
              <w:rPr>
                <w:rFonts w:ascii="Arial" w:cs="Arial" w:eastAsia="Arial" w:hAnsi="Arial"/>
                <w:sz w:val="16"/>
                <w:szCs w:val="16"/>
                <w:color w:val="auto"/>
              </w:rPr>
              <w:t>Previously filed on Form 10-Q</w:t>
            </w:r>
          </w:p>
        </w:tc>
        <w:tc>
          <w:tcPr>
            <w:tcW w:w="0" w:type="dxa"/>
            <w:vAlign w:val="bottom"/>
          </w:tcPr>
          <w:p>
            <w:pPr>
              <w:spacing w:after="0"/>
              <w:rPr>
                <w:sz w:val="1"/>
                <w:szCs w:val="1"/>
                <w:color w:val="auto"/>
              </w:rPr>
            </w:pPr>
          </w:p>
        </w:tc>
      </w:tr>
      <w:tr>
        <w:trPr>
          <w:trHeight w:val="179"/>
        </w:trPr>
        <w:tc>
          <w:tcPr>
            <w:tcW w:w="37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ind w:left="20"/>
              <w:spacing w:after="0" w:line="179" w:lineRule="exact"/>
              <w:rPr>
                <w:sz w:val="20"/>
                <w:szCs w:val="20"/>
                <w:color w:val="auto"/>
              </w:rPr>
            </w:pPr>
            <w:r>
              <w:rPr>
                <w:rFonts w:ascii="Arial" w:cs="Arial" w:eastAsia="Arial" w:hAnsi="Arial"/>
                <w:sz w:val="16"/>
                <w:szCs w:val="16"/>
                <w:color w:val="auto"/>
              </w:rPr>
              <w:t>filed on August 4, 2021.</w:t>
            </w:r>
          </w:p>
        </w:tc>
        <w:tc>
          <w:tcPr>
            <w:tcW w:w="0" w:type="dxa"/>
            <w:vAlign w:val="bottom"/>
          </w:tcPr>
          <w:p>
            <w:pPr>
              <w:spacing w:after="0"/>
              <w:rPr>
                <w:sz w:val="1"/>
                <w:szCs w:val="1"/>
                <w:color w:val="auto"/>
              </w:rPr>
            </w:pPr>
          </w:p>
        </w:tc>
      </w:tr>
      <w:tr>
        <w:trPr>
          <w:trHeight w:val="233"/>
        </w:trPr>
        <w:tc>
          <w:tcPr>
            <w:tcW w:w="8120" w:type="dxa"/>
            <w:vAlign w:val="bottom"/>
            <w:gridSpan w:val="11"/>
          </w:tcPr>
          <w:p>
            <w:pPr>
              <w:ind w:left="20"/>
              <w:spacing w:after="0"/>
              <w:rPr>
                <w:rFonts w:ascii="Arial" w:cs="Arial" w:eastAsia="Arial" w:hAnsi="Arial"/>
                <w:sz w:val="16"/>
                <w:szCs w:val="16"/>
                <w:color w:val="0000FF"/>
              </w:rPr>
            </w:pPr>
            <w:hyperlink r:id="rId77">
              <w:r>
                <w:rPr>
                  <w:rFonts w:ascii="Arial" w:cs="Arial" w:eastAsia="Arial" w:hAnsi="Arial"/>
                  <w:sz w:val="16"/>
                  <w:szCs w:val="16"/>
                  <w:color w:val="0000FF"/>
                </w:rPr>
                <w:t>Amended and Restated Bylaws of Caesars Entertainment, Inc.</w:t>
              </w:r>
            </w:hyperlink>
          </w:p>
        </w:tc>
        <w:tc>
          <w:tcPr>
            <w:tcW w:w="2200" w:type="dxa"/>
            <w:vAlign w:val="bottom"/>
          </w:tcPr>
          <w:p>
            <w:pPr>
              <w:ind w:left="20"/>
              <w:spacing w:after="0"/>
              <w:rPr>
                <w:sz w:val="20"/>
                <w:szCs w:val="20"/>
                <w:color w:val="auto"/>
              </w:rPr>
            </w:pPr>
            <w:r>
              <w:rPr>
                <w:rFonts w:ascii="Arial" w:cs="Arial" w:eastAsia="Arial" w:hAnsi="Arial"/>
                <w:sz w:val="16"/>
                <w:szCs w:val="16"/>
                <w:color w:val="auto"/>
              </w:rPr>
              <w:t>Previously filed on Form 8-K</w:t>
            </w:r>
          </w:p>
        </w:tc>
        <w:tc>
          <w:tcPr>
            <w:tcW w:w="0" w:type="dxa"/>
            <w:vAlign w:val="bottom"/>
          </w:tcPr>
          <w:p>
            <w:pPr>
              <w:spacing w:after="0"/>
              <w:rPr>
                <w:sz w:val="1"/>
                <w:szCs w:val="1"/>
                <w:color w:val="auto"/>
              </w:rPr>
            </w:pPr>
          </w:p>
        </w:tc>
      </w:tr>
      <w:tr>
        <w:trPr>
          <w:trHeight w:val="179"/>
        </w:trPr>
        <w:tc>
          <w:tcPr>
            <w:tcW w:w="37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ind w:left="20"/>
              <w:spacing w:after="0" w:line="179" w:lineRule="exact"/>
              <w:rPr>
                <w:sz w:val="20"/>
                <w:szCs w:val="20"/>
                <w:color w:val="auto"/>
              </w:rPr>
            </w:pPr>
            <w:r>
              <w:rPr>
                <w:rFonts w:ascii="Arial" w:cs="Arial" w:eastAsia="Arial" w:hAnsi="Arial"/>
                <w:sz w:val="16"/>
                <w:szCs w:val="16"/>
                <w:color w:val="auto"/>
              </w:rPr>
              <w:t>filed on August 1, 2022.</w:t>
            </w:r>
          </w:p>
        </w:tc>
        <w:tc>
          <w:tcPr>
            <w:tcW w:w="0" w:type="dxa"/>
            <w:vAlign w:val="bottom"/>
          </w:tcPr>
          <w:p>
            <w:pPr>
              <w:spacing w:after="0"/>
              <w:rPr>
                <w:sz w:val="1"/>
                <w:szCs w:val="1"/>
                <w:color w:val="auto"/>
              </w:rPr>
            </w:pPr>
          </w:p>
        </w:tc>
      </w:tr>
      <w:tr>
        <w:trPr>
          <w:trHeight w:val="239"/>
        </w:trPr>
        <w:tc>
          <w:tcPr>
            <w:tcW w:w="7700" w:type="dxa"/>
            <w:vAlign w:val="bottom"/>
            <w:tcBorders>
              <w:bottom w:val="single" w:sz="8" w:color="0000FF"/>
            </w:tcBorders>
            <w:gridSpan w:val="8"/>
          </w:tcPr>
          <w:p>
            <w:pPr>
              <w:ind w:left="20"/>
              <w:spacing w:after="0"/>
              <w:rPr>
                <w:rFonts w:ascii="Arial" w:cs="Arial" w:eastAsia="Arial" w:hAnsi="Arial"/>
                <w:sz w:val="16"/>
                <w:szCs w:val="16"/>
                <w:color w:val="0000FF"/>
                <w:w w:val="90"/>
              </w:rPr>
            </w:pPr>
            <w:hyperlink w:anchor="page58">
              <w:r>
                <w:rPr>
                  <w:rFonts w:ascii="Arial" w:cs="Arial" w:eastAsia="Arial" w:hAnsi="Arial"/>
                  <w:sz w:val="16"/>
                  <w:szCs w:val="16"/>
                  <w:color w:val="0000FF"/>
                  <w:w w:val="90"/>
                </w:rPr>
                <w:t>Second Amendment to Credit Agreement, dated as of June 22, 2022, by and among Caesars Cayman Finance Limited,</w:t>
              </w:r>
            </w:hyperlink>
          </w:p>
        </w:tc>
        <w:tc>
          <w:tcPr>
            <w:tcW w:w="420" w:type="dxa"/>
            <w:vAlign w:val="bottom"/>
            <w:gridSpan w:val="3"/>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69"/>
        </w:trPr>
        <w:tc>
          <w:tcPr>
            <w:tcW w:w="8120" w:type="dxa"/>
            <w:vAlign w:val="bottom"/>
            <w:gridSpan w:val="11"/>
          </w:tcPr>
          <w:p>
            <w:pPr>
              <w:ind w:left="20"/>
              <w:spacing w:after="0" w:line="169" w:lineRule="exact"/>
              <w:rPr>
                <w:rFonts w:ascii="Arial" w:cs="Arial" w:eastAsia="Arial" w:hAnsi="Arial"/>
                <w:sz w:val="16"/>
                <w:szCs w:val="16"/>
                <w:color w:val="0000FF"/>
                <w:w w:val="94"/>
              </w:rPr>
            </w:pPr>
            <w:hyperlink w:anchor="page58">
              <w:r>
                <w:rPr>
                  <w:rFonts w:ascii="Arial" w:cs="Arial" w:eastAsia="Arial" w:hAnsi="Arial"/>
                  <w:sz w:val="16"/>
                  <w:szCs w:val="16"/>
                  <w:color w:val="0000FF"/>
                  <w:w w:val="94"/>
                </w:rPr>
                <w:t>Caesars UK Holdings Limited, the lenders party thereto and Deutsche Bank AG, London Branch, as administrative agent.</w:t>
              </w:r>
            </w:hyperlink>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7900" w:type="dxa"/>
            <w:vAlign w:val="bottom"/>
            <w:tcBorders>
              <w:top w:val="single" w:sz="8" w:color="0000FF"/>
            </w:tcBorders>
            <w:gridSpan w:val="9"/>
          </w:tcPr>
          <w:p>
            <w:pPr>
              <w:ind w:left="20"/>
              <w:spacing w:after="0"/>
              <w:rPr>
                <w:rFonts w:ascii="Arial" w:cs="Arial" w:eastAsia="Arial" w:hAnsi="Arial"/>
                <w:sz w:val="16"/>
                <w:szCs w:val="16"/>
                <w:color w:val="0000FF"/>
              </w:rPr>
            </w:pPr>
            <w:hyperlink w:anchor="page68">
              <w:r>
                <w:rPr>
                  <w:rFonts w:ascii="Arial" w:cs="Arial" w:eastAsia="Arial" w:hAnsi="Arial"/>
                  <w:sz w:val="16"/>
                  <w:szCs w:val="16"/>
                  <w:color w:val="0000FF"/>
                </w:rPr>
                <w:t>Certification of Thomas R. Reeg pursuant to Rule 13a-14a and Rule 15d-14(a)</w:t>
              </w:r>
            </w:hyperlink>
          </w:p>
        </w:tc>
        <w:tc>
          <w:tcPr>
            <w:tcW w:w="220" w:type="dxa"/>
            <w:vAlign w:val="bottom"/>
            <w:gridSpan w:val="2"/>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7"/>
        </w:trPr>
        <w:tc>
          <w:tcPr>
            <w:tcW w:w="5100" w:type="dxa"/>
            <w:vAlign w:val="bottom"/>
            <w:tcBorders>
              <w:top w:val="single" w:sz="8" w:color="0000FF"/>
            </w:tcBorders>
            <w:gridSpan w:val="7"/>
          </w:tcPr>
          <w:p>
            <w:pPr>
              <w:ind w:left="20"/>
              <w:spacing w:after="0"/>
              <w:rPr>
                <w:rFonts w:ascii="Arial" w:cs="Arial" w:eastAsia="Arial" w:hAnsi="Arial"/>
                <w:sz w:val="16"/>
                <w:szCs w:val="16"/>
                <w:color w:val="0000FF"/>
                <w:w w:val="97"/>
              </w:rPr>
            </w:pPr>
            <w:hyperlink w:anchor="page69">
              <w:r>
                <w:rPr>
                  <w:rFonts w:ascii="Arial" w:cs="Arial" w:eastAsia="Arial" w:hAnsi="Arial"/>
                  <w:sz w:val="16"/>
                  <w:szCs w:val="16"/>
                  <w:color w:val="0000FF"/>
                  <w:w w:val="97"/>
                </w:rPr>
                <w:t>Certification of Bret Yunker pursuant to Rule 13a-14a and Rule 15d-14(a)</w:t>
              </w:r>
            </w:hyperlink>
          </w:p>
        </w:tc>
        <w:tc>
          <w:tcPr>
            <w:tcW w:w="3020" w:type="dxa"/>
            <w:vAlign w:val="bottom"/>
            <w:gridSpan w:val="4"/>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
        </w:trPr>
        <w:tc>
          <w:tcPr>
            <w:tcW w:w="37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200" w:type="dxa"/>
            <w:vAlign w:val="bottom"/>
            <w:vMerge w:val="restart"/>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line="20" w:lineRule="exact"/>
              <w:rPr>
                <w:sz w:val="1"/>
                <w:szCs w:val="1"/>
                <w:color w:val="auto"/>
              </w:rPr>
            </w:pPr>
          </w:p>
        </w:tc>
      </w:tr>
      <w:tr>
        <w:trPr>
          <w:trHeight w:val="277"/>
        </w:trPr>
        <w:tc>
          <w:tcPr>
            <w:tcW w:w="8120" w:type="dxa"/>
            <w:vAlign w:val="bottom"/>
            <w:gridSpan w:val="11"/>
          </w:tcPr>
          <w:p>
            <w:pPr>
              <w:ind w:left="20"/>
              <w:spacing w:after="0"/>
              <w:rPr>
                <w:rFonts w:ascii="Arial" w:cs="Arial" w:eastAsia="Arial" w:hAnsi="Arial"/>
                <w:sz w:val="16"/>
                <w:szCs w:val="16"/>
                <w:color w:val="0000FF"/>
              </w:rPr>
            </w:pPr>
            <w:hyperlink w:anchor="page70">
              <w:r>
                <w:rPr>
                  <w:rFonts w:ascii="Arial" w:cs="Arial" w:eastAsia="Arial" w:hAnsi="Arial"/>
                  <w:sz w:val="16"/>
                  <w:szCs w:val="16"/>
                  <w:color w:val="0000FF"/>
                </w:rPr>
                <w:t>Certification of Thomas R. Reeg in accordance with 18 U.S.C. Section 1350</w:t>
              </w:r>
            </w:hyperlink>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60" w:type="dxa"/>
            <w:vAlign w:val="bottom"/>
            <w:tcBorders>
              <w:top w:val="single" w:sz="8" w:color="0000FF"/>
            </w:tcBorders>
            <w:gridSpan w:val="6"/>
          </w:tcPr>
          <w:p>
            <w:pPr>
              <w:ind w:left="20"/>
              <w:spacing w:after="0"/>
              <w:rPr>
                <w:rFonts w:ascii="Arial" w:cs="Arial" w:eastAsia="Arial" w:hAnsi="Arial"/>
                <w:sz w:val="16"/>
                <w:szCs w:val="16"/>
                <w:color w:val="0000FF"/>
                <w:w w:val="98"/>
              </w:rPr>
            </w:pPr>
            <w:hyperlink w:anchor="page71">
              <w:r>
                <w:rPr>
                  <w:rFonts w:ascii="Arial" w:cs="Arial" w:eastAsia="Arial" w:hAnsi="Arial"/>
                  <w:sz w:val="16"/>
                  <w:szCs w:val="16"/>
                  <w:color w:val="0000FF"/>
                  <w:w w:val="98"/>
                </w:rPr>
                <w:t>Certification of Bret Yunker in accordance with 18 U.S.C. Section 1350</w:t>
              </w:r>
            </w:hyperlink>
          </w:p>
        </w:tc>
        <w:tc>
          <w:tcPr>
            <w:tcW w:w="3160" w:type="dxa"/>
            <w:vAlign w:val="bottom"/>
            <w:gridSpan w:val="5"/>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7"/>
        </w:trPr>
        <w:tc>
          <w:tcPr>
            <w:tcW w:w="3720" w:type="dxa"/>
            <w:vAlign w:val="bottom"/>
            <w:tcBorders>
              <w:top w:val="single" w:sz="8" w:color="0000FF"/>
              <w:bottom w:val="single" w:sz="8" w:color="0000FF"/>
            </w:tcBorders>
          </w:tcPr>
          <w:p>
            <w:pPr>
              <w:ind w:left="20"/>
              <w:spacing w:after="0"/>
              <w:rPr>
                <w:rFonts w:ascii="Arial" w:cs="Arial" w:eastAsia="Arial" w:hAnsi="Arial"/>
                <w:sz w:val="16"/>
                <w:szCs w:val="16"/>
                <w:color w:val="0000FF"/>
                <w:w w:val="93"/>
              </w:rPr>
            </w:pPr>
            <w:hyperlink w:anchor="page72">
              <w:r>
                <w:rPr>
                  <w:rFonts w:ascii="Arial" w:cs="Arial" w:eastAsia="Arial" w:hAnsi="Arial"/>
                  <w:sz w:val="16"/>
                  <w:szCs w:val="16"/>
                  <w:color w:val="0000FF"/>
                  <w:w w:val="93"/>
                </w:rPr>
                <w:t>Financial Information of Caesars Resort Collection, LLC</w:t>
              </w:r>
            </w:hyperlink>
          </w:p>
        </w:tc>
        <w:tc>
          <w:tcPr>
            <w:tcW w:w="940" w:type="dxa"/>
            <w:vAlign w:val="bottom"/>
            <w:tcBorders>
              <w:top w:val="single" w:sz="8" w:color="0000FF"/>
            </w:tcBorders>
            <w:gridSpan w:val="3"/>
          </w:tcPr>
          <w:p>
            <w:pPr>
              <w:spacing w:after="0"/>
              <w:rPr>
                <w:sz w:val="24"/>
                <w:szCs w:val="24"/>
                <w:color w:val="auto"/>
              </w:rPr>
            </w:pPr>
          </w:p>
        </w:tc>
        <w:tc>
          <w:tcPr>
            <w:tcW w:w="3460" w:type="dxa"/>
            <w:vAlign w:val="bottom"/>
            <w:gridSpan w:val="7"/>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312"/>
        </w:trPr>
        <w:tc>
          <w:tcPr>
            <w:tcW w:w="8120" w:type="dxa"/>
            <w:vAlign w:val="bottom"/>
            <w:gridSpan w:val="11"/>
          </w:tcPr>
          <w:p>
            <w:pPr>
              <w:ind w:left="20"/>
              <w:spacing w:after="0"/>
              <w:rPr>
                <w:sz w:val="20"/>
                <w:szCs w:val="20"/>
                <w:color w:val="auto"/>
              </w:rPr>
            </w:pPr>
            <w:r>
              <w:rPr>
                <w:rFonts w:ascii="Arial" w:cs="Arial" w:eastAsia="Arial" w:hAnsi="Arial"/>
                <w:sz w:val="16"/>
                <w:szCs w:val="16"/>
                <w:color w:val="auto"/>
              </w:rPr>
              <w:t>Inline XBRL Instance Document</w:t>
            </w: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8120" w:type="dxa"/>
            <w:vAlign w:val="bottom"/>
            <w:gridSpan w:val="11"/>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8120" w:type="dxa"/>
            <w:vAlign w:val="bottom"/>
            <w:gridSpan w:val="11"/>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8120" w:type="dxa"/>
            <w:vAlign w:val="bottom"/>
            <w:gridSpan w:val="11"/>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8120" w:type="dxa"/>
            <w:vAlign w:val="bottom"/>
            <w:gridSpan w:val="11"/>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8120" w:type="dxa"/>
            <w:vAlign w:val="bottom"/>
            <w:gridSpan w:val="11"/>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8120" w:type="dxa"/>
            <w:vAlign w:val="bottom"/>
            <w:gridSpan w:val="11"/>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2200" w:type="dxa"/>
            <w:vAlign w:val="bottom"/>
          </w:tcPr>
          <w:p>
            <w:pPr>
              <w:ind w:left="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 w:space="220"/>
            <w:col w:w="10320"/>
          </w:cols>
          <w:pgMar w:left="320" w:top="1314" w:right="37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4" w:right="379" w:bottom="1440" w:gutter="0" w:footer="0" w:header="0"/>
          <w:type w:val="continuous"/>
        </w:sectPr>
      </w:pPr>
    </w:p>
    <w:bookmarkStart w:id="56" w:name="page57"/>
    <w:bookmarkEnd w:id="56"/>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80"/>
          </w:cols>
          <w:pgMar w:left="320" w:top="1440"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color w:val="auto"/>
        </w:rPr>
        <w:t>Exhibit 10.1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CREDIT AGREEMENT</w:t>
      </w:r>
    </w:p>
    <w:p>
      <w:pPr>
        <w:spacing w:after="0" w:line="175"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19"/>
          <w:szCs w:val="19"/>
          <w:color w:val="auto"/>
        </w:rPr>
        <w:t>SECOND AMENDMENT TO CREDIT AGREEMENT, dated as of June 22, 2022 (this “</w:t>
      </w:r>
      <w:r>
        <w:rPr>
          <w:rFonts w:ascii="Arial" w:cs="Arial" w:eastAsia="Arial" w:hAnsi="Arial"/>
          <w:sz w:val="19"/>
          <w:szCs w:val="19"/>
          <w:b w:val="1"/>
          <w:bCs w:val="1"/>
          <w:color w:val="auto"/>
        </w:rPr>
        <w:t>Agreement</w:t>
      </w:r>
      <w:r>
        <w:rPr>
          <w:rFonts w:ascii="Arial" w:cs="Arial" w:eastAsia="Arial" w:hAnsi="Arial"/>
          <w:sz w:val="19"/>
          <w:szCs w:val="19"/>
          <w:color w:val="auto"/>
        </w:rPr>
        <w:t>”), by and among CAESARS CAYMAN FINANCE LIMITED, an exempted company incorporated with limited liability in the Cayman Islands (the “</w:t>
      </w:r>
      <w:r>
        <w:rPr>
          <w:rFonts w:ascii="Arial" w:cs="Arial" w:eastAsia="Arial" w:hAnsi="Arial"/>
          <w:sz w:val="19"/>
          <w:szCs w:val="19"/>
          <w:b w:val="1"/>
          <w:bCs w:val="1"/>
          <w:color w:val="auto"/>
        </w:rPr>
        <w:t>Borrower</w:t>
      </w:r>
      <w:r>
        <w:rPr>
          <w:rFonts w:ascii="Arial" w:cs="Arial" w:eastAsia="Arial" w:hAnsi="Arial"/>
          <w:sz w:val="19"/>
          <w:szCs w:val="19"/>
          <w:color w:val="auto"/>
        </w:rPr>
        <w:t>”), the Lenders party hereto and the Administrative Agent (as defined below), relating to the Credit Agreement dated as of April 22, 2021 (as amended by that certain First Amendment to Credit Agreement, dated as of June 14, 2021 and as it may be further amended, restated, supplemented, waived or otherwise modified from time to time prior to the date hereof,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and the Existing Credit Agreement as amended by this Agreement and as it may be further amended, restated, supplemented, waived 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by and among the Borrower, the Lenders party thereto from time to time and DEUTSCHE BANK AG, LONDON BRANCH, as administrative agent for the Lenders (together with its successors and assigns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collateral agent for the Secured Parties (together with its successors and assigns in such capacity, the “</w:t>
      </w:r>
      <w:r>
        <w:rPr>
          <w:rFonts w:ascii="Arial" w:cs="Arial" w:eastAsia="Arial" w:hAnsi="Arial"/>
          <w:sz w:val="19"/>
          <w:szCs w:val="19"/>
          <w:b w:val="1"/>
          <w:bCs w:val="1"/>
          <w:color w:val="auto"/>
        </w:rPr>
        <w:t>Collateral Agent</w:t>
      </w:r>
      <w:r>
        <w:rPr>
          <w:rFonts w:ascii="Arial" w:cs="Arial" w:eastAsia="Arial" w:hAnsi="Arial"/>
          <w:sz w:val="19"/>
          <w:szCs w:val="19"/>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7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requested that the Administrative Agent and the Lenders party hereto agree to amend the</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Credit Agreement subject to, and in accordance with, the terms and conditions set forth herein; and</w:t>
      </w:r>
    </w:p>
    <w:p>
      <w:pPr>
        <w:spacing w:after="0" w:line="14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Administrative Agent and the Lenders party hereto, constituting the Required Lenders, have agreed to</w:t>
      </w:r>
      <w:r>
        <w:rPr>
          <w:rFonts w:ascii="Arial" w:cs="Arial" w:eastAsia="Arial" w:hAnsi="Arial"/>
          <w:sz w:val="19"/>
          <w:szCs w:val="19"/>
          <w:b w:val="1"/>
          <w:bCs w:val="1"/>
          <w:color w:val="auto"/>
        </w:rPr>
        <w:t xml:space="preserve"> </w:t>
      </w:r>
      <w:r>
        <w:rPr>
          <w:rFonts w:ascii="Arial" w:cs="Arial" w:eastAsia="Arial" w:hAnsi="Arial"/>
          <w:sz w:val="19"/>
          <w:szCs w:val="19"/>
          <w:color w:val="auto"/>
        </w:rPr>
        <w:t>amend the Existing Credit Agreement subject to, and in accordance with, the terms and conditions set forth in this Agreement.</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hereto therefore agree as follows:</w:t>
      </w:r>
    </w:p>
    <w:p>
      <w:pPr>
        <w:spacing w:after="0" w:line="175"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i w:val="1"/>
          <w:iCs w:val="1"/>
          <w:color w:val="auto"/>
        </w:rPr>
        <w:t>Defined Terms; References</w:t>
      </w:r>
      <w:r>
        <w:rPr>
          <w:rFonts w:ascii="Arial" w:cs="Arial" w:eastAsia="Arial" w:hAnsi="Arial"/>
          <w:sz w:val="20"/>
          <w:szCs w:val="20"/>
          <w:color w:val="auto"/>
        </w:rPr>
        <w:t>. Capitalized terms used in this Agreement and not otherwise defined herein have</w:t>
      </w:r>
      <w:r>
        <w:rPr>
          <w:rFonts w:ascii="Arial" w:cs="Arial" w:eastAsia="Arial" w:hAnsi="Arial"/>
          <w:sz w:val="20"/>
          <w:szCs w:val="20"/>
          <w:b w:val="1"/>
          <w:bCs w:val="1"/>
          <w:color w:val="auto"/>
        </w:rPr>
        <w:t xml:space="preserve"> </w:t>
      </w:r>
      <w:r>
        <w:rPr>
          <w:rFonts w:ascii="Arial" w:cs="Arial" w:eastAsia="Arial" w:hAnsi="Arial"/>
          <w:sz w:val="20"/>
          <w:szCs w:val="20"/>
          <w:color w:val="auto"/>
        </w:rPr>
        <w:t>the respective meanings assigned thereto in the Credit Agreement. The rules of construction specified in Section 1.02 of the Credit Agreement also apply to this Agreement.</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6"/>
          <w:szCs w:val="16"/>
          <w:i w:val="1"/>
          <w:iCs w:val="1"/>
          <w:color w:val="auto"/>
        </w:rPr>
        <w:t>Amendments to Existing Credit Agreement</w:t>
      </w:r>
      <w:r>
        <w:rPr>
          <w:rFonts w:ascii="Arial" w:cs="Arial" w:eastAsia="Arial" w:hAnsi="Arial"/>
          <w:sz w:val="16"/>
          <w:szCs w:val="16"/>
          <w:color w:val="auto"/>
        </w:rPr>
        <w:t>. The Existing Credit Agreement is hereby amended as follows:</w:t>
      </w:r>
    </w:p>
    <w:p>
      <w:pPr>
        <w:spacing w:after="0" w:line="181" w:lineRule="exact"/>
        <w:rPr>
          <w:sz w:val="20"/>
          <w:szCs w:val="20"/>
          <w:color w:val="auto"/>
        </w:rPr>
      </w:pPr>
    </w:p>
    <w:p>
      <w:pPr>
        <w:ind w:left="660" w:right="20" w:firstLine="644"/>
        <w:spacing w:after="0" w:line="229" w:lineRule="auto"/>
        <w:tabs>
          <w:tab w:leader="none" w:pos="1946"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Section 1.01 of the Existing Credit Agreement is amended by inserting the following new defined terms in appropriate alphabetical order:</w:t>
      </w:r>
    </w:p>
    <w:p>
      <w:pPr>
        <w:spacing w:after="0" w:line="155" w:lineRule="exact"/>
        <w:rPr>
          <w:sz w:val="20"/>
          <w:szCs w:val="20"/>
          <w:color w:val="auto"/>
        </w:rPr>
      </w:pPr>
    </w:p>
    <w:p>
      <w:pPr>
        <w:jc w:val="both"/>
        <w:ind w:left="130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Loans</w:t>
      </w:r>
      <w:r>
        <w:rPr>
          <w:rFonts w:ascii="Arial" w:cs="Arial" w:eastAsia="Arial" w:hAnsi="Arial"/>
          <w:sz w:val="20"/>
          <w:szCs w:val="20"/>
          <w:color w:val="auto"/>
        </w:rPr>
        <w:t>” shall mean, collectively, the BidCo/Wales Intercompany Loans, the Parent Note, Note 4, Note 5, Note 7, the NeoGames Note, the TechCo Note 2, the WHUS Note 1, the WHUS Note 2A and the WHUS Note 2B, in each case, including all accrued and unpaid interest thereon.</w:t>
      </w:r>
    </w:p>
    <w:p>
      <w:pPr>
        <w:spacing w:after="0" w:line="156" w:lineRule="exact"/>
        <w:rPr>
          <w:sz w:val="20"/>
          <w:szCs w:val="20"/>
          <w:color w:val="auto"/>
        </w:rPr>
      </w:pPr>
    </w:p>
    <w:p>
      <w:pPr>
        <w:jc w:val="both"/>
        <w:ind w:left="1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NeoGames Note</w:t>
      </w:r>
      <w:r>
        <w:rPr>
          <w:rFonts w:ascii="Arial" w:cs="Arial" w:eastAsia="Arial" w:hAnsi="Arial"/>
          <w:sz w:val="20"/>
          <w:szCs w:val="20"/>
          <w:color w:val="auto"/>
        </w:rPr>
        <w:t>” shall mean the loan from William Hill Organization Limited to NeoGames S.A. in an aggregate principal amount equal to $11.0 million.</w:t>
      </w:r>
    </w:p>
    <w:p>
      <w:pPr>
        <w:spacing w:after="0" w:line="155" w:lineRule="exact"/>
        <w:rPr>
          <w:sz w:val="20"/>
          <w:szCs w:val="20"/>
          <w:color w:val="auto"/>
        </w:rPr>
      </w:pPr>
    </w:p>
    <w:p>
      <w:pPr>
        <w:jc w:val="both"/>
        <w:ind w:left="1300"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 4</w:t>
      </w:r>
      <w:r>
        <w:rPr>
          <w:rFonts w:ascii="Arial" w:cs="Arial" w:eastAsia="Arial" w:hAnsi="Arial"/>
          <w:sz w:val="20"/>
          <w:szCs w:val="20"/>
          <w:color w:val="auto"/>
        </w:rPr>
        <w:t>” shall mean the intercompany loan from William Hill Organization Limited to Caesars UK Interactive Holdings Limited in an aggregate principal amount equal to £216,860,124.40.</w:t>
      </w:r>
    </w:p>
    <w:p>
      <w:pPr>
        <w:spacing w:after="0" w:line="155" w:lineRule="exact"/>
        <w:rPr>
          <w:sz w:val="20"/>
          <w:szCs w:val="20"/>
          <w:color w:val="auto"/>
        </w:rPr>
      </w:pPr>
    </w:p>
    <w:p>
      <w:pPr>
        <w:jc w:val="both"/>
        <w:ind w:left="1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 5</w:t>
      </w:r>
      <w:r>
        <w:rPr>
          <w:rFonts w:ascii="Arial" w:cs="Arial" w:eastAsia="Arial" w:hAnsi="Arial"/>
          <w:sz w:val="20"/>
          <w:szCs w:val="20"/>
          <w:color w:val="auto"/>
        </w:rPr>
        <w:t>” shall mean the intercompany loan from Green Gaming Group PLC to William Hill Cayman Holdings Limited in an aggregate principal amount equal to the Pounds Sterling equivalent of $11,085,730.</w:t>
      </w:r>
    </w:p>
    <w:p>
      <w:pPr>
        <w:spacing w:after="0" w:line="155" w:lineRule="exact"/>
        <w:rPr>
          <w:sz w:val="20"/>
          <w:szCs w:val="20"/>
          <w:color w:val="auto"/>
        </w:rPr>
      </w:pPr>
    </w:p>
    <w:p>
      <w:pPr>
        <w:jc w:val="both"/>
        <w:ind w:left="1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 7</w:t>
      </w:r>
      <w:r>
        <w:rPr>
          <w:rFonts w:ascii="Arial" w:cs="Arial" w:eastAsia="Arial" w:hAnsi="Arial"/>
          <w:sz w:val="20"/>
          <w:szCs w:val="20"/>
          <w:color w:val="auto"/>
        </w:rPr>
        <w:t>” shall mean the intercompany loan from William Hill Organization Limited to William Hill Cayman Holdings Limited in an aggregate principal amount equal to $11,322,486.11.</w:t>
      </w:r>
    </w:p>
    <w:p>
      <w:pPr>
        <w:sectPr>
          <w:pgSz w:w="11900" w:h="16838" w:orient="portrait"/>
          <w:cols w:equalWidth="0" w:num="1">
            <w:col w:w="11240"/>
          </w:cols>
          <w:pgMar w:left="320" w:top="104" w:right="339" w:bottom="1440" w:gutter="0" w:footer="0" w:header="0"/>
        </w:sectPr>
      </w:pPr>
    </w:p>
    <w:bookmarkStart w:id="58" w:name="page59"/>
    <w:bookmarkEnd w:id="58"/>
    <w:p>
      <w:pPr>
        <w:ind w:left="640"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Note</w:t>
      </w:r>
      <w:r>
        <w:rPr>
          <w:rFonts w:ascii="Arial" w:cs="Arial" w:eastAsia="Arial" w:hAnsi="Arial"/>
          <w:sz w:val="20"/>
          <w:szCs w:val="20"/>
          <w:color w:val="auto"/>
        </w:rPr>
        <w:t>” shall mean the intercompany loan from William Hill Organization Limited to Parent in an aggregate principal amount equal to £20,546,318.</w:t>
      </w:r>
    </w:p>
    <w:p>
      <w:pPr>
        <w:spacing w:after="0" w:line="155" w:lineRule="exact"/>
        <w:rPr>
          <w:sz w:val="20"/>
          <w:szCs w:val="20"/>
          <w:color w:val="auto"/>
        </w:rPr>
      </w:pPr>
    </w:p>
    <w:p>
      <w:pPr>
        <w:ind w:left="6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TechCo Note 1</w:t>
      </w:r>
      <w:r>
        <w:rPr>
          <w:rFonts w:ascii="Arial" w:cs="Arial" w:eastAsia="Arial" w:hAnsi="Arial"/>
          <w:sz w:val="20"/>
          <w:szCs w:val="20"/>
          <w:color w:val="auto"/>
        </w:rPr>
        <w:t>” shall mean the intercompany loan from WHUS TechCo, Inc. to William Hill Limited in an aggregate principal amount equal to the Dollar equivalent of £19,601,744.</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TechCo Note 2</w:t>
      </w:r>
      <w:r>
        <w:rPr>
          <w:rFonts w:ascii="Arial" w:cs="Arial" w:eastAsia="Arial" w:hAnsi="Arial"/>
          <w:sz w:val="18"/>
          <w:szCs w:val="18"/>
          <w:color w:val="auto"/>
        </w:rPr>
        <w:t>” shall mean the intercompany loan from William Hill Organization Limited to WHUS TechCo, Inc.</w:t>
      </w:r>
    </w:p>
    <w:p>
      <w:pPr>
        <w:ind w:left="640"/>
        <w:spacing w:after="0"/>
        <w:rPr>
          <w:sz w:val="20"/>
          <w:szCs w:val="20"/>
          <w:color w:val="auto"/>
        </w:rPr>
      </w:pPr>
      <w:r>
        <w:rPr>
          <w:rFonts w:ascii="Arial" w:cs="Arial" w:eastAsia="Arial" w:hAnsi="Arial"/>
          <w:sz w:val="20"/>
          <w:szCs w:val="20"/>
          <w:color w:val="auto"/>
        </w:rPr>
        <w:t>in an aggregate principal amount equal to the Dollar equivalent of £18,803,210.</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WHUS Note 1</w:t>
      </w:r>
      <w:r>
        <w:rPr>
          <w:rFonts w:ascii="Arial" w:cs="Arial" w:eastAsia="Arial" w:hAnsi="Arial"/>
          <w:sz w:val="19"/>
          <w:szCs w:val="19"/>
          <w:color w:val="auto"/>
        </w:rPr>
        <w:t>” shall mean the intercompany loan from William Hill Organization Limited to William Hill U.S.</w:t>
      </w:r>
    </w:p>
    <w:p>
      <w:pPr>
        <w:ind w:left="640"/>
        <w:spacing w:after="0"/>
        <w:rPr>
          <w:sz w:val="20"/>
          <w:szCs w:val="20"/>
          <w:color w:val="auto"/>
        </w:rPr>
      </w:pPr>
      <w:r>
        <w:rPr>
          <w:rFonts w:ascii="Arial" w:cs="Arial" w:eastAsia="Arial" w:hAnsi="Arial"/>
          <w:sz w:val="20"/>
          <w:szCs w:val="20"/>
          <w:color w:val="auto"/>
        </w:rPr>
        <w:t>HoldCo, Inc. in an aggregate principal amount equal to the Dollar equivalent of £28,838,455.</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WHUS Note 2A</w:t>
      </w:r>
      <w:r>
        <w:rPr>
          <w:rFonts w:ascii="Arial" w:cs="Arial" w:eastAsia="Arial" w:hAnsi="Arial"/>
          <w:sz w:val="19"/>
          <w:szCs w:val="19"/>
          <w:color w:val="auto"/>
        </w:rPr>
        <w:t>” shall mean the intercompany loan from William Hill Organization Limited to William Hill U.S.</w:t>
      </w:r>
    </w:p>
    <w:p>
      <w:pPr>
        <w:ind w:left="640"/>
        <w:spacing w:after="0"/>
        <w:rPr>
          <w:sz w:val="20"/>
          <w:szCs w:val="20"/>
          <w:color w:val="auto"/>
        </w:rPr>
      </w:pPr>
      <w:r>
        <w:rPr>
          <w:rFonts w:ascii="Arial" w:cs="Arial" w:eastAsia="Arial" w:hAnsi="Arial"/>
          <w:sz w:val="20"/>
          <w:szCs w:val="20"/>
          <w:color w:val="auto"/>
        </w:rPr>
        <w:t>HoldCo, Inc. in an aggregate principal amount equal to the Dollar equivalent of £798,534.</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WHUS Note 2B</w:t>
      </w:r>
      <w:r>
        <w:rPr>
          <w:rFonts w:ascii="Arial" w:cs="Arial" w:eastAsia="Arial" w:hAnsi="Arial"/>
          <w:sz w:val="19"/>
          <w:szCs w:val="19"/>
          <w:color w:val="auto"/>
        </w:rPr>
        <w:t>” shall mean the intercompany loan from William Hill Organization Limited to William Hill U.S.</w:t>
      </w:r>
    </w:p>
    <w:p>
      <w:pPr>
        <w:ind w:left="640"/>
        <w:spacing w:after="0"/>
        <w:rPr>
          <w:sz w:val="20"/>
          <w:szCs w:val="20"/>
          <w:color w:val="auto"/>
        </w:rPr>
      </w:pPr>
      <w:r>
        <w:rPr>
          <w:rFonts w:ascii="Arial" w:cs="Arial" w:eastAsia="Arial" w:hAnsi="Arial"/>
          <w:sz w:val="20"/>
          <w:szCs w:val="20"/>
          <w:color w:val="auto"/>
        </w:rPr>
        <w:t>HoldCo, Inc. in an aggregate principal amount equal to the Dollar equivalent of £30,779,856.</w:t>
      </w:r>
    </w:p>
    <w:p>
      <w:pPr>
        <w:spacing w:after="0" w:line="159" w:lineRule="exact"/>
        <w:rPr>
          <w:sz w:val="20"/>
          <w:szCs w:val="20"/>
          <w:color w:val="auto"/>
        </w:rPr>
      </w:pPr>
    </w:p>
    <w:p>
      <w:pPr>
        <w:ind w:firstLine="644"/>
        <w:spacing w:after="0" w:line="229" w:lineRule="auto"/>
        <w:tabs>
          <w:tab w:leader="none" w:pos="1284" w:val="left"/>
        </w:tabs>
        <w:numPr>
          <w:ilvl w:val="0"/>
          <w:numId w:val="33"/>
        </w:numPr>
        <w:rPr>
          <w:rFonts w:ascii="Arial" w:cs="Arial" w:eastAsia="Arial" w:hAnsi="Arial"/>
          <w:sz w:val="20"/>
          <w:szCs w:val="20"/>
          <w:color w:val="auto"/>
        </w:rPr>
      </w:pPr>
      <w:r>
        <w:rPr>
          <w:rFonts w:ascii="Arial" w:cs="Arial" w:eastAsia="Arial" w:hAnsi="Arial"/>
          <w:sz w:val="20"/>
          <w:szCs w:val="20"/>
          <w:color w:val="auto"/>
        </w:rPr>
        <w:t>Section 1.01 of the Existing Credit Agreement is amended by amending and restating clause (e) of the definition of “Change in Control” in its entirety as follows:</w:t>
      </w:r>
    </w:p>
    <w:p>
      <w:pPr>
        <w:spacing w:after="0" w:line="155" w:lineRule="exact"/>
        <w:rPr>
          <w:rFonts w:ascii="Arial" w:cs="Arial" w:eastAsia="Arial" w:hAnsi="Arial"/>
          <w:sz w:val="20"/>
          <w:szCs w:val="20"/>
          <w:color w:val="auto"/>
        </w:rPr>
      </w:pPr>
    </w:p>
    <w:p>
      <w:pPr>
        <w:jc w:val="both"/>
        <w:ind w:left="640" w:firstLine="652"/>
        <w:spacing w:after="0" w:line="216" w:lineRule="auto"/>
        <w:tabs>
          <w:tab w:leader="none" w:pos="1803"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the direct or indirect sale, lease, transfer, conveyance or other disposition, in one transaction or a series of related transactions, of all or substantially all of the properties or assets of the Borrower and its Subsidiaries, taken as a whole, to any “person” (as such term is used in Section 13(d)(3) of the Exchange Act) other than BidCo, the Borrower and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that it is understood that the direct or indirect sale, lease, transfer, conveyance or other disposition, in one transaction or a series of related transactions, of all or substantially all the properties or assets of the Borrower and its Subsidiaries other than NeoGames S.A., Green Jade Games Ltd and the Intercompany Loans, taken as a whole, to any “person” (as such term is used in Section 13(d)(3) of the Exchange Act) other than the Borrower and its Subsidiaries, shall constitute a Change in Control pursuant to this clause (e).</w:t>
      </w:r>
    </w:p>
    <w:p>
      <w:pPr>
        <w:spacing w:after="0" w:line="154" w:lineRule="exact"/>
        <w:rPr>
          <w:rFonts w:ascii="Arial" w:cs="Arial" w:eastAsia="Arial" w:hAnsi="Arial"/>
          <w:sz w:val="19"/>
          <w:szCs w:val="19"/>
          <w:color w:val="auto"/>
        </w:rPr>
      </w:pPr>
    </w:p>
    <w:p>
      <w:pPr>
        <w:ind w:right="20" w:firstLine="644"/>
        <w:spacing w:after="0" w:line="229" w:lineRule="auto"/>
        <w:tabs>
          <w:tab w:leader="none" w:pos="1286" w:val="left"/>
        </w:tabs>
        <w:numPr>
          <w:ilvl w:val="0"/>
          <w:numId w:val="33"/>
        </w:numPr>
        <w:rPr>
          <w:rFonts w:ascii="Arial" w:cs="Arial" w:eastAsia="Arial" w:hAnsi="Arial"/>
          <w:sz w:val="20"/>
          <w:szCs w:val="20"/>
          <w:color w:val="auto"/>
        </w:rPr>
      </w:pPr>
      <w:r>
        <w:rPr>
          <w:rFonts w:ascii="Arial" w:cs="Arial" w:eastAsia="Arial" w:hAnsi="Arial"/>
          <w:sz w:val="20"/>
          <w:szCs w:val="20"/>
          <w:color w:val="auto"/>
        </w:rPr>
        <w:t>Section 6.01 of the Existing Credit Agreement is amended by amending and restating clause (v) thereof in its entirety as follows:</w:t>
      </w:r>
    </w:p>
    <w:p>
      <w:pPr>
        <w:spacing w:after="0" w:line="155" w:lineRule="exact"/>
        <w:rPr>
          <w:rFonts w:ascii="Arial" w:cs="Arial" w:eastAsia="Arial" w:hAnsi="Arial"/>
          <w:sz w:val="20"/>
          <w:szCs w:val="20"/>
          <w:color w:val="auto"/>
        </w:rPr>
      </w:pPr>
    </w:p>
    <w:p>
      <w:pPr>
        <w:ind w:left="1720" w:hanging="428"/>
        <w:spacing w:after="0"/>
        <w:tabs>
          <w:tab w:leader="none" w:pos="1720" w:val="left"/>
        </w:tabs>
        <w:numPr>
          <w:ilvl w:val="1"/>
          <w:numId w:val="34"/>
        </w:numPr>
        <w:rPr>
          <w:rFonts w:ascii="Arial" w:cs="Arial" w:eastAsia="Arial" w:hAnsi="Arial"/>
          <w:sz w:val="20"/>
          <w:szCs w:val="20"/>
          <w:color w:val="auto"/>
        </w:rPr>
      </w:pPr>
      <w:r>
        <w:rPr>
          <w:rFonts w:ascii="Arial" w:cs="Arial" w:eastAsia="Arial" w:hAnsi="Arial"/>
          <w:sz w:val="20"/>
          <w:szCs w:val="20"/>
          <w:color w:val="auto"/>
        </w:rPr>
        <w:t>Indebtedness under the TechCo Note 1;</w:t>
      </w:r>
    </w:p>
    <w:p>
      <w:pPr>
        <w:spacing w:after="0" w:line="173" w:lineRule="exact"/>
        <w:rPr>
          <w:rFonts w:ascii="Arial" w:cs="Arial" w:eastAsia="Arial" w:hAnsi="Arial"/>
          <w:sz w:val="20"/>
          <w:szCs w:val="20"/>
          <w:color w:val="auto"/>
        </w:rPr>
      </w:pPr>
    </w:p>
    <w:p>
      <w:pPr>
        <w:ind w:left="1280" w:hanging="636"/>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6.02 of the Existing Credit Agreement is amended by amending and restating clause (t) thereof in its entirety</w:t>
      </w:r>
    </w:p>
    <w:p>
      <w:pPr>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159" w:lineRule="exact"/>
        <w:rPr>
          <w:rFonts w:ascii="Arial" w:cs="Arial" w:eastAsia="Arial" w:hAnsi="Arial"/>
          <w:sz w:val="18"/>
          <w:szCs w:val="18"/>
          <w:color w:val="auto"/>
        </w:rPr>
      </w:pPr>
    </w:p>
    <w:p>
      <w:pPr>
        <w:ind w:left="1680" w:hanging="388"/>
        <w:spacing w:after="0"/>
        <w:tabs>
          <w:tab w:leader="none" w:pos="16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licenses or sublicenses permitted under Section 6.05(ee);</w:t>
      </w:r>
    </w:p>
    <w:p>
      <w:pPr>
        <w:spacing w:after="0" w:line="173" w:lineRule="exact"/>
        <w:rPr>
          <w:rFonts w:ascii="Arial" w:cs="Arial" w:eastAsia="Arial" w:hAnsi="Arial"/>
          <w:sz w:val="20"/>
          <w:szCs w:val="20"/>
          <w:color w:val="auto"/>
        </w:rPr>
      </w:pPr>
    </w:p>
    <w:p>
      <w:pPr>
        <w:ind w:left="1280" w:hanging="636"/>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6.04 of the Existing Credit Agreement is amended by amending and restating clause (l) thereof in its entirety</w:t>
      </w:r>
    </w:p>
    <w:p>
      <w:pPr>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159" w:lineRule="exact"/>
        <w:rPr>
          <w:rFonts w:ascii="Arial" w:cs="Arial" w:eastAsia="Arial" w:hAnsi="Arial"/>
          <w:sz w:val="18"/>
          <w:szCs w:val="18"/>
          <w:color w:val="auto"/>
        </w:rPr>
      </w:pPr>
    </w:p>
    <w:p>
      <w:pPr>
        <w:jc w:val="both"/>
        <w:ind w:left="640" w:firstLine="652"/>
        <w:spacing w:after="0" w:line="218" w:lineRule="auto"/>
        <w:tabs>
          <w:tab w:leader="none" w:pos="1693" w:val="left"/>
        </w:tabs>
        <w:numPr>
          <w:ilvl w:val="1"/>
          <w:numId w:val="36"/>
        </w:numPr>
        <w:rPr>
          <w:rFonts w:ascii="Arial" w:cs="Arial" w:eastAsia="Arial" w:hAnsi="Arial"/>
          <w:sz w:val="20"/>
          <w:szCs w:val="20"/>
          <w:color w:val="auto"/>
        </w:rPr>
      </w:pPr>
      <w:r>
        <w:rPr>
          <w:rFonts w:ascii="Arial" w:cs="Arial" w:eastAsia="Arial" w:hAnsi="Arial"/>
          <w:sz w:val="20"/>
          <w:szCs w:val="20"/>
          <w:color w:val="auto"/>
        </w:rPr>
        <w:t>(i) Investments in (including acquisitions of) the Equity Interests of Mr Green &amp; Co AB, Green Gaming Group PLC and Green Jade Games Ltd, (ii) intercompany loan from William Hill Limited to Green Gaming Group PLC in an aggregate principal amount equal to €5.0 million and (iii) the Intercompany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0"/>
          </w:cols>
          <w:pgMar w:left="980" w:top="1405" w:right="339" w:bottom="1440" w:gutter="0" w:footer="0" w:header="0"/>
        </w:sectPr>
      </w:pPr>
    </w:p>
    <w:bookmarkStart w:id="59" w:name="page60"/>
    <w:bookmarkEnd w:id="59"/>
    <w:p>
      <w:pPr>
        <w:ind w:left="1940" w:hanging="636"/>
        <w:spacing w:after="0"/>
        <w:tabs>
          <w:tab w:leader="none" w:pos="19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Section 6.05 of the Existing Credit Agreement is amended by (i) deleting “and” at the end of clause (bb) thereof,</w:t>
      </w:r>
    </w:p>
    <w:p>
      <w:pPr>
        <w:ind w:left="940" w:hanging="284"/>
        <w:spacing w:after="0"/>
        <w:tabs>
          <w:tab w:leader="none" w:pos="9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replacing “.” with “;” at the end of clause (cc) thereof and (iii) adding the following clauses in alphabetical order:</w:t>
      </w:r>
    </w:p>
    <w:p>
      <w:pPr>
        <w:spacing w:after="0" w:line="157" w:lineRule="exact"/>
        <w:rPr>
          <w:rFonts w:ascii="Arial" w:cs="Arial" w:eastAsia="Arial" w:hAnsi="Arial"/>
          <w:sz w:val="20"/>
          <w:szCs w:val="20"/>
          <w:color w:val="auto"/>
        </w:rPr>
      </w:pPr>
    </w:p>
    <w:p>
      <w:pPr>
        <w:ind w:left="2520" w:hanging="568"/>
        <w:spacing w:after="0"/>
        <w:tabs>
          <w:tab w:leader="none" w:pos="25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sale, assignment, distribution or other transfer of the Equity Interests in (or assets of) Green Jade Games</w:t>
      </w:r>
    </w:p>
    <w:p>
      <w:pPr>
        <w:ind w:left="1300"/>
        <w:spacing w:after="0"/>
        <w:rPr>
          <w:rFonts w:ascii="Arial" w:cs="Arial" w:eastAsia="Arial" w:hAnsi="Arial"/>
          <w:sz w:val="18"/>
          <w:szCs w:val="18"/>
          <w:color w:val="auto"/>
        </w:rPr>
      </w:pPr>
      <w:r>
        <w:rPr>
          <w:rFonts w:ascii="Arial" w:cs="Arial" w:eastAsia="Arial" w:hAnsi="Arial"/>
          <w:sz w:val="20"/>
          <w:szCs w:val="20"/>
          <w:color w:val="auto"/>
        </w:rPr>
        <w:t>Ltd;</w:t>
      </w:r>
    </w:p>
    <w:p>
      <w:pPr>
        <w:spacing w:after="0" w:line="159" w:lineRule="exact"/>
        <w:rPr>
          <w:rFonts w:ascii="Arial" w:cs="Arial" w:eastAsia="Arial" w:hAnsi="Arial"/>
          <w:sz w:val="18"/>
          <w:szCs w:val="18"/>
          <w:color w:val="auto"/>
        </w:rPr>
      </w:pPr>
    </w:p>
    <w:p>
      <w:pPr>
        <w:jc w:val="both"/>
        <w:ind w:left="1300" w:firstLine="652"/>
        <w:spacing w:after="0" w:line="218" w:lineRule="auto"/>
        <w:tabs>
          <w:tab w:leader="none" w:pos="2555" w:val="left"/>
        </w:tabs>
        <w:numPr>
          <w:ilvl w:val="2"/>
          <w:numId w:val="38"/>
        </w:numPr>
        <w:rPr>
          <w:rFonts w:ascii="Arial" w:cs="Arial" w:eastAsia="Arial" w:hAnsi="Arial"/>
          <w:sz w:val="20"/>
          <w:szCs w:val="20"/>
          <w:color w:val="auto"/>
        </w:rPr>
      </w:pPr>
      <w:r>
        <w:rPr>
          <w:rFonts w:ascii="Arial" w:cs="Arial" w:eastAsia="Arial" w:hAnsi="Arial"/>
          <w:sz w:val="20"/>
          <w:szCs w:val="20"/>
          <w:color w:val="auto"/>
        </w:rPr>
        <w:t>the license, sublicense (including any exclusive or perpetual license or sublicense) or other disposition of intellectual property of the Borrower or any of its Subsidiaries relating to the use of William Hill and/or Mr. Green trademarks and domain names in the United States or Caribbean territories;</w:t>
      </w:r>
    </w:p>
    <w:p>
      <w:pPr>
        <w:spacing w:after="0" w:line="156" w:lineRule="exact"/>
        <w:rPr>
          <w:rFonts w:ascii="Arial" w:cs="Arial" w:eastAsia="Arial" w:hAnsi="Arial"/>
          <w:sz w:val="20"/>
          <w:szCs w:val="20"/>
          <w:color w:val="auto"/>
        </w:rPr>
      </w:pPr>
    </w:p>
    <w:p>
      <w:pPr>
        <w:ind w:left="1300" w:firstLine="652"/>
        <w:spacing w:after="0" w:line="269" w:lineRule="auto"/>
        <w:tabs>
          <w:tab w:leader="none" w:pos="2446"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surrender, waiver, cancellation, termination, forgiveness, sale, assignment, distribution or other transfer in whole or in part of any or all of the Intercompany Loans (and any agreements, notes and other rights relating thereto); and</w:t>
      </w:r>
    </w:p>
    <w:p>
      <w:pPr>
        <w:spacing w:after="0" w:line="130" w:lineRule="exact"/>
        <w:rPr>
          <w:rFonts w:ascii="Arial" w:cs="Arial" w:eastAsia="Arial" w:hAnsi="Arial"/>
          <w:sz w:val="18"/>
          <w:szCs w:val="18"/>
          <w:color w:val="auto"/>
        </w:rPr>
      </w:pPr>
    </w:p>
    <w:p>
      <w:pPr>
        <w:ind w:left="2480" w:hanging="528"/>
        <w:spacing w:after="0"/>
        <w:tabs>
          <w:tab w:leader="none" w:pos="2480" w:val="left"/>
        </w:tabs>
        <w:numPr>
          <w:ilvl w:val="2"/>
          <w:numId w:val="38"/>
        </w:numPr>
        <w:rPr>
          <w:rFonts w:ascii="Arial" w:cs="Arial" w:eastAsia="Arial" w:hAnsi="Arial"/>
          <w:sz w:val="20"/>
          <w:szCs w:val="20"/>
          <w:color w:val="auto"/>
        </w:rPr>
      </w:pPr>
      <w:r>
        <w:rPr>
          <w:rFonts w:ascii="Arial" w:cs="Arial" w:eastAsia="Arial" w:hAnsi="Arial"/>
          <w:sz w:val="20"/>
          <w:szCs w:val="20"/>
          <w:color w:val="auto"/>
        </w:rPr>
        <w:t>the swap or exchange of the NeoGames Note for Note 7.</w:t>
      </w:r>
    </w:p>
    <w:p>
      <w:pPr>
        <w:spacing w:after="0" w:line="173" w:lineRule="exact"/>
        <w:rPr>
          <w:rFonts w:ascii="Arial" w:cs="Arial" w:eastAsia="Arial" w:hAnsi="Arial"/>
          <w:sz w:val="20"/>
          <w:szCs w:val="20"/>
          <w:color w:val="auto"/>
        </w:rPr>
      </w:pPr>
    </w:p>
    <w:p>
      <w:pPr>
        <w:ind w:left="1940" w:hanging="636"/>
        <w:spacing w:after="0"/>
        <w:tabs>
          <w:tab w:leader="none" w:pos="19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Section 6.06 of the Existing Credit Agreement is amended by (i) deleting “and” at the end of clause (m) thereof,</w:t>
      </w:r>
    </w:p>
    <w:p>
      <w:pPr>
        <w:ind w:left="940" w:hanging="284"/>
        <w:spacing w:after="0"/>
        <w:tabs>
          <w:tab w:leader="none" w:pos="9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adding “;” at the end of clause (n) thereof and (iii) adding the following clauses in alphabetical order:</w:t>
      </w:r>
    </w:p>
    <w:p>
      <w:pPr>
        <w:spacing w:after="0" w:line="159" w:lineRule="exact"/>
        <w:rPr>
          <w:rFonts w:ascii="Arial" w:cs="Arial" w:eastAsia="Arial" w:hAnsi="Arial"/>
          <w:sz w:val="20"/>
          <w:szCs w:val="20"/>
          <w:color w:val="auto"/>
        </w:rPr>
      </w:pPr>
    </w:p>
    <w:p>
      <w:pPr>
        <w:ind w:left="2380" w:hanging="428"/>
        <w:spacing w:after="0"/>
        <w:tabs>
          <w:tab w:leader="none" w:pos="23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distribution, as a dividend or otherwise, of the Equity Interests in (or assets of) Green Jade Games Ltd; and</w:t>
      </w:r>
    </w:p>
    <w:p>
      <w:pPr>
        <w:spacing w:after="0" w:line="198" w:lineRule="exact"/>
        <w:rPr>
          <w:rFonts w:ascii="Arial" w:cs="Arial" w:eastAsia="Arial" w:hAnsi="Arial"/>
          <w:sz w:val="18"/>
          <w:szCs w:val="18"/>
          <w:color w:val="auto"/>
        </w:rPr>
      </w:pPr>
    </w:p>
    <w:p>
      <w:pPr>
        <w:ind w:left="1300" w:firstLine="652"/>
        <w:spacing w:after="0" w:line="229" w:lineRule="auto"/>
        <w:tabs>
          <w:tab w:leader="none" w:pos="2381" w:val="left"/>
        </w:tabs>
        <w:numPr>
          <w:ilvl w:val="2"/>
          <w:numId w:val="39"/>
        </w:numPr>
        <w:rPr>
          <w:rFonts w:ascii="Arial" w:cs="Arial" w:eastAsia="Arial" w:hAnsi="Arial"/>
          <w:sz w:val="20"/>
          <w:szCs w:val="20"/>
          <w:color w:val="auto"/>
        </w:rPr>
      </w:pPr>
      <w:r>
        <w:rPr>
          <w:rFonts w:ascii="Arial" w:cs="Arial" w:eastAsia="Arial" w:hAnsi="Arial"/>
          <w:sz w:val="20"/>
          <w:szCs w:val="20"/>
          <w:color w:val="auto"/>
        </w:rPr>
        <w:t>the distribution, as a dividend or otherwise, of any or all of the Intercompany Loans (and any agreements, notes and other rights relating thereto).</w:t>
      </w:r>
    </w:p>
    <w:p>
      <w:pPr>
        <w:spacing w:after="0" w:line="155" w:lineRule="exact"/>
        <w:rPr>
          <w:rFonts w:ascii="Arial" w:cs="Arial" w:eastAsia="Arial" w:hAnsi="Arial"/>
          <w:sz w:val="20"/>
          <w:szCs w:val="20"/>
          <w:color w:val="auto"/>
        </w:rPr>
      </w:pPr>
    </w:p>
    <w:p>
      <w:pPr>
        <w:ind w:left="660" w:right="20" w:firstLine="644"/>
        <w:spacing w:after="0" w:line="229" w:lineRule="auto"/>
        <w:tabs>
          <w:tab w:leader="none" w:pos="1944" w:val="left"/>
        </w:tabs>
        <w:numPr>
          <w:ilvl w:val="1"/>
          <w:numId w:val="39"/>
        </w:numPr>
        <w:rPr>
          <w:rFonts w:ascii="Arial" w:cs="Arial" w:eastAsia="Arial" w:hAnsi="Arial"/>
          <w:sz w:val="20"/>
          <w:szCs w:val="20"/>
          <w:color w:val="auto"/>
        </w:rPr>
      </w:pPr>
      <w:r>
        <w:rPr>
          <w:rFonts w:ascii="Arial" w:cs="Arial" w:eastAsia="Arial" w:hAnsi="Arial"/>
          <w:sz w:val="20"/>
          <w:szCs w:val="20"/>
          <w:color w:val="auto"/>
        </w:rPr>
        <w:t>Section 6.12 of the Existing Credit Agreement is amended by amending and restating clause (viii) thereof in its entirety as follows:</w:t>
      </w:r>
    </w:p>
    <w:p>
      <w:pPr>
        <w:spacing w:after="0" w:line="155" w:lineRule="exact"/>
        <w:rPr>
          <w:sz w:val="20"/>
          <w:szCs w:val="20"/>
          <w:color w:val="auto"/>
        </w:rPr>
      </w:pPr>
    </w:p>
    <w:p>
      <w:pPr>
        <w:jc w:val="both"/>
        <w:ind w:left="1300" w:firstLine="652"/>
        <w:spacing w:after="0" w:line="213" w:lineRule="auto"/>
        <w:tabs>
          <w:tab w:leader="none" w:pos="2397"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making of Investments and Asset Sales and other dispositions permitted by this Agreement and the making of Restricted Payments permitted by this Agreement (including the surrender, waiver, cancellation, termination, forgiveness, sale, assignment, distribution or other transfer in whole or in part of any or all of the Intercompany Loans (and any agreements, notes and other rights relating thereto)),</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i w:val="1"/>
          <w:iCs w:val="1"/>
          <w:color w:val="auto"/>
        </w:rPr>
        <w:t>Representations of the Borrower</w:t>
      </w:r>
      <w:r>
        <w:rPr>
          <w:rFonts w:ascii="Arial" w:cs="Arial" w:eastAsia="Arial" w:hAnsi="Arial"/>
          <w:sz w:val="16"/>
          <w:szCs w:val="16"/>
          <w:color w:val="auto"/>
        </w:rPr>
        <w:t>. The Borrower represents and warrants that:</w:t>
      </w:r>
    </w:p>
    <w:p>
      <w:pPr>
        <w:spacing w:after="0" w:line="181" w:lineRule="exact"/>
        <w:rPr>
          <w:sz w:val="20"/>
          <w:szCs w:val="20"/>
          <w:color w:val="auto"/>
        </w:rPr>
      </w:pPr>
    </w:p>
    <w:p>
      <w:pPr>
        <w:jc w:val="both"/>
        <w:ind w:left="660" w:firstLine="644"/>
        <w:spacing w:after="0" w:line="236" w:lineRule="auto"/>
        <w:tabs>
          <w:tab w:leader="none" w:pos="19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the Loan Documents are true and correct in all material respects on and as of the Second Amendment Effective Date (as defined below) after giving effect hereto with the same effect as though made on and as of such date, except to the extent such representations and warranties expressly relate to an earlier date (in which case such representations and warranties shall be true and correct in all material respects as of such earlier date); and</w:t>
      </w:r>
    </w:p>
    <w:p>
      <w:pPr>
        <w:spacing w:after="0" w:line="144"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Event of Default or Default was continuing on and as of the Second Amendment Effective Date after giving</w:t>
      </w:r>
    </w:p>
    <w:p>
      <w:pPr>
        <w:ind w:left="660"/>
        <w:spacing w:after="0"/>
        <w:rPr>
          <w:rFonts w:ascii="Arial" w:cs="Arial" w:eastAsia="Arial" w:hAnsi="Arial"/>
          <w:sz w:val="19"/>
          <w:szCs w:val="19"/>
          <w:color w:val="auto"/>
        </w:rPr>
      </w:pPr>
      <w:r>
        <w:rPr>
          <w:rFonts w:ascii="Arial" w:cs="Arial" w:eastAsia="Arial" w:hAnsi="Arial"/>
          <w:sz w:val="20"/>
          <w:szCs w:val="20"/>
          <w:color w:val="auto"/>
        </w:rPr>
        <w:t>effect hereto.</w:t>
      </w:r>
    </w:p>
    <w:p>
      <w:pPr>
        <w:spacing w:after="0" w:line="153" w:lineRule="exact"/>
        <w:rPr>
          <w:sz w:val="20"/>
          <w:szCs w:val="20"/>
          <w:color w:val="auto"/>
        </w:rPr>
      </w:pPr>
    </w:p>
    <w:p>
      <w:pPr>
        <w:ind w:firstLine="1296"/>
        <w:spacing w:after="0" w:line="232" w:lineRule="auto"/>
        <w:rPr>
          <w:sz w:val="20"/>
          <w:szCs w:val="20"/>
          <w:color w:val="auto"/>
        </w:rPr>
      </w:pPr>
      <w:r>
        <w:rPr>
          <w:rFonts w:ascii="Arial" w:cs="Arial" w:eastAsia="Arial" w:hAnsi="Arial"/>
          <w:sz w:val="20"/>
          <w:szCs w:val="20"/>
          <w:b w:val="1"/>
          <w:bCs w:val="1"/>
          <w:color w:val="auto"/>
        </w:rPr>
        <w:t xml:space="preserve">SECTION 4. </w:t>
      </w:r>
      <w:r>
        <w:rPr>
          <w:rFonts w:ascii="Arial" w:cs="Arial" w:eastAsia="Arial" w:hAnsi="Arial"/>
          <w:sz w:val="20"/>
          <w:szCs w:val="20"/>
          <w:i w:val="1"/>
          <w:iCs w:val="1"/>
          <w:color w:val="auto"/>
        </w:rPr>
        <w:t>Conditions to Second Amendment Effective Date</w:t>
      </w:r>
      <w:r>
        <w:rPr>
          <w:rFonts w:ascii="Arial" w:cs="Arial" w:eastAsia="Arial" w:hAnsi="Arial"/>
          <w:sz w:val="20"/>
          <w:szCs w:val="20"/>
          <w:color w:val="auto"/>
        </w:rPr>
        <w:t>. This Agreement shall become effective as of the first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Second Amendment Effective Date</w:t>
      </w:r>
      <w:r>
        <w:rPr>
          <w:rFonts w:ascii="Arial" w:cs="Arial" w:eastAsia="Arial" w:hAnsi="Arial"/>
          <w:sz w:val="20"/>
          <w:szCs w:val="20"/>
          <w:color w:val="auto"/>
        </w:rPr>
        <w:t>”) when each of the following conditions shall have been satisfied:</w:t>
      </w:r>
    </w:p>
    <w:p>
      <w:pPr>
        <w:spacing w:after="0" w:line="155" w:lineRule="exact"/>
        <w:rPr>
          <w:sz w:val="20"/>
          <w:szCs w:val="20"/>
          <w:color w:val="auto"/>
        </w:rPr>
      </w:pPr>
    </w:p>
    <w:p>
      <w:pPr>
        <w:jc w:val="both"/>
        <w:ind w:left="660" w:firstLine="644"/>
        <w:spacing w:after="0" w:line="218" w:lineRule="auto"/>
        <w:tabs>
          <w:tab w:leader="none" w:pos="1944"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the Borrower, each Lender party hereto (constituting the Required Lenders) and the Administrative Agent (i) a counterpart of this Agreement signed on behalf of such party or (ii) written evidence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3" w:right="339" w:bottom="1440" w:gutter="0" w:footer="0" w:header="0"/>
        </w:sectPr>
      </w:pPr>
    </w:p>
    <w:bookmarkStart w:id="60" w:name="page61"/>
    <w:bookmarkEnd w:id="60"/>
    <w:p>
      <w:pPr>
        <w:ind w:left="660" w:right="20"/>
        <w:spacing w:after="0" w:line="229" w:lineRule="auto"/>
        <w:rPr>
          <w:sz w:val="20"/>
          <w:szCs w:val="20"/>
          <w:color w:val="auto"/>
        </w:rPr>
      </w:pPr>
      <w:r>
        <w:rPr>
          <w:rFonts w:ascii="Arial" w:cs="Arial" w:eastAsia="Arial" w:hAnsi="Arial"/>
          <w:sz w:val="20"/>
          <w:szCs w:val="20"/>
          <w:color w:val="auto"/>
        </w:rPr>
        <w:t>satisfactory to the Administrative Agent (which may include facsimile or electronic transmission of a signed signature page of this Agreement) that such party has signed a counterpart of this Agreement;</w:t>
      </w:r>
    </w:p>
    <w:p>
      <w:pPr>
        <w:spacing w:after="0" w:line="155" w:lineRule="exact"/>
        <w:rPr>
          <w:sz w:val="20"/>
          <w:szCs w:val="20"/>
          <w:color w:val="auto"/>
        </w:rPr>
      </w:pPr>
    </w:p>
    <w:p>
      <w:pPr>
        <w:ind w:left="1940" w:hanging="636"/>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shall be true and correct as of the date hereof; and</w:t>
      </w:r>
    </w:p>
    <w:p>
      <w:pPr>
        <w:spacing w:after="0" w:line="198" w:lineRule="exact"/>
        <w:rPr>
          <w:rFonts w:ascii="Arial" w:cs="Arial" w:eastAsia="Arial" w:hAnsi="Arial"/>
          <w:sz w:val="18"/>
          <w:szCs w:val="18"/>
          <w:color w:val="auto"/>
        </w:rPr>
      </w:pPr>
    </w:p>
    <w:p>
      <w:pPr>
        <w:jc w:val="both"/>
        <w:ind w:left="660" w:firstLine="644"/>
        <w:spacing w:after="0" w:line="218" w:lineRule="auto"/>
        <w:tabs>
          <w:tab w:leader="none" w:pos="1945"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fees and reasonable out-of-pocket expenses (including reasonable fees, charges and disbursements of Cahill Gordon &amp; Reindel LLP) owing by the Borrower to the Administrative Agent and the Lenders and invoiced prior to the date hereof shall have been paid in full.</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8"/>
          <w:szCs w:val="18"/>
          <w:i w:val="1"/>
          <w:iCs w:val="1"/>
          <w:u w:val="single" w:color="auto"/>
          <w:color w:val="auto"/>
        </w:rPr>
        <w:t>Governing Law; Etc</w:t>
      </w:r>
      <w:r>
        <w:rPr>
          <w:rFonts w:ascii="Arial" w:cs="Arial" w:eastAsia="Arial" w:hAnsi="Arial"/>
          <w:sz w:val="18"/>
          <w:szCs w:val="18"/>
          <w:i w:val="1"/>
          <w:iCs w:val="1"/>
          <w:color w:val="auto"/>
        </w:rPr>
        <w:t>.</w:t>
      </w:r>
    </w:p>
    <w:p>
      <w:pPr>
        <w:spacing w:after="0" w:line="181" w:lineRule="exact"/>
        <w:rPr>
          <w:sz w:val="20"/>
          <w:szCs w:val="20"/>
          <w:color w:val="auto"/>
        </w:rPr>
      </w:pPr>
    </w:p>
    <w:p>
      <w:pPr>
        <w:jc w:val="both"/>
        <w:ind w:left="660" w:firstLine="644"/>
        <w:spacing w:after="0" w:line="210"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THIS AGREEMENT AND ANY CLAIMS, CONTROVERSY, DISPUTE OR CAUSES OF ACTION (WHETHER IN CONTRACT OR TORT OR OTHERWISE) BASED UPON, ARISING OUT OF OR RELATING TO THIS AGREEMENT SHALL BE CONSTRUED IN ACCORDANCE WITH AND GOVERNED BY THE LAW OF THE STATE OF NEW YORK, WITHOUT REGARD TO ANY PRINCIPLE OF CONFLICTS OF LAW THAT COULD REQUIRE THE APPLICATION OF ANY OTHER LAW.</w:t>
      </w:r>
    </w:p>
    <w:p>
      <w:pPr>
        <w:spacing w:after="0" w:line="154" w:lineRule="exact"/>
        <w:rPr>
          <w:rFonts w:ascii="Arial" w:cs="Arial" w:eastAsia="Arial" w:hAnsi="Arial"/>
          <w:sz w:val="20"/>
          <w:szCs w:val="20"/>
          <w:color w:val="auto"/>
        </w:rPr>
      </w:pPr>
    </w:p>
    <w:p>
      <w:pPr>
        <w:ind w:left="660" w:right="20" w:firstLine="644"/>
        <w:spacing w:after="0" w:line="229" w:lineRule="auto"/>
        <w:tabs>
          <w:tab w:leader="none" w:pos="1944" w:val="left"/>
        </w:tabs>
        <w:numPr>
          <w:ilvl w:val="0"/>
          <w:numId w:val="44"/>
        </w:numPr>
        <w:rPr>
          <w:rFonts w:ascii="Arial" w:cs="Arial" w:eastAsia="Arial" w:hAnsi="Arial"/>
          <w:sz w:val="20"/>
          <w:szCs w:val="20"/>
          <w:color w:val="auto"/>
        </w:rPr>
      </w:pPr>
      <w:r>
        <w:rPr>
          <w:rFonts w:ascii="Arial" w:cs="Arial" w:eastAsia="Arial" w:hAnsi="Arial"/>
          <w:sz w:val="20"/>
          <w:szCs w:val="20"/>
          <w:color w:val="auto"/>
        </w:rPr>
        <w:t>EACH PARTY HERETO HEREBY AGREES AS SET FORTH IN SECTIONS 9.11 AND 9.15 OF THE CREDIT AGREEMENT AS IF SUCH SECTIONS WERE SET FORTH IN FULL HEREIN.</w:t>
      </w:r>
    </w:p>
    <w:p>
      <w:pPr>
        <w:spacing w:after="0" w:line="149"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i w:val="1"/>
          <w:iCs w:val="1"/>
          <w:color w:val="auto"/>
        </w:rPr>
        <w:t>Confirmation of Guaranties and Security Interests</w:t>
      </w:r>
      <w:r>
        <w:rPr>
          <w:rFonts w:ascii="Arial" w:cs="Arial" w:eastAsia="Arial" w:hAnsi="Arial"/>
          <w:sz w:val="18"/>
          <w:szCs w:val="18"/>
          <w:color w:val="auto"/>
        </w:rPr>
        <w:t>. By signing this Agreement, the Borrower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itself and each other Loan Party) hereby confirms that (i) the obligations of the Loan Parties under the Credit Agreement as modified hereby and the other Loan Documents (x) are entitled to the benefits of the guarantees and the security interests set forth or created in the Collateral Agreement, the other Security Documents and the other Loan Documents and (y) constitute Loan Obligations and (ii) notwithstanding the effectiveness of the terms hereof, the Collateral Agreement, the other Security Documents and the other Loan Documents are, and shall continue to be, in full force and effect and are hereby ratified and confirmed in all respects after giving effect to the amendments contemplated herein. The Borrower (on behalf of itself and each other Loan Party) ratifies and confirms that all Liens granted, conveyed, or assigned to any Agent by such Person pursuant to each Loan Document to which it is a party remain in full force and effect, are not released or reduced, and continue to secure full payment and performance of the Loan Obligations as modified hereby.</w:t>
      </w:r>
    </w:p>
    <w:p>
      <w:pPr>
        <w:spacing w:after="0" w:line="15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each of which when so executed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be an original and all of which when taken together shall constitute one and the same instrument. Delivery of an executed counterpart to this Agreement by facsimile transmission or electronic mail (or other electronic transmission pursuant to procedures approved by the Administrative Agent) shall be as effective as delivery of a manually signed original.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Each of the parties represents and warrants to the other parties that it has the corporate capacity and authority to execute this Agreement through electronic means and there are no restrictions for doing so in that party’s constitutive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5" w:right="339" w:bottom="1440" w:gutter="0" w:footer="0" w:header="0"/>
        </w:sectPr>
      </w:pPr>
    </w:p>
    <w:bookmarkStart w:id="61" w:name="page62"/>
    <w:bookmarkEnd w:id="61"/>
    <w:p>
      <w:pPr>
        <w:jc w:val="both"/>
        <w:ind w:firstLine="1296"/>
        <w:spacing w:after="0" w:line="206" w:lineRule="auto"/>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i w:val="1"/>
          <w:iCs w:val="1"/>
          <w:color w:val="auto"/>
        </w:rPr>
        <w:t>Miscellaneous</w:t>
      </w:r>
      <w:r>
        <w:rPr>
          <w:rFonts w:ascii="Arial" w:cs="Arial" w:eastAsia="Arial" w:hAnsi="Arial"/>
          <w:sz w:val="20"/>
          <w:szCs w:val="20"/>
          <w:color w:val="auto"/>
        </w:rPr>
        <w:t>. This Agreement shall constitute a Loan Document for all purposes of the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shall pay all reasonable fees, costs and expenses of the Administrative Agent as agreed to between the parties incurred in connection with the negotiation, preparation and execution of this Agreement and the transactions contemplated hereby (in the case of any such fees and reasonable out-of-pocket expenses incurred in connection with this Agreement, subject to any agreed-upon limits contained in any letter agreement with the Administrative Agent or its affiliates entered into in connection with this Agreement). 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color w:val="auto"/>
        </w:rPr>
        <w:t>IN WITNESS WHEREOF, the parties hereto have caused this Agreement to be duly executed as of the date first above</w:t>
      </w:r>
    </w:p>
    <w:p>
      <w:pPr>
        <w:spacing w:after="0"/>
        <w:rPr>
          <w:sz w:val="20"/>
          <w:szCs w:val="20"/>
          <w:color w:val="auto"/>
        </w:rPr>
      </w:pPr>
      <w:r>
        <w:rPr>
          <w:rFonts w:ascii="Arial" w:cs="Arial" w:eastAsia="Arial" w:hAnsi="Arial"/>
          <w:sz w:val="20"/>
          <w:szCs w:val="20"/>
          <w:color w:val="auto"/>
        </w:rPr>
        <w:t>written.</w:t>
      </w:r>
    </w:p>
    <w:p>
      <w:pPr>
        <w:spacing w:after="0" w:line="13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CAESARS CAYMAN FINANCE LIMITED</w:t>
      </w:r>
    </w:p>
    <w:p>
      <w:pPr>
        <w:ind w:left="3900"/>
        <w:spacing w:after="0"/>
        <w:rPr>
          <w:sz w:val="20"/>
          <w:szCs w:val="20"/>
          <w:color w:val="auto"/>
        </w:rPr>
      </w:pPr>
      <w:r>
        <w:rPr>
          <w:rFonts w:ascii="Arial" w:cs="Arial" w:eastAsia="Arial" w:hAnsi="Arial"/>
          <w:sz w:val="20"/>
          <w:szCs w:val="20"/>
          <w:color w:val="auto"/>
        </w:rPr>
        <w:t>as Borrower</w:t>
      </w: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-118745</wp:posOffset>
            </wp:positionV>
            <wp:extent cx="1257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Amendment to Credit Agreement]</w:t>
      </w:r>
    </w:p>
    <w:p>
      <w:pPr>
        <w:sectPr>
          <w:pgSz w:w="11900" w:h="16838" w:orient="portrait"/>
          <w:cols w:equalWidth="0" w:num="1">
            <w:col w:w="11220"/>
          </w:cols>
          <w:pgMar w:left="320" w:top="1380" w:right="359" w:bottom="1440" w:gutter="0" w:footer="0" w:header="0"/>
        </w:sectPr>
      </w:pPr>
    </w:p>
    <w:bookmarkStart w:id="63" w:name="page64"/>
    <w:bookmarkEnd w:id="63"/>
    <w:p>
      <w:pPr>
        <w:ind w:left="2780"/>
        <w:spacing w:after="0"/>
        <w:rPr>
          <w:sz w:val="20"/>
          <w:szCs w:val="20"/>
          <w:color w:val="auto"/>
        </w:rPr>
      </w:pPr>
      <w:r>
        <w:rPr>
          <w:rFonts w:ascii="Arial" w:cs="Arial" w:eastAsia="Arial" w:hAnsi="Arial"/>
          <w:sz w:val="19"/>
          <w:szCs w:val="19"/>
          <w:b w:val="1"/>
          <w:bCs w:val="1"/>
          <w:color w:val="auto"/>
        </w:rPr>
        <w:t>DEUTSCHE BANK AG, LONDON BRANCH</w:t>
      </w:r>
      <w:r>
        <w:rPr>
          <w:rFonts w:ascii="Arial" w:cs="Arial" w:eastAsia="Arial" w:hAnsi="Arial"/>
          <w:sz w:val="19"/>
          <w:szCs w:val="19"/>
          <w:color w:val="auto"/>
        </w:rPr>
        <w:t>,</w:t>
      </w:r>
    </w:p>
    <w:p>
      <w:pPr>
        <w:ind w:left="2780"/>
        <w:spacing w:after="0"/>
        <w:rPr>
          <w:sz w:val="20"/>
          <w:szCs w:val="20"/>
          <w:color w:val="auto"/>
        </w:rPr>
      </w:pPr>
      <w:r>
        <w:rPr>
          <w:rFonts w:ascii="Arial" w:cs="Arial" w:eastAsia="Arial" w:hAnsi="Arial"/>
          <w:sz w:val="20"/>
          <w:szCs w:val="20"/>
          <w:color w:val="auto"/>
        </w:rPr>
        <w:t>as Administrative Agent</w:t>
      </w:r>
    </w:p>
    <w:p>
      <w:pPr>
        <w:spacing w:after="0" w:line="2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57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35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57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Credit Agreement]</w:t>
      </w:r>
    </w:p>
    <w:p>
      <w:pPr>
        <w:sectPr>
          <w:pgSz w:w="11900" w:h="16838" w:orient="portrait"/>
          <w:cols w:equalWidth="0" w:num="1">
            <w:col w:w="9019"/>
          </w:cols>
          <w:pgMar w:left="1440" w:top="1392" w:right="1440" w:bottom="1440" w:gutter="0" w:footer="0" w:header="0"/>
        </w:sectPr>
      </w:pPr>
    </w:p>
    <w:bookmarkStart w:id="64" w:name="page65"/>
    <w:bookmarkEnd w:id="64"/>
    <w:p>
      <w:pPr>
        <w:ind w:left="2780"/>
        <w:spacing w:after="0"/>
        <w:rPr>
          <w:sz w:val="20"/>
          <w:szCs w:val="20"/>
          <w:color w:val="auto"/>
        </w:rPr>
      </w:pPr>
      <w:r>
        <w:rPr>
          <w:rFonts w:ascii="Arial" w:cs="Arial" w:eastAsia="Arial" w:hAnsi="Arial"/>
          <w:sz w:val="19"/>
          <w:szCs w:val="19"/>
          <w:b w:val="1"/>
          <w:bCs w:val="1"/>
          <w:color w:val="auto"/>
        </w:rPr>
        <w:t>DEUTSCHE BANK AG, LONDON BRANCH</w:t>
      </w:r>
      <w:r>
        <w:rPr>
          <w:rFonts w:ascii="Arial" w:cs="Arial" w:eastAsia="Arial" w:hAnsi="Arial"/>
          <w:sz w:val="19"/>
          <w:szCs w:val="19"/>
          <w:color w:val="auto"/>
        </w:rPr>
        <w:t>,</w:t>
      </w:r>
    </w:p>
    <w:p>
      <w:pPr>
        <w:ind w:left="2780"/>
        <w:spacing w:after="0"/>
        <w:rPr>
          <w:sz w:val="20"/>
          <w:szCs w:val="20"/>
          <w:color w:val="auto"/>
        </w:rPr>
      </w:pPr>
      <w:r>
        <w:rPr>
          <w:rFonts w:ascii="Arial" w:cs="Arial" w:eastAsia="Arial" w:hAnsi="Arial"/>
          <w:sz w:val="20"/>
          <w:szCs w:val="20"/>
          <w:color w:val="auto"/>
        </w:rPr>
        <w:t>as a Lender</w:t>
      </w:r>
    </w:p>
    <w:p>
      <w:pPr>
        <w:spacing w:after="0" w:line="2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57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35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57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Credit Agreement]</w:t>
      </w:r>
    </w:p>
    <w:p>
      <w:pPr>
        <w:sectPr>
          <w:pgSz w:w="11900" w:h="16838" w:orient="portrait"/>
          <w:cols w:equalWidth="0" w:num="1">
            <w:col w:w="9019"/>
          </w:cols>
          <w:pgMar w:left="1440" w:top="1392" w:right="1440" w:bottom="1440" w:gutter="0" w:footer="0" w:header="0"/>
        </w:sectPr>
      </w:pPr>
    </w:p>
    <w:bookmarkStart w:id="65" w:name="page66"/>
    <w:bookmarkEnd w:id="65"/>
    <w:p>
      <w:pPr>
        <w:ind w:left="278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ind w:left="2780"/>
        <w:spacing w:after="0"/>
        <w:rPr>
          <w:sz w:val="20"/>
          <w:szCs w:val="20"/>
          <w:color w:val="auto"/>
        </w:rPr>
      </w:pPr>
      <w:r>
        <w:rPr>
          <w:rFonts w:ascii="Arial" w:cs="Arial" w:eastAsia="Arial" w:hAnsi="Arial"/>
          <w:sz w:val="20"/>
          <w:szCs w:val="20"/>
          <w:color w:val="auto"/>
        </w:rPr>
        <w:t>as a Lender</w:t>
      </w:r>
    </w:p>
    <w:p>
      <w:pPr>
        <w:spacing w:after="0" w:line="2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5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Credit Agreement]</w:t>
      </w:r>
    </w:p>
    <w:p>
      <w:pPr>
        <w:sectPr>
          <w:pgSz w:w="11900" w:h="16838" w:orient="portrait"/>
          <w:cols w:equalWidth="0" w:num="1">
            <w:col w:w="9019"/>
          </w:cols>
          <w:pgMar w:left="1440" w:top="1380" w:right="1440" w:bottom="1440" w:gutter="0" w:footer="0" w:header="0"/>
        </w:sectPr>
      </w:pPr>
    </w:p>
    <w:bookmarkStart w:id="66" w:name="page67"/>
    <w:bookmarkEnd w:id="66"/>
    <w:p>
      <w:pPr>
        <w:ind w:left="27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ind w:left="2780"/>
        <w:spacing w:after="0"/>
        <w:rPr>
          <w:sz w:val="20"/>
          <w:szCs w:val="20"/>
          <w:color w:val="auto"/>
        </w:rPr>
      </w:pPr>
      <w:r>
        <w:rPr>
          <w:rFonts w:ascii="Arial" w:cs="Arial" w:eastAsia="Arial" w:hAnsi="Arial"/>
          <w:sz w:val="20"/>
          <w:szCs w:val="20"/>
          <w:color w:val="auto"/>
        </w:rPr>
        <w:t>as a Lender</w:t>
      </w:r>
    </w:p>
    <w:p>
      <w:pPr>
        <w:spacing w:after="0" w:line="2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57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Credit Agreement]</w:t>
      </w:r>
    </w:p>
    <w:p>
      <w:pPr>
        <w:sectPr>
          <w:pgSz w:w="11900" w:h="16838" w:orient="portrait"/>
          <w:cols w:equalWidth="0" w:num="1">
            <w:col w:w="9019"/>
          </w:cols>
          <w:pgMar w:left="1440" w:top="1380"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ind w:left="5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7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2022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78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2022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tables present the consolidating condensed balance sheets as of June 30, 2022 and December 31, 2021, consolidating condensed statements of operations for the three and six months ended June 30, 2022 and 2021, cash flows for the six months ended June 30, 2022 and 2021, and Adjusted EBITDA for the three and six months ended June 30, 2022 of Caesars Resort Collection, LLC (“CRC”), as it consolidates into CEI as a wholly-owned subsidiary. “Other Operations, Eliminations” presents the operations of CEI’s other subsidiaries, including eliminations of intercompany transactions.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June 30, 2022 and December 31, 2021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6"/>
              </w:rPr>
              <w:t>June 30, 2022</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December 31, 2021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spacing w:after="0" w:line="166" w:lineRule="exact"/>
              <w:rPr>
                <w:sz w:val="20"/>
                <w:szCs w:val="20"/>
                <w:color w:val="auto"/>
              </w:rPr>
            </w:pPr>
            <w:r>
              <w:rPr>
                <w:rFonts w:ascii="Arial" w:cs="Arial" w:eastAsia="Arial" w:hAnsi="Arial"/>
                <w:sz w:val="16"/>
                <w:szCs w:val="16"/>
                <w:color w:val="auto"/>
              </w:rPr>
              <w:t>Investments in and advances to unconsolidated</w:t>
            </w:r>
          </w:p>
        </w:tc>
        <w:tc>
          <w:tcPr>
            <w:tcW w:w="2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affiliates</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Gaming rights and other intangibles,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36,670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80" w:type="dxa"/>
            <w:vAlign w:val="bottom"/>
            <w:gridSpan w:val="4"/>
          </w:tcPr>
          <w:p>
            <w:pPr>
              <w:ind w:left="560"/>
              <w:spacing w:after="0" w:line="163" w:lineRule="exact"/>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Due to affiliates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3,265</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4,897</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to related party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11,116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32,959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11,330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33,490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36,670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three months ended June 30, 2022 and 2021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420"/>
              <w:spacing w:after="0"/>
              <w:rPr>
                <w:sz w:val="20"/>
                <w:szCs w:val="20"/>
                <w:color w:val="auto"/>
              </w:rPr>
            </w:pPr>
            <w:r>
              <w:rPr>
                <w:rFonts w:ascii="Arial" w:cs="Arial" w:eastAsia="Arial" w:hAnsi="Arial"/>
                <w:sz w:val="16"/>
                <w:szCs w:val="16"/>
                <w:b w:val="1"/>
                <w:bCs w:val="1"/>
                <w:color w:val="auto"/>
                <w:w w:val="95"/>
              </w:rPr>
              <w:t>Three Months Ended June 30, 2022</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Three Months Ended June 30, 2021</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1,549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six months ended June 30, 2022 and 2021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w w:val="95"/>
              </w:rPr>
              <w:t>Six Months Ended June 30, 2022</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Six Months Ended June 30, 2021</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1,983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2,841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the six months ended June 30, 2022 and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right"/>
              <w:ind w:right="788"/>
              <w:spacing w:after="0"/>
              <w:rPr>
                <w:sz w:val="20"/>
                <w:szCs w:val="20"/>
                <w:color w:val="auto"/>
              </w:rPr>
            </w:pPr>
            <w:r>
              <w:rPr>
                <w:rFonts w:ascii="Arial" w:cs="Arial" w:eastAsia="Arial" w:hAnsi="Arial"/>
                <w:sz w:val="14"/>
                <w:szCs w:val="14"/>
                <w:b w:val="1"/>
                <w:bCs w:val="1"/>
                <w:color w:val="auto"/>
              </w:rPr>
              <w:t>Six Months Ended June 30, 2022</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7"/>
          </w:tcPr>
          <w:p>
            <w:pPr>
              <w:jc w:val="right"/>
              <w:ind w:right="808"/>
              <w:spacing w:after="0"/>
              <w:rPr>
                <w:sz w:val="20"/>
                <w:szCs w:val="20"/>
                <w:color w:val="auto"/>
              </w:rPr>
            </w:pPr>
            <w:r>
              <w:rPr>
                <w:rFonts w:ascii="Arial" w:cs="Arial" w:eastAsia="Arial" w:hAnsi="Arial"/>
                <w:sz w:val="14"/>
                <w:szCs w:val="14"/>
                <w:b w:val="1"/>
                <w:bCs w:val="1"/>
                <w:color w:val="auto"/>
              </w:rPr>
              <w:t>Six Months Ended June 30, 2021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2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Other Operations,</w:t>
            </w: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CEI Consolidated</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Other Operations,</w:t>
            </w:r>
          </w:p>
        </w:tc>
        <w:tc>
          <w:tcPr>
            <w:tcW w:w="100" w:type="dxa"/>
            <w:vAlign w:val="bottom"/>
          </w:tcPr>
          <w:p>
            <w:pPr>
              <w:spacing w:after="0"/>
              <w:rPr>
                <w:sz w:val="11"/>
                <w:szCs w:val="11"/>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CEI 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Purchase of property and equipment,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Acquisition of William Hill, net of cash acquired</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Acquisition of gaming rights and trademarks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3"/>
              </w:rPr>
              <w:t>Proceeds from sale of businesses, property and equipment,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net of cash sold</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Proceeds from insurance related to property damage</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66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Proceeds from long-term debt and revolving credit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facilities</w:t>
            </w: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Repayments of long-term debt and revolving credit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(878)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facilities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paid to settle convertible notes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Transactions with parent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3"/>
              </w:rPr>
              <w:t>Taxes paid related to net share settlement of equity awards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FLOWS FROM DISCONTINUED OPERATIONS: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94"/>
              </w:rPr>
              <w:t>Net cash provided by (used in) discontinued operations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Effect of foreign currency exchange rates on cash</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3660" w:type="dxa"/>
            <w:vAlign w:val="bottom"/>
            <w:gridSpan w:val="2"/>
            <w:shd w:val="clear" w:color="auto" w:fill="CCEEFF"/>
          </w:tcPr>
          <w:p>
            <w:pPr>
              <w:ind w:left="200"/>
              <w:spacing w:after="0" w:line="119" w:lineRule="exact"/>
              <w:rPr>
                <w:sz w:val="20"/>
                <w:szCs w:val="20"/>
                <w:color w:val="auto"/>
              </w:rPr>
            </w:pPr>
            <w:r>
              <w:rPr>
                <w:rFonts w:ascii="Arial" w:cs="Arial" w:eastAsia="Arial" w:hAnsi="Arial"/>
                <w:sz w:val="13"/>
                <w:szCs w:val="13"/>
                <w:color w:val="auto"/>
                <w:w w:val="99"/>
              </w:rPr>
              <w:t>Increase (decrease) in cash, cash equivalents and restricted</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w:t>
            </w: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8"/>
              </w:rPr>
              <w:t>Cash, cash equivalents and restricted cash, beginning of</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6"/>
              </w:rPr>
              <w:t>Cash, cash equivalents and restricted cash,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reconciliations of net income (loss) attributable to Caesars to Adjusted EBITDA for the three and six months ended June 30, 2022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w w:val="92"/>
              </w:rPr>
              <w:t>Three Months Ended June 30, 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1"/>
              </w:rPr>
              <w:t>Six Months Ended June 30, 2022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CEI</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Consolidated</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12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spacing w:after="0" w:line="166" w:lineRule="exact"/>
              <w:rPr>
                <w:sz w:val="20"/>
                <w:szCs w:val="20"/>
                <w:color w:val="auto"/>
              </w:rPr>
            </w:pPr>
            <w:r>
              <w:rPr>
                <w:rFonts w:ascii="Arial" w:cs="Arial" w:eastAsia="Arial" w:hAnsi="Arial"/>
                <w:sz w:val="16"/>
                <w:szCs w:val="16"/>
                <w:color w:val="auto"/>
              </w:rPr>
              <w:t>Net income attributable to noncontrolling</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Provision (benefit) for income tax</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Transaction costs and other operating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items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1)"/>
      <w:numFmt w:val="lowerLetter"/>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2"/>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2"/>
    </w:lvl>
    <w:lvl w:ilvl="1">
      <w:lvlJc w:val="left"/>
      <w:lvlText w:val="(%2)"/>
      <w:numFmt w:val="lowerLetter"/>
      <w:start w:val="5"/>
    </w:lvl>
  </w:abstractNum>
  <w:abstractNum w:abstractNumId="33">
    <w:nsid w:val="153EA438"/>
    <w:multiLevelType w:val="hybridMultilevel"/>
    <w:lvl w:ilvl="0">
      <w:lvlJc w:val="left"/>
      <w:lvlText w:val="%1"/>
      <w:numFmt w:val="lowerLetter"/>
      <w:start w:val="1"/>
    </w:lvl>
    <w:lvl w:ilvl="1">
      <w:lvlJc w:val="left"/>
      <w:lvlText w:val="(%2)"/>
      <w:numFmt w:val="lowerLetter"/>
      <w:start w:val="22"/>
    </w:lvl>
  </w:abstractNum>
  <w:abstractNum w:abstractNumId="34">
    <w:nsid w:val="3855585C"/>
    <w:multiLevelType w:val="hybridMultilevel"/>
    <w:lvl w:ilvl="0">
      <w:lvlJc w:val="left"/>
      <w:lvlText w:val="(%1)"/>
      <w:numFmt w:val="lowerLetter"/>
      <w:start w:val="4"/>
    </w:lvl>
    <w:lvl w:ilvl="1">
      <w:lvlJc w:val="left"/>
      <w:lvlText w:val="(%2)"/>
      <w:numFmt w:val="lowerLetter"/>
      <w:start w:val="20"/>
    </w:lvl>
  </w:abstractNum>
  <w:abstractNum w:abstractNumId="35">
    <w:nsid w:val="70A64E2A"/>
    <w:multiLevelType w:val="hybridMultilevel"/>
    <w:lvl w:ilvl="0">
      <w:lvlJc w:val="left"/>
      <w:lvlText w:val="%1"/>
      <w:numFmt w:val="lowerLetter"/>
      <w:start w:val="1"/>
    </w:lvl>
    <w:lvl w:ilvl="1">
      <w:lvlJc w:val="left"/>
      <w:lvlText w:val="(%2)"/>
      <w:numFmt w:val="lowerLetter"/>
      <w:start w:val="12"/>
    </w:lvl>
  </w:abstractNum>
  <w:abstractNum w:abstractNumId="36">
    <w:nsid w:val="6A2342EC"/>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37">
    <w:nsid w:val="2A487CB0"/>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30"/>
    </w:lvl>
  </w:abstractNum>
  <w:abstractNum w:abstractNumId="38">
    <w:nsid w:val="1D4ED43B"/>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15"/>
    </w:lvl>
  </w:abstractNum>
  <w:abstractNum w:abstractNumId="39">
    <w:nsid w:val="725A06FB"/>
    <w:multiLevelType w:val="hybridMultilevel"/>
    <w:lvl w:ilvl="0">
      <w:lvlJc w:val="left"/>
      <w:lvlText w:val="(%1)"/>
      <w:numFmt w:val="lowerRoman"/>
      <w:start w:val="8"/>
    </w:lvl>
  </w:abstractNum>
  <w:abstractNum w:abstractNumId="40">
    <w:nsid w:val="2CD89A32"/>
    <w:multiLevelType w:val="hybridMultilevel"/>
    <w:lvl w:ilvl="0">
      <w:lvlJc w:val="left"/>
      <w:lvlText w:val="(%1)"/>
      <w:numFmt w:val="lowerLetter"/>
      <w:start w:val="9"/>
    </w:lvl>
  </w:abstractNum>
  <w:abstractNum w:abstractNumId="41">
    <w:nsid w:val="57E4CCAF"/>
    <w:multiLevelType w:val="hybridMultilevel"/>
    <w:lvl w:ilvl="0">
      <w:lvlJc w:val="left"/>
      <w:lvlText w:val="(%1)"/>
      <w:numFmt w:val="lowerLetter"/>
      <w:start w:val="11"/>
    </w:lvl>
  </w:abstractNum>
  <w:abstractNum w:abstractNumId="42">
    <w:nsid w:val="7A6D8D3C"/>
    <w:multiLevelType w:val="hybridMultilevel"/>
    <w:lvl w:ilvl="0">
      <w:lvlJc w:val="left"/>
      <w:lvlText w:val="(%1)"/>
      <w:numFmt w:val="lowerLetter"/>
      <w:start w:val="12"/>
    </w:lvl>
  </w:abstractNum>
  <w:abstractNum w:abstractNumId="43">
    <w:nsid w:val="4B588F54"/>
    <w:multiLevelType w:val="hybridMultilevel"/>
    <w:lvl w:ilvl="0">
      <w:lvlJc w:val="left"/>
      <w:lvlText w:val="(%1)"/>
      <w:numFmt w:val="lowerLetter"/>
      <w:start w:val="1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76" Type="http://schemas.openxmlformats.org/officeDocument/2006/relationships/hyperlink" Target="https://www.sec.gov/Archives/edgar/data/1590895/000159089521000118/ex31-compositecertificateo.htm" TargetMode="External"/><Relationship Id="rId77" Type="http://schemas.openxmlformats.org/officeDocument/2006/relationships/hyperlink" Target="https://www.sec.gov/Archives/edgar/data/1590895/000119312522208845/d33298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2022-08-04T05:21:22Z</dcterms:created>
  <dcterms:modified xsi:type="dcterms:W3CDTF">2022-08-04T05:21:22Z</dcterms:modified>
</cp:coreProperties>
</file>