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400" w:right="70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8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0"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8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80" w:type="dxa"/>
            <w:vAlign w:val="bottom"/>
            <w:gridSpan w:val="3"/>
          </w:tcPr>
          <w:p>
            <w:pPr>
              <w:jc w:val="center"/>
              <w:ind w:right="1520"/>
              <w:spacing w:after="0"/>
              <w:rPr>
                <w:sz w:val="20"/>
                <w:szCs w:val="20"/>
                <w:color w:val="auto"/>
              </w:rPr>
            </w:pPr>
            <w:r>
              <w:rPr>
                <w:rFonts w:ascii="Arial" w:cs="Arial" w:eastAsia="Arial" w:hAnsi="Arial"/>
                <w:sz w:val="16"/>
                <w:szCs w:val="16"/>
                <w:b w:val="1"/>
                <w:bCs w:val="1"/>
                <w:color w:val="auto"/>
                <w:w w:val="91"/>
              </w:rPr>
              <w:t>Common Stock, $0.00001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86" w:lineRule="exact"/>
        <w:rPr>
          <w:sz w:val="24"/>
          <w:szCs w:val="24"/>
          <w:color w:val="auto"/>
        </w:rPr>
      </w:pPr>
    </w:p>
    <w:p>
      <w:pPr>
        <w:jc w:val="both"/>
        <w:ind w:firstLine="81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81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jc w:val="both"/>
        <w:ind w:firstLine="81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79" w:lineRule="exact"/>
        <w:rPr>
          <w:sz w:val="24"/>
          <w:szCs w:val="24"/>
          <w:color w:val="auto"/>
        </w:rPr>
      </w:pPr>
    </w:p>
    <w:p>
      <w:pPr>
        <w:ind w:firstLine="810"/>
        <w:spacing w:after="0" w:line="234"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820"/>
        <w:spacing w:after="0" w:line="207" w:lineRule="exact"/>
        <w:tabs>
          <w:tab w:leader="none" w:pos="916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October 26, 2023 was 215,710,686.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sz w:val="20"/>
                <w:szCs w:val="20"/>
                <w:color w:val="auto"/>
              </w:rPr>
            </w:pPr>
            <w:r>
              <w:rPr>
                <w:rFonts w:ascii="Arial" w:cs="Arial" w:eastAsia="Arial" w:hAnsi="Arial"/>
                <w:sz w:val="18"/>
                <w:szCs w:val="18"/>
                <w:b w:val="1"/>
                <w:bCs w:val="1"/>
                <w:color w:val="0000FF"/>
              </w:rPr>
              <w:t>PART I. FINANCIAL INFORMATION</w:t>
            </w:r>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0000FF"/>
                <w:w w:val="79"/>
              </w:rPr>
              <w:t>2</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Unaudited Financial Statements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rPr>
              <w:t>Consolidated Condensed Balance Sheets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Arial" w:cs="Arial" w:eastAsia="Arial" w:hAnsi="Arial"/>
                <w:sz w:val="18"/>
                <w:szCs w:val="18"/>
                <w:color w:val="0000FF"/>
              </w:rPr>
              <w:t>Consolidated Condensed Statements of Operations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3</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sz w:val="20"/>
                <w:szCs w:val="20"/>
                <w:color w:val="auto"/>
              </w:rPr>
            </w:pPr>
            <w:r>
              <w:rPr>
                <w:rFonts w:ascii="Arial" w:cs="Arial" w:eastAsia="Arial" w:hAnsi="Arial"/>
                <w:sz w:val="18"/>
                <w:szCs w:val="18"/>
                <w:color w:val="0000FF"/>
                <w:w w:val="89"/>
              </w:rPr>
              <w:t>Consolidated Condensed Statements of Comprehensive Income (Loss)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4</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Arial" w:cs="Arial" w:eastAsia="Arial" w:hAnsi="Arial"/>
                <w:sz w:val="18"/>
                <w:szCs w:val="18"/>
                <w:color w:val="0000FF"/>
              </w:rPr>
              <w:t>Consolidated Condensed Statements of Stockholders’ Equity</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79"/>
              </w:rPr>
              <w:t>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Arial" w:cs="Arial" w:eastAsia="Arial" w:hAnsi="Arial"/>
                <w:sz w:val="18"/>
                <w:szCs w:val="18"/>
                <w:color w:val="0000FF"/>
              </w:rPr>
              <w:t>Consolidated Condensed Statements of Cash Flows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79"/>
              </w:rPr>
              <w:t>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88"/>
              </w:rPr>
              <w:t>Notes to Consolidated Condensed Financial Statements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Arial" w:cs="Arial" w:eastAsia="Arial" w:hAnsi="Arial"/>
                <w:sz w:val="18"/>
                <w:szCs w:val="18"/>
                <w:color w:val="0000FF"/>
                <w:w w:val="79"/>
              </w:rPr>
              <w:t>9</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00FF"/>
              </w:rPr>
              <w:t>Item 2.</w:t>
            </w:r>
          </w:p>
        </w:tc>
        <w:tc>
          <w:tcPr>
            <w:tcW w:w="6460" w:type="dxa"/>
            <w:vAlign w:val="bottom"/>
            <w:tcBorders>
              <w:bottom w:val="single" w:sz="8" w:color="0000FF"/>
            </w:tcBorders>
            <w:gridSpan w:val="19"/>
            <w:shd w:val="clear" w:color="auto" w:fill="CCEEFF"/>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31</w:t>
            </w:r>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89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00" w:type="dxa"/>
            <w:vAlign w:val="bottom"/>
          </w:tcPr>
          <w:p>
            <w:pPr>
              <w:jc w:val="center"/>
              <w:spacing w:after="0"/>
              <w:rPr>
                <w:sz w:val="20"/>
                <w:szCs w:val="20"/>
                <w:color w:val="auto"/>
              </w:rPr>
            </w:pPr>
            <w:r>
              <w:rPr>
                <w:rFonts w:ascii="Arial" w:cs="Arial" w:eastAsia="Arial" w:hAnsi="Arial"/>
                <w:sz w:val="18"/>
                <w:szCs w:val="18"/>
                <w:color w:val="0000FF"/>
                <w:w w:val="89"/>
              </w:rPr>
              <w:t>45</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4.</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Controls and Procedures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46</w:t>
            </w:r>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PART II. OTHER INFORMATION</w:t>
            </w:r>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47</w:t>
            </w: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Legal Proceedings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47</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1A.</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Risk Factors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48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color w:val="0000FF"/>
              </w:rPr>
              <w:t>Item 2.</w:t>
            </w:r>
          </w:p>
        </w:tc>
        <w:tc>
          <w:tcPr>
            <w:tcW w:w="8920" w:type="dxa"/>
            <w:vAlign w:val="bottom"/>
            <w:gridSpan w:val="20"/>
          </w:tcPr>
          <w:p>
            <w:pPr>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50</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3.</w:t>
            </w:r>
          </w:p>
        </w:tc>
        <w:tc>
          <w:tcPr>
            <w:tcW w:w="8920" w:type="dxa"/>
            <w:vAlign w:val="bottom"/>
            <w:gridSpan w:val="20"/>
            <w:shd w:val="clear" w:color="auto" w:fill="CCEEFF"/>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50</w:t>
            </w:r>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0000FF"/>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Arial" w:cs="Arial" w:eastAsia="Arial" w:hAnsi="Arial"/>
                <w:sz w:val="18"/>
                <w:szCs w:val="18"/>
                <w:color w:val="0000FF"/>
              </w:rPr>
              <w:t>Mine Safety Disclosures</w:t>
            </w:r>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0000FF"/>
                <w:w w:val="89"/>
              </w:rPr>
              <w:t>50</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0000FF"/>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Arial" w:cs="Arial" w:eastAsia="Arial" w:hAnsi="Arial"/>
                <w:sz w:val="18"/>
                <w:szCs w:val="18"/>
                <w:color w:val="0000FF"/>
                <w:w w:val="92"/>
              </w:rPr>
              <w:t>Other Information</w:t>
            </w:r>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0000FF"/>
                <w:w w:val="89"/>
              </w:rPr>
              <w:t>50</w:t>
            </w: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Arial" w:cs="Arial" w:eastAsia="Arial" w:hAnsi="Arial"/>
                <w:sz w:val="18"/>
                <w:szCs w:val="18"/>
                <w:color w:val="0000FF"/>
              </w:rPr>
              <w:t>Item 6.</w:t>
            </w:r>
          </w:p>
        </w:tc>
        <w:tc>
          <w:tcPr>
            <w:tcW w:w="8920" w:type="dxa"/>
            <w:vAlign w:val="bottom"/>
            <w:gridSpan w:val="20"/>
          </w:tcPr>
          <w:p>
            <w:pPr>
              <w:spacing w:after="0" w:line="189" w:lineRule="exact"/>
              <w:rPr>
                <w:sz w:val="20"/>
                <w:szCs w:val="20"/>
                <w:color w:val="auto"/>
              </w:rPr>
            </w:pPr>
            <w:r>
              <w:rPr>
                <w:rFonts w:ascii="Arial" w:cs="Arial" w:eastAsia="Arial" w:hAnsi="Arial"/>
                <w:sz w:val="18"/>
                <w:szCs w:val="18"/>
                <w:color w:val="0000FF"/>
              </w:rPr>
              <w:t>Exhibits</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0000FF"/>
                <w:w w:val="89"/>
              </w:rPr>
              <w:t>51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Arial" w:cs="Arial" w:eastAsia="Arial" w:hAnsi="Arial"/>
                <w:sz w:val="18"/>
                <w:szCs w:val="18"/>
                <w:b w:val="1"/>
                <w:bCs w:val="1"/>
                <w:color w:val="0000FF"/>
                <w:w w:val="94"/>
              </w:rPr>
              <w:t>Signatures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0000FF"/>
                <w:w w:val="89"/>
              </w:rPr>
              <w:t>52</w:t>
            </w:r>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7"/>
                <w:szCs w:val="17"/>
                <w:color w:val="auto"/>
              </w:rPr>
            </w:pPr>
          </w:p>
        </w:tc>
        <w:tc>
          <w:tcPr>
            <w:tcW w:w="1760" w:type="dxa"/>
            <w:vAlign w:val="bottom"/>
            <w:gridSpan w:val="2"/>
          </w:tcPr>
          <w:p>
            <w:pPr>
              <w:ind w:left="80"/>
              <w:spacing w:after="0" w:line="178" w:lineRule="exact"/>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7"/>
                <w:szCs w:val="17"/>
                <w:color w:val="auto"/>
              </w:rPr>
            </w:pPr>
          </w:p>
        </w:tc>
        <w:tc>
          <w:tcPr>
            <w:tcW w:w="1640" w:type="dxa"/>
            <w:vAlign w:val="bottom"/>
          </w:tcPr>
          <w:p>
            <w:pPr>
              <w:jc w:val="right"/>
              <w:ind w:right="179"/>
              <w:spacing w:after="0" w:line="178" w:lineRule="exact"/>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67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8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and advances to unconsolidated affiliates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Intangible assets other than goodwill</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jc w:val="center"/>
              <w:ind w:right="679"/>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8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obligations</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12,659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gridSpan w:val="2"/>
          </w:tcPr>
          <w:p>
            <w:pPr>
              <w:ind w:left="320"/>
              <w:spacing w:after="0"/>
              <w:rPr>
                <w:sz w:val="20"/>
                <w:szCs w:val="20"/>
                <w:color w:val="auto"/>
              </w:rPr>
            </w:pPr>
            <w:r>
              <w:rPr>
                <w:rFonts w:ascii="Arial" w:cs="Arial" w:eastAsia="Arial" w:hAnsi="Arial"/>
                <w:sz w:val="16"/>
                <w:szCs w:val="16"/>
                <w:color w:val="auto"/>
              </w:rPr>
              <w:t>Caesars stockholders’ equity</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 w:name="page4"/>
    <w:bookmarkEnd w:id="3"/>
    <w:p>
      <w:pPr>
        <w:ind w:left="4480"/>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4,789</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costs, net</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57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(loss) from continuing operations, net of income taxes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income (loss) per share - basic and diluted:</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6"/>
                <w:szCs w:val="16"/>
                <w:color w:val="auto"/>
              </w:rPr>
              <w:t>Basic income (loss) per share from continuing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440"/>
              <w:spacing w:after="0"/>
              <w:rPr>
                <w:sz w:val="20"/>
                <w:szCs w:val="20"/>
                <w:color w:val="auto"/>
              </w:rPr>
            </w:pPr>
            <w:r>
              <w:rPr>
                <w:rFonts w:ascii="Arial" w:cs="Arial" w:eastAsia="Arial" w:hAnsi="Arial"/>
                <w:sz w:val="16"/>
                <w:szCs w:val="16"/>
                <w:color w:val="auto"/>
              </w:rPr>
              <w:t>Basic income (loss)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income (loss) per share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gridSpan w:val="2"/>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70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Diluted income (loss)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Weighted average basic shares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diluted shares outstanding</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25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158"/>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13"/>
        </w:trPr>
        <w:tc>
          <w:tcPr>
            <w:tcW w:w="20" w:type="dxa"/>
            <w:vAlign w:val="bottom"/>
          </w:tcPr>
          <w:p>
            <w:pPr>
              <w:spacing w:after="0"/>
              <w:rPr>
                <w:sz w:val="18"/>
                <w:szCs w:val="18"/>
                <w:color w:val="auto"/>
              </w:rPr>
            </w:pPr>
          </w:p>
        </w:tc>
        <w:tc>
          <w:tcPr>
            <w:tcW w:w="570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fair market value of interest rate swaps, net of tax</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20" w:type="dxa"/>
            <w:vAlign w:val="bottom"/>
          </w:tcPr>
          <w:p>
            <w:pPr>
              <w:spacing w:after="0"/>
              <w:rPr>
                <w:sz w:val="18"/>
                <w:szCs w:val="18"/>
                <w:color w:val="auto"/>
              </w:rPr>
            </w:pPr>
          </w:p>
        </w:tc>
        <w:tc>
          <w:tcPr>
            <w:tcW w:w="57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7"/>
        </w:trPr>
        <w:tc>
          <w:tcPr>
            <w:tcW w:w="20" w:type="dxa"/>
            <w:vAlign w:val="bottom"/>
            <w:tcBorders>
              <w:bottom w:val="single" w:sz="8" w:color="CCEEFF"/>
            </w:tcBorders>
          </w:tcPr>
          <w:p>
            <w:pPr>
              <w:spacing w:after="0"/>
              <w:rPr>
                <w:sz w:val="17"/>
                <w:szCs w:val="17"/>
                <w:color w:val="auto"/>
              </w:rPr>
            </w:pPr>
          </w:p>
        </w:tc>
        <w:tc>
          <w:tcPr>
            <w:tcW w:w="5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r>
      <w:tr>
        <w:trPr>
          <w:trHeight w:val="209"/>
        </w:trPr>
        <w:tc>
          <w:tcPr>
            <w:tcW w:w="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5700" w:type="dxa"/>
            <w:vAlign w:val="bottom"/>
            <w:gridSpan w:val="2"/>
          </w:tcPr>
          <w:p>
            <w:pPr>
              <w:ind w:left="340"/>
              <w:spacing w:after="0"/>
              <w:rPr>
                <w:sz w:val="20"/>
                <w:szCs w:val="20"/>
                <w:color w:val="auto"/>
              </w:rPr>
            </w:pPr>
            <w:r>
              <w:rPr>
                <w:rFonts w:ascii="Arial" w:cs="Arial" w:eastAsia="Arial" w:hAnsi="Arial"/>
                <w:sz w:val="16"/>
                <w:szCs w:val="16"/>
                <w:color w:val="auto"/>
              </w:rPr>
              <w:t>Comprehensive income (loss) attributable to Caesars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6"/>
                <w:szCs w:val="16"/>
                <w:b w:val="1"/>
                <w:bCs w:val="1"/>
                <w:color w:val="auto"/>
                <w:w w:val="92"/>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Preferred Stock</w:t>
            </w:r>
          </w:p>
        </w:tc>
        <w:tc>
          <w:tcPr>
            <w:tcW w:w="136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rPr>
              <w:t>Common 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2920" w:type="dxa"/>
            <w:vAlign w:val="bottom"/>
            <w:gridSpan w:val="8"/>
          </w:tcPr>
          <w:p>
            <w:pPr>
              <w:jc w:val="right"/>
              <w:ind w:right="100"/>
              <w:spacing w:after="0" w:line="162" w:lineRule="exact"/>
              <w:rPr>
                <w:sz w:val="20"/>
                <w:szCs w:val="20"/>
                <w:color w:val="auto"/>
              </w:rPr>
            </w:pPr>
            <w:r>
              <w:rPr>
                <w:rFonts w:ascii="Arial" w:cs="Arial" w:eastAsia="Arial" w:hAnsi="Arial"/>
                <w:sz w:val="16"/>
                <w:szCs w:val="16"/>
                <w:b w:val="1"/>
                <w:bCs w:val="1"/>
                <w:color w:val="auto"/>
                <w:w w:val="95"/>
              </w:rPr>
              <w:t>Paid-in  Accumulated  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4"/>
                <w:szCs w:val="14"/>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Deficit</w:t>
            </w:r>
          </w:p>
        </w:tc>
        <w:tc>
          <w:tcPr>
            <w:tcW w:w="120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Stock-based compensation</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w w:val="95"/>
              </w:rPr>
              <w:t>Other comprehensive loss, net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of tax</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Shares withheld related to net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awards</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Balance, March 31, 2022</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$ 6,882</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(3,090)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Net income (loss)</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5"/>
              </w:rPr>
              <w:t>Other comprehensive loss, net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of tax</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w w:val="98"/>
              </w:rPr>
              <w:t>Shares withheld related to net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share settlement of stock</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awards</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Transactions with</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Balance, June 30, 2022</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$ 6,905</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(3,213)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3,711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7"/>
              </w:rPr>
              <w:t>Other comprehensive income,</w:t>
            </w: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of tax</w:t>
            </w:r>
          </w:p>
        </w:tc>
        <w:tc>
          <w:tcPr>
            <w:tcW w:w="7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w w:val="98"/>
              </w:rPr>
              <w:t>Shares withheld related to net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share settlement of stock</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awards</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Transactions with</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Balance, September 30, 2022</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$ 6,929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(3,161)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w w:val="95"/>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Preferred Stock</w:t>
            </w:r>
          </w:p>
        </w:tc>
        <w:tc>
          <w:tcPr>
            <w:tcW w:w="136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rPr>
              <w:t>Common 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2920" w:type="dxa"/>
            <w:vAlign w:val="bottom"/>
            <w:gridSpan w:val="8"/>
          </w:tcPr>
          <w:p>
            <w:pPr>
              <w:ind w:left="40"/>
              <w:spacing w:after="0" w:line="162" w:lineRule="exact"/>
              <w:rPr>
                <w:sz w:val="20"/>
                <w:szCs w:val="20"/>
                <w:color w:val="auto"/>
              </w:rPr>
            </w:pPr>
            <w:r>
              <w:rPr>
                <w:rFonts w:ascii="Arial" w:cs="Arial" w:eastAsia="Arial" w:hAnsi="Arial"/>
                <w:sz w:val="16"/>
                <w:szCs w:val="16"/>
                <w:b w:val="1"/>
                <w:bCs w:val="1"/>
                <w:color w:val="auto"/>
                <w:w w:val="98"/>
              </w:rPr>
              <w:t>Paid-in  Accumulated  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4"/>
                <w:szCs w:val="14"/>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Deficit</w:t>
            </w:r>
          </w:p>
        </w:tc>
        <w:tc>
          <w:tcPr>
            <w:tcW w:w="120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2022</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Stock-based compensation</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w w:val="97"/>
              </w:rPr>
              <w:t>Other comprehensive income,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net of tax</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Shares withheld related to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awards</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Balance, March 31, 2023</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$ 6,967</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(3,445)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Shares withheld related to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Transactions with</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noncontrolling interests</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2023</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$ 6,995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Stock-based compensation</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w w:val="95"/>
              </w:rPr>
              <w:t>Other comprehensive loss, net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Arial" w:cs="Arial" w:eastAsia="Arial" w:hAnsi="Arial"/>
                <w:sz w:val="16"/>
                <w:szCs w:val="16"/>
                <w:color w:val="auto"/>
              </w:rPr>
              <w:t>of tax</w:t>
            </w: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Shares withheld related to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color w:val="auto"/>
              </w:rPr>
              <w:t>Transactions with</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noncontrolling interests</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2023</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$ 6,981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46"/>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20"/>
              <w:spacing w:after="0"/>
              <w:rPr>
                <w:sz w:val="20"/>
                <w:szCs w:val="20"/>
                <w:color w:val="auto"/>
              </w:rPr>
            </w:pPr>
            <w:r>
              <w:rPr>
                <w:rFonts w:ascii="Arial" w:cs="Arial" w:eastAsia="Arial" w:hAnsi="Arial"/>
                <w:sz w:val="16"/>
                <w:szCs w:val="16"/>
                <w:color w:val="auto"/>
              </w:rPr>
              <w:t>Loss from discontinued operations</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Amortization of deferred financing costs and discounts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Non-cash lease amortization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(Gain) loss on investments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 compensation expense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Loss on sale of business and disposal of property and equipment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6"/>
        </w:trPr>
        <w:tc>
          <w:tcPr>
            <w:tcW w:w="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Gain on derivatives</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non-cash adjustments to net income (loss)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Change in operating assets and liabilities: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Prepaid expenses and other assets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Accounts payable, accrued expenses and other liabilities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210"/>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Purchase of property and equipment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(717)</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 of gaming rights and trademarks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 property and equipment, net of cash sold</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the sale of investments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Proceeds from insurance related to property damage</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Borders>
              <w:bottom w:val="single" w:sz="8" w:color="CCEEFF"/>
            </w:tcBorders>
          </w:tcPr>
          <w:p>
            <w:pPr>
              <w:spacing w:after="0"/>
              <w:rPr>
                <w:sz w:val="17"/>
                <w:szCs w:val="17"/>
                <w:color w:val="auto"/>
              </w:rPr>
            </w:pPr>
          </w:p>
        </w:tc>
        <w:tc>
          <w:tcPr>
            <w:tcW w:w="7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Payments to acquire ownership interest in subsidiary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Contributions from noncontrolling interest owners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DISCONTINUED OPERATIONS: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20" w:type="dxa"/>
            <w:vAlign w:val="bottom"/>
            <w:tcBorders>
              <w:bottom w:val="single" w:sz="8" w:color="CCEEFF"/>
            </w:tcBorders>
          </w:tcPr>
          <w:p>
            <w:pPr>
              <w:spacing w:after="0"/>
              <w:rPr>
                <w:sz w:val="18"/>
                <w:szCs w:val="18"/>
                <w:color w:val="auto"/>
              </w:rPr>
            </w:pPr>
          </w:p>
        </w:tc>
        <w:tc>
          <w:tcPr>
            <w:tcW w:w="7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Net cash from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left="824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9"/>
              <w:spacing w:after="0" w:line="161"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9"/>
              <w:spacing w:after="0" w:line="161"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foreign currency exchange rates on cash</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7"/>
        </w:trPr>
        <w:tc>
          <w:tcPr>
            <w:tcW w:w="20" w:type="dxa"/>
            <w:vAlign w:val="bottom"/>
          </w:tcPr>
          <w:p>
            <w:pPr>
              <w:spacing w:after="0"/>
              <w:rPr>
                <w:sz w:val="17"/>
                <w:szCs w:val="17"/>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Decrease in cash, cash equivalents and restricted cash</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w:t>
            </w: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r>
      <w:tr>
        <w:trPr>
          <w:trHeight w:val="212"/>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w w:val="97"/>
              </w:rPr>
              <w:t>RECONCILIATION OF CASH, CASH EQUIVALENTS AND RESTRICTED CASH TO AMOUNTS REPORTED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6"/>
                <w:szCs w:val="16"/>
                <w:color w:val="auto"/>
              </w:rPr>
              <w:t>WITHIN THE CONSOLIDATED CONDENSED BALANCE SHEETS: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6"/>
        </w:trPr>
        <w:tc>
          <w:tcPr>
            <w:tcW w:w="20" w:type="dxa"/>
            <w:vAlign w:val="bottom"/>
            <w:tcBorders>
              <w:bottom w:val="single" w:sz="8" w:color="CCEEFF"/>
            </w:tcBorders>
          </w:tcPr>
          <w:p>
            <w:pPr>
              <w:spacing w:after="0"/>
              <w:rPr>
                <w:sz w:val="17"/>
                <w:szCs w:val="17"/>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r>
      <w:tr>
        <w:trPr>
          <w:trHeight w:val="199"/>
        </w:trPr>
        <w:tc>
          <w:tcPr>
            <w:tcW w:w="20" w:type="dxa"/>
            <w:vAlign w:val="bottom"/>
            <w:shd w:val="clear" w:color="auto" w:fill="CCEEFF"/>
          </w:tcPr>
          <w:p>
            <w:pPr>
              <w:spacing w:after="0"/>
              <w:rPr>
                <w:sz w:val="17"/>
                <w:szCs w:val="17"/>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Cash interest paid for debt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interest paid for rent related to financing obligations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13"/>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Income taxes paid,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20" w:type="dxa"/>
            <w:vAlign w:val="bottom"/>
            <w:shd w:val="clear" w:color="auto" w:fill="CCEEFF"/>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ind w:left="200"/>
              <w:spacing w:after="0"/>
              <w:rPr>
                <w:sz w:val="20"/>
                <w:szCs w:val="20"/>
                <w:color w:val="auto"/>
              </w:rPr>
            </w:pPr>
            <w:r>
              <w:rPr>
                <w:rFonts w:ascii="Arial" w:cs="Arial" w:eastAsia="Arial" w:hAnsi="Arial"/>
                <w:sz w:val="16"/>
                <w:szCs w:val="16"/>
                <w:color w:val="auto"/>
              </w:rPr>
              <w:t>Payables for capital expenditures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Form 10-Q should be read in conjunction with our Annual Report on Form 10-K for the year ended December 31, 2022 (the “2022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terms used but not defined in this Form 10-Q have the same meanings as in the 2022 Annual Report.</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 Organization and Description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on April 22, 2021. The Company’s ticker symbol on the NASDAQ Stock Market is “CZR.”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leases, brands or manages an aggregate of 53 domestic properties in 18 states with approximately 52,500 slot machines, video lottery terminals and e-tables, approximately 2,700 table games and approximately 46,900 hotel rooms as of September 30, 2023. The Company operates and conducts sports wagering across 30 jurisdictions in North America, 24 of which offer mobile sports betting, and operates regulated online real money gaming businesses in six jurisdictions in North America. In addition, we have other domestic and international properties that are authorized to use the brands and marks of Caesars Entertainment, Inc., as well as other non-gaming properties. The Company’s primary source of revenue is generated by our casino properties’ gaming operations, retail and online sports betting, online gaming, and the Company utilizes its hotels, restaurants, bars, entertainment, racing, retail shops and other services to attract customers to its properties.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operations for retail and mobile sports betting, online casino, and online poker are included under the Caesars Digital segment. As part of the Caesars Digital segment, the Company has made significant investments into the interactive business in recent years, including the acquisition of William Hill PLC and strategic expansions into new markets as legalization permits. The Company has utilized significant marketing campaigns with distinguished actors, athletes and media personalities promoting the Caesars Sportsbook app. The Company expects to continue to expand its operations in the Caesars Digital segment as new jurisdictions legalize retail and online gaming and sports betting.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periodically divest of assets in order to raise capital, as a result of a determination that the assets are not core to our business, or due to regulatory requirements. A summary of recently completed divestitures of our properties as of September 30, 2023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 (“Baton Rouge”)</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May 5, 2022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2022</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317"/>
        </w:trPr>
        <w:tc>
          <w:tcPr>
            <w:tcW w:w="25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3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the net revenues and net loss of recently completed divestitures: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September 30, 2022</w:t>
            </w:r>
          </w:p>
        </w:tc>
        <w:tc>
          <w:tcPr>
            <w:tcW w:w="3440" w:type="dxa"/>
            <w:vAlign w:val="bottom"/>
            <w:gridSpan w:val="4"/>
          </w:tcPr>
          <w:p>
            <w:pPr>
              <w:ind w:left="180"/>
              <w:spacing w:after="0"/>
              <w:rPr>
                <w:sz w:val="20"/>
                <w:szCs w:val="20"/>
                <w:color w:val="auto"/>
              </w:rPr>
            </w:pPr>
            <w:r>
              <w:rPr>
                <w:rFonts w:ascii="Arial" w:cs="Arial" w:eastAsia="Arial" w:hAnsi="Arial"/>
                <w:sz w:val="16"/>
                <w:szCs w:val="16"/>
                <w:b w:val="1"/>
                <w:bCs w:val="1"/>
                <w:color w:val="auto"/>
              </w:rPr>
              <w:t>Nine Months Ended September 30, 2022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vMerge w:val="restart"/>
          </w:tcPr>
          <w:p>
            <w:pPr>
              <w:ind w:left="200"/>
              <w:spacing w:after="0"/>
              <w:rPr>
                <w:sz w:val="20"/>
                <w:szCs w:val="20"/>
                <w:color w:val="auto"/>
              </w:rPr>
            </w:pPr>
            <w:r>
              <w:rPr>
                <w:rFonts w:ascii="Arial" w:cs="Arial" w:eastAsia="Arial" w:hAnsi="Arial"/>
                <w:sz w:val="16"/>
                <w:szCs w:val="16"/>
                <w:b w:val="1"/>
                <w:bCs w:val="1"/>
                <w:color w:val="auto"/>
              </w:rPr>
              <w:t>Baton Rouge</w:t>
            </w:r>
          </w:p>
        </w:tc>
        <w:tc>
          <w:tcPr>
            <w:tcW w:w="1540" w:type="dxa"/>
            <w:vAlign w:val="bottom"/>
            <w:tcBorders>
              <w:top w:val="single" w:sz="8" w:color="auto"/>
            </w:tcBorders>
          </w:tcPr>
          <w:p>
            <w:pPr>
              <w:jc w:val="center"/>
              <w:ind w:right="199"/>
              <w:spacing w:after="0" w:line="158" w:lineRule="exact"/>
              <w:rPr>
                <w:sz w:val="20"/>
                <w:szCs w:val="20"/>
                <w:color w:val="auto"/>
              </w:rPr>
            </w:pPr>
            <w:r>
              <w:rPr>
                <w:rFonts w:ascii="Arial" w:cs="Arial" w:eastAsia="Arial" w:hAnsi="Arial"/>
                <w:sz w:val="16"/>
                <w:szCs w:val="16"/>
                <w:b w:val="1"/>
                <w:bCs w:val="1"/>
                <w:color w:val="auto"/>
              </w:rPr>
              <w:t>William Hill</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6"/>
                <w:szCs w:val="16"/>
                <w:b w:val="1"/>
                <w:bCs w:val="1"/>
                <w:color w:val="auto"/>
              </w:rPr>
              <w:t>Baton Rouge</w:t>
            </w:r>
          </w:p>
        </w:tc>
        <w:tc>
          <w:tcPr>
            <w:tcW w:w="2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ind w:right="199"/>
              <w:spacing w:after="0" w:line="158" w:lineRule="exact"/>
              <w:rPr>
                <w:sz w:val="20"/>
                <w:szCs w:val="20"/>
                <w:color w:val="auto"/>
              </w:rPr>
            </w:pPr>
            <w:r>
              <w:rPr>
                <w:rFonts w:ascii="Arial" w:cs="Arial" w:eastAsia="Arial" w:hAnsi="Arial"/>
                <w:sz w:val="16"/>
                <w:szCs w:val="16"/>
                <w:b w:val="1"/>
                <w:bCs w:val="1"/>
                <w:color w:val="auto"/>
              </w:rPr>
              <w:t>William Hill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920" w:type="dxa"/>
            <w:vAlign w:val="bottom"/>
            <w:gridSpan w:val="3"/>
          </w:tcPr>
          <w:p>
            <w:pPr>
              <w:jc w:val="center"/>
              <w:ind w:right="680"/>
              <w:spacing w:after="0" w:line="142" w:lineRule="exact"/>
              <w:rPr>
                <w:sz w:val="20"/>
                <w:szCs w:val="20"/>
                <w:color w:val="auto"/>
              </w:rPr>
            </w:pPr>
            <w:r>
              <w:rPr>
                <w:rFonts w:ascii="Arial" w:cs="Arial" w:eastAsia="Arial" w:hAnsi="Arial"/>
                <w:sz w:val="16"/>
                <w:szCs w:val="16"/>
                <w:b w:val="1"/>
                <w:bCs w:val="1"/>
                <w:color w:val="auto"/>
                <w:w w:val="95"/>
              </w:rPr>
              <w:t>International</w:t>
            </w:r>
          </w:p>
        </w:tc>
        <w:tc>
          <w:tcPr>
            <w:tcW w:w="1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219"/>
              <w:spacing w:after="0" w:line="142" w:lineRule="exact"/>
              <w:rPr>
                <w:sz w:val="20"/>
                <w:szCs w:val="20"/>
                <w:color w:val="auto"/>
              </w:rPr>
            </w:pPr>
            <w:r>
              <w:rPr>
                <w:rFonts w:ascii="Arial" w:cs="Arial" w:eastAsia="Arial" w:hAnsi="Arial"/>
                <w:sz w:val="16"/>
                <w:szCs w:val="16"/>
                <w:b w:val="1"/>
                <w:bCs w:val="1"/>
                <w:color w:val="auto"/>
                <w:w w:val="95"/>
              </w:rPr>
              <w:t>International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gridSpan w:val="3"/>
            <w:shd w:val="clear" w:color="auto" w:fill="CCEEFF"/>
          </w:tcPr>
          <w:p>
            <w:pPr>
              <w:ind w:left="1320"/>
              <w:spacing w:after="0"/>
              <w:rPr>
                <w:sz w:val="20"/>
                <w:szCs w:val="20"/>
                <w:color w:val="auto"/>
              </w:rPr>
            </w:pPr>
            <w:r>
              <w:rPr>
                <w:rFonts w:ascii="Arial" w:cs="Arial" w:eastAsia="Arial" w:hAnsi="Arial"/>
                <w:sz w:val="16"/>
                <w:szCs w:val="16"/>
                <w:color w:val="auto"/>
              </w:rPr>
              <w:t>—  $</w:t>
            </w:r>
          </w:p>
        </w:tc>
        <w:tc>
          <w:tcPr>
            <w:tcW w:w="1920" w:type="dxa"/>
            <w:vAlign w:val="bottom"/>
            <w:gridSpan w:val="3"/>
            <w:shd w:val="clear" w:color="auto" w:fill="CCEEFF"/>
          </w:tcPr>
          <w:p>
            <w:pPr>
              <w:ind w:left="1320"/>
              <w:spacing w:after="0"/>
              <w:rPr>
                <w:sz w:val="20"/>
                <w:szCs w:val="20"/>
                <w:color w:val="auto"/>
              </w:rPr>
            </w:pPr>
            <w:r>
              <w:rPr>
                <w:rFonts w:ascii="Arial" w:cs="Arial" w:eastAsia="Arial" w:hAnsi="Arial"/>
                <w:sz w:val="16"/>
                <w:szCs w:val="16"/>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1920" w:type="dxa"/>
            <w:vAlign w:val="bottom"/>
            <w:gridSpan w:val="3"/>
          </w:tcPr>
          <w:p>
            <w:pPr>
              <w:ind w:left="1320"/>
              <w:spacing w:after="0"/>
              <w:rPr>
                <w:sz w:val="20"/>
                <w:szCs w:val="20"/>
                <w:color w:val="auto"/>
              </w:rPr>
            </w:pPr>
            <w:r>
              <w:rPr>
                <w:rFonts w:ascii="Arial" w:cs="Arial" w:eastAsia="Arial" w:hAnsi="Arial"/>
                <w:sz w:val="16"/>
                <w:szCs w:val="16"/>
                <w:color w:val="auto"/>
              </w:rPr>
              <w:t>—</w:t>
            </w:r>
          </w:p>
        </w:tc>
        <w:tc>
          <w:tcPr>
            <w:tcW w:w="1920" w:type="dxa"/>
            <w:vAlign w:val="bottom"/>
            <w:gridSpan w:val="3"/>
          </w:tcPr>
          <w:p>
            <w:pPr>
              <w:ind w:left="1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2. Basis of Presentation and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 Additionally, certain reclassifications of prior year presentations have been made to conform to the current period presentation.</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 of financial information herein for the periods before the Company’s divestitures of various properties is not fully comparable to the periods after the sale 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Subsidiaries and Variable Interest Entities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include the accounts of Caesars Entertainment, Inc. and its subsidiaries after elimination of all intercompany accounts and transactions.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with Horseshoe Baltimore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10, 2023, we completed the acquisition of the remaining 24.2% equity ownership in Horseshoe Baltimore, utilizing cash on hand, for a total of $66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equivalents include highly-liquid investments with original maturities of three months or less at the date of purchase including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cash includes certificates of deposit and similar instruments that are subject to remeasurement on a recurring basis, as well as cash deposits which are restricted under certain operating agreements, regulatory requirement, or for future capital expenditures in the normal course of business.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costs are expensed in the period the advertising first occurs. Advertising costs for the three months ended September 30, 2023 and 2022 were $65 million and $114 million, respectively, and for the nine months ended September 30, 2023 and 2022 totaled $185 million and $490 million, respectively, and are included within operating expenses. Advertising costs for the nine months ended September 30, 2022 included significant television, radio and internet marketing campaigns promoting our Caesars Sportsbook. Advertising costs related to the Caesars Digital segment are primarily recorded in Casino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Capitalized interest</w:t>
            </w: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6"/>
                <w:szCs w:val="16"/>
                <w:color w:val="auto"/>
              </w:rPr>
              <w:t>Total interest expense, net</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Pronouncements to Be Implemented in Future Periods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2023, the Financial Accounting Standards Board (“FASB”) issued </w:t>
      </w:r>
      <w:r>
        <w:rPr>
          <w:rFonts w:ascii="Arial" w:cs="Arial" w:eastAsia="Arial" w:hAnsi="Arial"/>
          <w:sz w:val="18"/>
          <w:szCs w:val="18"/>
          <w:i w:val="1"/>
          <w:iCs w:val="1"/>
          <w:color w:val="auto"/>
        </w:rPr>
        <w:t>ASU 2023-06 Disclosure Improvements: Codification Amendments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Response to the SEC’s Disclosure Update and Simplification Initiative </w:t>
      </w:r>
      <w:r>
        <w:rPr>
          <w:rFonts w:ascii="Arial" w:cs="Arial" w:eastAsia="Arial" w:hAnsi="Arial"/>
          <w:sz w:val="18"/>
          <w:szCs w:val="18"/>
          <w:color w:val="auto"/>
        </w:rPr>
        <w:t>to clarify or improve disclosure and presentation requirements on a variety of topics</w:t>
      </w:r>
      <w:r>
        <w:rPr>
          <w:rFonts w:ascii="Arial" w:cs="Arial" w:eastAsia="Arial" w:hAnsi="Arial"/>
          <w:sz w:val="18"/>
          <w:szCs w:val="18"/>
          <w:i w:val="1"/>
          <w:iCs w:val="1"/>
          <w:color w:val="auto"/>
        </w:rPr>
        <w:t xml:space="preserve"> </w:t>
      </w:r>
      <w:r>
        <w:rPr>
          <w:rFonts w:ascii="Arial" w:cs="Arial" w:eastAsia="Arial" w:hAnsi="Arial"/>
          <w:sz w:val="18"/>
          <w:szCs w:val="18"/>
          <w:color w:val="auto"/>
        </w:rPr>
        <w:t>and align the requirements in the FASB accounting standard codification with the Securities and Exchange Commission regulations. This guidance is effective for the Company no later than June 30, 2027. We do not expect the amendments in this update to have a material impact on our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3. Investments in and Advances to Unconsolidated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Pompano Joint Venture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costs, net on the Statements of Operations. As of both September 30, 2023 and December 31, 2022, the Company’s investment in the joint venture was $80 million and is recorded in Investments in and advances to unconsolidated affiliates on the Balance Sheets. The Company has no further obligation to contribute additional real estate or cash as of September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NeoGames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held an investment in NeoGames S.A., a global leader of iLottery solutions and services to national and state-regulated lotteries, and other investments. On March 14, 2022, the Company sold its investment at fair value for $26 million and recorded a loss of $34 million during the nine months ended September 30, 2022, which is included within Other income (loss) on the Statements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4. Property and Equipment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6"/>
                <w:szCs w:val="16"/>
                <w:color w:val="auto"/>
              </w:rPr>
              <w:t>Buildings, riverboats, and leasehold and land improvements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13,365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13,094</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r>
      <w:tr>
        <w:trPr>
          <w:trHeight w:val="213"/>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17,591</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portion of our property and equipment is subject to various operating leases for which we are the lessor. Leased property includes our hotel rooms, convention space and retail space through various short-term and long-term operating leases.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Depreciation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5. Goodwill and Intangible Assets, net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2022</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6"/>
                <w:szCs w:val="16"/>
                <w:color w:val="auto"/>
              </w:rPr>
              <w:t>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 of gaming rights and trademarks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6"/>
                <w:szCs w:val="16"/>
                <w:color w:val="auto"/>
              </w:rPr>
              <w:t>Balances as of September 30, 2023</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11,004</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Useful Life</w:t>
            </w:r>
          </w:p>
        </w:tc>
        <w:tc>
          <w:tcPr>
            <w:tcW w:w="12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4"/>
                <w:szCs w:val="14"/>
                <w:color w:val="auto"/>
              </w:rPr>
            </w:pPr>
          </w:p>
        </w:tc>
        <w:tc>
          <w:tcPr>
            <w:tcW w:w="128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4"/>
              </w:rPr>
              <w:t>Amortization</w:t>
            </w:r>
          </w:p>
        </w:tc>
        <w:tc>
          <w:tcPr>
            <w:tcW w:w="100" w:type="dxa"/>
            <w:vAlign w:val="bottom"/>
          </w:tcPr>
          <w:p>
            <w:pPr>
              <w:spacing w:after="0"/>
              <w:rPr>
                <w:sz w:val="14"/>
                <w:szCs w:val="14"/>
                <w:color w:val="auto"/>
              </w:rPr>
            </w:pPr>
          </w:p>
        </w:tc>
        <w:tc>
          <w:tcPr>
            <w:tcW w:w="104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3 - 7 years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248</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10 - 34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7"/>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Technology</w:t>
            </w: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7"/>
              </w:rPr>
              <w:t>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3"/>
        </w:trPr>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5"/>
              </w:rPr>
              <w:t>Non-amortizing intangible assets other than 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Arial" w:cs="Arial" w:eastAsia="Arial" w:hAnsi="Arial"/>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10"/>
          </w:tcPr>
          <w:p>
            <w:pPr>
              <w:ind w:left="220"/>
              <w:spacing w:after="0"/>
              <w:rPr>
                <w:sz w:val="20"/>
                <w:szCs w:val="20"/>
                <w:color w:val="auto"/>
              </w:rPr>
            </w:pPr>
            <w:r>
              <w:rPr>
                <w:rFonts w:ascii="Arial" w:cs="Arial" w:eastAsia="Arial" w:hAnsi="Arial"/>
                <w:sz w:val="16"/>
                <w:szCs w:val="16"/>
                <w:color w:val="auto"/>
              </w:rPr>
              <w:t>Total amortizing and non-amortizing intangible assets other than Goodwill,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Amortization expense with respect to intangible assets for the three months ended September 30, 2023 and 2022 totaled $36 million and $44 million, respectively, and for the nine months ended September 30, 2023 and 2022 totaled $108 million and $152 million, respectively, which is included in Depreciation and amortization in the Statements of Operations.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7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2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Remaining 2023</w:t>
            </w:r>
          </w:p>
        </w:tc>
        <w:tc>
          <w:tcPr>
            <w:tcW w:w="24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1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2028</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6. Fair Value Measurements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assets and liabilities measured at fair value on a recurring basis, by input level, in the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September 30, 2023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3"/>
                <w:szCs w:val="13"/>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3"/>
                <w:szCs w:val="13"/>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Marketable securities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3"/>
                <w:szCs w:val="13"/>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3"/>
                <w:szCs w:val="13"/>
                <w:color w:val="auto"/>
              </w:rPr>
            </w:pPr>
          </w:p>
        </w:tc>
        <w:tc>
          <w:tcPr>
            <w:tcW w:w="1020" w:type="dxa"/>
            <w:vAlign w:val="bottom"/>
          </w:tcPr>
          <w:p>
            <w:pPr>
              <w:jc w:val="right"/>
              <w:ind w:right="39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20" w:type="dxa"/>
            <w:vAlign w:val="bottom"/>
            <w:shd w:val="clear" w:color="auto" w:fill="CCEEFF"/>
          </w:tcPr>
          <w:p>
            <w:pPr>
              <w:spacing w:after="0"/>
              <w:rPr>
                <w:sz w:val="20"/>
                <w:szCs w:val="20"/>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Marketable securities consist primarily of trading securities held by the Company’s captive insurance subsidiary and deferred compensation plans.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estimated fair values of the Company’s restricted cash are based upon quoted prices available in active markets (Level 1) or quoted prices for similar assets in active and inactive markets (Level 2) and represent the amounts the Company would expect to receive if the Company sold the instruments classified as restricted cash. Restricted cash classified as Level 1 includes cash equivalents held in short-term certificate of deposit accounts or money market type funds. Restricted cash that is not subject to remeasurement on a recurring basis is not included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w:t>
      </w:r>
      <w:r>
        <w:rPr>
          <w:rFonts w:ascii="Arial" w:cs="Arial" w:eastAsia="Arial" w:hAnsi="Arial"/>
          <w:sz w:val="17"/>
          <w:szCs w:val="17"/>
          <w:color w:val="212529"/>
        </w:rPr>
        <w:t>he Company entered into several foreign exchange forward contracts with third parties to hedge the risk of fluctuations in the foreign exchange rates</w:t>
      </w:r>
      <w:r>
        <w:rPr>
          <w:rFonts w:ascii="Arial" w:cs="Arial" w:eastAsia="Arial" w:hAnsi="Arial"/>
          <w:sz w:val="17"/>
          <w:szCs w:val="17"/>
          <w:color w:val="auto"/>
        </w:rPr>
        <w:t xml:space="preserve"> </w:t>
      </w:r>
      <w:r>
        <w:rPr>
          <w:rFonts w:ascii="Arial" w:cs="Arial" w:eastAsia="Arial" w:hAnsi="Arial"/>
          <w:sz w:val="17"/>
          <w:szCs w:val="17"/>
          <w:color w:val="212529"/>
        </w:rPr>
        <w:t xml:space="preserve">between USD and GBP. During the </w:t>
      </w:r>
      <w:r>
        <w:rPr>
          <w:rFonts w:ascii="Arial" w:cs="Arial" w:eastAsia="Arial" w:hAnsi="Arial"/>
          <w:sz w:val="17"/>
          <w:szCs w:val="17"/>
          <w:color w:val="000000"/>
        </w:rPr>
        <w:t>nine</w:t>
      </w:r>
      <w:r>
        <w:rPr>
          <w:rFonts w:ascii="Arial" w:cs="Arial" w:eastAsia="Arial" w:hAnsi="Arial"/>
          <w:sz w:val="17"/>
          <w:szCs w:val="17"/>
          <w:color w:val="212529"/>
        </w:rPr>
        <w:t xml:space="preserve"> months ended </w:t>
      </w:r>
      <w:r>
        <w:rPr>
          <w:rFonts w:ascii="Arial" w:cs="Arial" w:eastAsia="Arial" w:hAnsi="Arial"/>
          <w:sz w:val="17"/>
          <w:szCs w:val="17"/>
          <w:color w:val="000000"/>
        </w:rPr>
        <w:t>September 30, 2022,</w:t>
      </w:r>
      <w:r>
        <w:rPr>
          <w:rFonts w:ascii="Arial" w:cs="Arial" w:eastAsia="Arial" w:hAnsi="Arial"/>
          <w:sz w:val="17"/>
          <w:szCs w:val="17"/>
          <w:color w:val="212529"/>
        </w:rPr>
        <w:t xml:space="preserve"> the Company recorded gains of </w:t>
      </w:r>
      <w:r>
        <w:rPr>
          <w:rFonts w:ascii="Arial" w:cs="Arial" w:eastAsia="Arial" w:hAnsi="Arial"/>
          <w:sz w:val="17"/>
          <w:szCs w:val="17"/>
          <w:color w:val="000000"/>
        </w:rPr>
        <w:t>$76 million related to forward contracts, which</w:t>
      </w:r>
      <w:r>
        <w:rPr>
          <w:rFonts w:ascii="Arial" w:cs="Arial" w:eastAsia="Arial" w:hAnsi="Arial"/>
          <w:sz w:val="17"/>
          <w:szCs w:val="17"/>
          <w:color w:val="212529"/>
        </w:rPr>
        <w:t xml:space="preserve"> </w:t>
      </w:r>
      <w:r>
        <w:rPr>
          <w:rFonts w:ascii="Arial" w:cs="Arial" w:eastAsia="Arial" w:hAnsi="Arial"/>
          <w:sz w:val="17"/>
          <w:szCs w:val="17"/>
          <w:color w:val="000000"/>
        </w:rPr>
        <w:t xml:space="preserve">have been recorded in Other income (loss) on the Statements of Operations. All </w:t>
      </w:r>
      <w:r>
        <w:rPr>
          <w:rFonts w:ascii="Arial" w:cs="Arial" w:eastAsia="Arial" w:hAnsi="Arial"/>
          <w:sz w:val="17"/>
          <w:szCs w:val="17"/>
          <w:color w:val="212529"/>
        </w:rPr>
        <w:t>forward contracts were settled as of July 1,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used interest rate swaps to manage the mix of debt between fixed and variable rate instruments. The term of the last interest rate swaps ended on December 31, 2022.</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periods through September 30, 2023 and 2022 are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Foreign Currency</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1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w w:val="92"/>
              </w:rPr>
              <w:t>Adjustments</w:t>
            </w: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2021</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32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92"/>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40" w:type="dxa"/>
            <w:vAlign w:val="bottom"/>
            <w:gridSpan w:val="2"/>
          </w:tcPr>
          <w:p>
            <w:pPr>
              <w:ind w:left="120"/>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March 31, 2022</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June 30,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4"/>
              </w:rPr>
              <w:t>Amounts reclassified from 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September 30,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2022</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Other comprehensive income before reclassifications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Balances as of March 31, 2023</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other comprehensive income (loss), net of tax</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June 30, 2023</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other comprehensive loss,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6"/>
                <w:szCs w:val="16"/>
                <w:color w:val="auto"/>
              </w:rPr>
              <w:t>Balances as of September 30, 2023</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7. Litigation,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Insurance Claims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exceed $2 billion. The insurance carriers under the Company’s insurance policies have asserted that the policies do not cover losses incurred by the Company as a result of the COVID-19 public health emergency and have refused to make payments under the applicable policies.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of 2021, the Company filed a lawsuit against certain of its insurance carriers in the state court in Clark County, Nevada relating to insurance policies that were potentially governed by Nevada law. The Company’s lawsuit was stayed pending the outcome of a separate but similar lawsuit pending in the Nevada Supreme Court. In September of 2023, the Nevada Supreme Court issued an adverse ruling in the separate but similar lawsuit. The Nevada Supreme Court decision negatively affects the Company’s claims in its Nevada lawsuit and will likely result in a dismissal of the Company’s claims with respect to insurance policies that are governed by Nevada law. There are other insurance policies issued to the Company that are governed by other state laws, including, but not limited to, New York and New Jersey. The viability of potential claims under those policies will depend on the result of decisions from the courts in those jurisdictions in lawsuits brought by other claimants. There can be no assurance as to the outcome of any such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Cybersecurity Incident</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September 14, 2023, we announced that an unauthorized actor had gained access to our information technology network as a result of a social engineering attack on an outsourced IT support vendor used by the Company, and acquired a copy of, among other data, our loyalty program database (“Data Incident”).</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the Data Incident, we have become subject to multiple lawsuits. Between September 15 and October 26, 2023, thirteen class actions have been filed against us in U.S. federal and state courts in Nevada, New Jersey, and California, purporting to represent various classes of persons whose personal information was affected by the Data Incident. These class actions assert a variety of common law and statutory claims based on allegations that the Company failed to use reasonable security procedures and practices to safeguard customers’ personal information, and seek monetary and statutory damages, injunctive relief and other related relief. Caesars is seeking consolidation of the cases that have been filed into a single case.</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has received inquiries from state regulators related to the Data Incident. We are responding to these inquiries and cooperating fully with regulators.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believe it is reasonably possible that we may incur losses associated with the above described proceedings, it is not possible to estimate the amount of loss or range of loss, if any, that might result from adverse judgments, settlements, or other resolution given the stage of these proceedings, the absence of specific allegations regarding the alleged damages, the uncertainty as to the certification of a class or classes and the size of any certified class, if applicable, and/or the lack of resolution of significant factual and legal issues.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lawsuits and claims related to the Data Incident may be asserted by or on behalf of customers, shareholders or others seeking damages or other related relief, and governmental agencies may open additional inquiries or investigations into the Data Incident. The Company is pursuing insurance coverage in relation to costs and liabilities incurred due to the Data Incident.</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incurred, and may continue to incur, certain expenses related to the Data Incident, including expenses to respond to, remediate and investigate this matter. The full scope of the costs and related impacts of this incident, including the extent to which these costs will be offset by our cybersecurity insurance or potential indemnification claims against third parties, has not been determined. We are unable to predict the full impact of this incident and its impact on guest behavior in the future, including whether a change in our guests’ behavior could negatively impact our financial condition and results of operations on an ongoing basis. As of the date of this report, there has not been a material effect on the Company’s financial condition and results of operations and we currently do not expect that it will have such an effect in the future.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New Orleans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a capital investment of $325 million on or around Harrah’s New Orleans by July 15, 2024. The capital investment will involve the rebranding of the property to Caesars New Orleans which includes a renovation and full interior and exterior redesign, updated casino floor, new culinary experiences and a new 340-room hotel tower. The project has a current capital plan of approximately $430 million, and as of September 30, 2023, total capital expenditures have been $239 million since the project began.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Atlantic City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required by the New Jersey Gaming Control Board, in 2020, the Company funded $400 million in escrow to provide funds for a three year capital expenditure plan in the state of New Jersey. The capital plan includes significant room renovations at both Caesars Atlantic City and Harrah’s Atlantic City, as well as the addition of new restaurants with celebrity partners. As of September 30, 2023 and December 31, 2022, the restricted cash balance remaining in the escrow account was $21 million and $118 million, respectively. This amount is currently included in restricted cash in Other assets, net.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Additionally, a selection of such partnerships provides Caesars with exclusivity to access the aforementioned rights within the casino and/or sports betting category. As of </w:t>
      </w:r>
      <w:r>
        <w:rPr>
          <w:rFonts w:ascii="Arial" w:cs="Arial" w:eastAsia="Arial" w:hAnsi="Arial"/>
          <w:sz w:val="16"/>
          <w:szCs w:val="16"/>
          <w:color w:val="000000"/>
        </w:rPr>
        <w:t>September 30, 2023 and December 31, 2022</w:t>
      </w:r>
      <w:r>
        <w:rPr>
          <w:rFonts w:ascii="Arial" w:cs="Arial" w:eastAsia="Arial" w:hAnsi="Arial"/>
          <w:sz w:val="16"/>
          <w:szCs w:val="16"/>
          <w:color w:val="222222"/>
        </w:rPr>
        <w:t>, obligations related to these agreements were $639 million and $898 million, respectively, with contracts</w:t>
      </w:r>
      <w:r>
        <w:rPr>
          <w:rFonts w:ascii="Arial" w:cs="Arial" w:eastAsia="Arial" w:hAnsi="Arial"/>
          <w:sz w:val="16"/>
          <w:szCs w:val="16"/>
          <w:color w:val="000000"/>
        </w:rPr>
        <w:t xml:space="preserve"> </w:t>
      </w:r>
      <w:r>
        <w:rPr>
          <w:rFonts w:ascii="Arial" w:cs="Arial" w:eastAsia="Arial" w:hAnsi="Arial"/>
          <w:sz w:val="16"/>
          <w:szCs w:val="16"/>
          <w:color w:val="222222"/>
        </w:rPr>
        <w:t>extending through 2040. These obligations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self-insured for workers compensation and other risk insurance, as well as health insurance and general liability. The Company’s total estimated self-insurance liability as of September 30, 2023 and December 31, 2022, was $208 million and $203 million, respectively, which is included in Accrued other liabilities in our Balance Sheets.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8. Long-Term Debt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6"/>
              </w:rPr>
              <w:t>Final</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Rates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Face Value</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9"/>
              </w:rPr>
              <w:t>Maturity</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Revolving Credit Facility</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2028</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Term Loan A</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Term Loan B</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2030</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variable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CRC Senior Secured Notes</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Secured Notes due 2025</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Senior Secured Notes due 2030</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Baltimore Revolving Credit Facility</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Baltimore Term Loan</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N/A</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Convention Center Mortgage Loan</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CRC Incremental Term Loan</w:t>
            </w: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N/A</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CRC Term Loan</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CEI Senior Notes due 2027</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CEI Senior Notes due 2029</w:t>
            </w:r>
          </w:p>
        </w:tc>
        <w:tc>
          <w:tcPr>
            <w:tcW w:w="8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6"/>
                <w:szCs w:val="16"/>
                <w:color w:val="auto"/>
              </w:rPr>
              <w:t>Special Improvement District Bonds</w:t>
            </w:r>
          </w:p>
        </w:tc>
        <w:tc>
          <w:tcPr>
            <w:tcW w:w="860" w:type="dxa"/>
            <w:vAlign w:val="bottom"/>
          </w:tcPr>
          <w:p>
            <w:pPr>
              <w:jc w:val="center"/>
              <w:ind w:right="39"/>
              <w:spacing w:after="0"/>
              <w:rPr>
                <w:sz w:val="20"/>
                <w:szCs w:val="20"/>
                <w:color w:val="auto"/>
              </w:rPr>
            </w:pPr>
            <w:r>
              <w:rPr>
                <w:rFonts w:ascii="Arial" w:cs="Arial" w:eastAsia="Arial" w:hAnsi="Arial"/>
                <w:sz w:val="16"/>
                <w:szCs w:val="16"/>
                <w:color w:val="auto"/>
                <w:w w:val="95"/>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Long-term notes and other payables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00" w:type="dxa"/>
            <w:vAlign w:val="bottom"/>
            <w:gridSpan w:val="3"/>
          </w:tcPr>
          <w:p>
            <w:pPr>
              <w:ind w:left="320"/>
              <w:spacing w:after="0"/>
              <w:rPr>
                <w:sz w:val="20"/>
                <w:szCs w:val="20"/>
                <w:color w:val="auto"/>
              </w:rPr>
            </w:pPr>
            <w:r>
              <w:rPr>
                <w:rFonts w:ascii="Arial" w:cs="Arial" w:eastAsia="Arial" w:hAnsi="Arial"/>
                <w:sz w:val="16"/>
                <w:szCs w:val="16"/>
                <w:color w:val="auto"/>
              </w:rPr>
              <w:t>Total debt</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6"/>
          </w:tcPr>
          <w:p>
            <w:pPr>
              <w:ind w:left="420"/>
              <w:spacing w:after="0"/>
              <w:rPr>
                <w:sz w:val="20"/>
                <w:szCs w:val="20"/>
                <w:color w:val="auto"/>
              </w:rPr>
            </w:pPr>
            <w:r>
              <w:rPr>
                <w:rFonts w:ascii="Arial" w:cs="Arial" w:eastAsia="Arial" w:hAnsi="Arial"/>
                <w:sz w:val="16"/>
                <w:szCs w:val="16"/>
                <w:color w:val="auto"/>
              </w:rPr>
              <w:t>Deferred finance charges associated with the CEI Revolving Credit Facility</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7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Long-term debt</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91"/>
              </w:rPr>
              <w:t>Unamortized discounts and deferred finance charges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tcPr>
          <w:p>
            <w:pPr>
              <w:ind w:left="460"/>
              <w:spacing w:after="0"/>
              <w:rPr>
                <w:sz w:val="20"/>
                <w:szCs w:val="20"/>
                <w:color w:val="auto"/>
              </w:rPr>
            </w:pPr>
            <w:r>
              <w:rPr>
                <w:rFonts w:ascii="Arial" w:cs="Arial" w:eastAsia="Arial" w:hAnsi="Arial"/>
                <w:sz w:val="16"/>
                <w:szCs w:val="16"/>
                <w:color w:val="auto"/>
              </w:rPr>
              <w:t>Fair value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12,167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September 30,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3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02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4"/>
                <w:szCs w:val="14"/>
                <w:color w:val="auto"/>
              </w:rPr>
            </w:pPr>
          </w:p>
        </w:tc>
        <w:tc>
          <w:tcPr>
            <w:tcW w:w="820" w:type="dxa"/>
            <w:vAlign w:val="bottom"/>
          </w:tcPr>
          <w:p>
            <w:pPr>
              <w:jc w:val="right"/>
              <w:ind w:right="259"/>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12,455</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Debt principal payments are estimated amounts based on contractual maturity and scheduled repayment dates. Interest payments are estimated based on the forward-looking SOFR curve, where applicable. Actual payments may differ from these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current portion of long-term debt as of September 30, 2023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September 30, 2023 and based on market quotes of our publicly traded debt. We classify the fair value of debt within Level 1 and Level 2 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Outstanding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Term Loans and 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The CEI Revolving Credit Facility contains reserves of $40 million which are available only for certain permitted uses.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5, 2022, Caesars entered into a third amendment to the CEI Credit Agreement (the “Third Amendment”)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Borrowings under the Senior Credit Facilities bear interest, paid monthly, at a rate equal to, at the Company’s option, either (a) a forward-looking term rate based on Secured Overnight Financing Rate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the Company’s net total leverage ratio.</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6, 2023, Caesars entered into an Incremental Assumption Agreement No. 2 pursuant to which the Company incurred a new senior secured term loan facility in an aggregate principal amount of $2.5 billion (the “CEI Term Loan B” and, together with the CEI Term Loan A, the “CEI Term Loans”) as a new term loan under the CEI Credit Agreement. The CEI Term Loan B requires scheduled quarterly amortization payments in amounts equal to 0.25% of the original aggregate principal amount of the CEI Term Loan B, with the balance payable at maturity. Borrowings under the CEI Term Loan B bear interest, paid monthly, at a rate equal to, at the Company’s option, either (a) a forward-looking term rate based on the Adjusted Term SOFR, subject to a floor of 0.50% or (b) a base rate (the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the Company’s net total leverage ratio. The CEI Term Loan B was issued at a price of 99.0% of the principal amount and will mature in February 2030.</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the CEI Term Loan B, along with the net proceeds from the issuance of the CEI Senior Secured Notes due 2030 described below, were used to repay the outstanding principal balance, including accrued and unpaid interest, of both the CRC Term Loan and the CRC Incremental Term Loan.</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the Company utilized and fully repaid the CEI Revolving Credit Facility. Such activity is presented in the financing section in the Statements of Cash Flows. As of September 30, 2023, the Company had $2.1 billion of available borrowing capacity under the CEI Revolving Credit Facility, after consideration of $71 million in outstanding letters of credit, $46 million committed for regulatory purposes, and the reserves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The CRC Senior Secured Notes rank equally with all existing and future first priority lien obligations of CRC, CRC Finco, Inc. and the subsidiary guarantors. The CRC Senior Secured Notes will mature on July 1, 2025, with interest payable semi-annually in cash in arrears on January 1 and July 1 of each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due 2025”), by and among the Escrow Issuer, U.S. Bank National Association, as trustee, and U.S. Bank National Association, as collateral agent. The CEI Senior Secured Notes due 2025 rank equally with all existing and future first-priority lien obligations of the Company and the subsidiary guarantors. The CEI Senior Secured Notes due 2025 will mature on July 1, 2025, with interest payable semi-annually in cash in arrears on January 1 and July 1 of each year. On April 5, 2023, the Company purchased $1 million in principal amount of the CEI Senior Secured Notes due 2025.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2030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6, 2023, concurrently with the issuance of the CEI Term Loan B,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Baltimore Term Loan and Baltimore Revolving Credit Facility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17, 2023, following the acquisition of the remaining 24.2% equity interest in Horseshoe Baltimore, the Company permanently repaid the outstanding principal balance of Horseshoe Baltimore’s senior secured term loan facility (the “Baltimore Term Loan”) by utilizing the CEI Revolving Credit Facility, which was also repaid as of September 30, 2023. In connection with the repayment, the Company recognized a $3 million loss on the early extinguishment of debt. The Baltimore Term Loan was subject to a variable rate of interest calculated as London Interbank Offered Rate (“LIBOR”) plus 4.00% until May 1, 2023, when the Baltimore Term Loan’s benchmark interest rate was amended from LIBOR to the Adjusted Term SOFR plus an applicable adjustment for the applicable period. In addition, Horseshoe Baltimore’s senior secured revolving credit facility (the “Baltimore Revolving Credit Facility”) matured on July 7, 2023. The Baltimore Revolving Credit Facility had borrowing capacity of up to $10 million, subject to a variable rate of interest calculated as Term SOFR plus 4.00%.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18, 2020, the Company entered into a loan agreement with a subsidiary of VICI Properties L.P., a Delaware limited partnership (“VICI”), to borrow a 5-year, $400 million Forum Convention Center mortgage loan (the “Mortgage Loan”). The Mortgage Loan bears interest at a rate of, initially, 7.7% per annum, which escalates annually on the anniversary of the closing date to a maximum interest rate of 8.3% per annum. On May 1, 2023, the Company elected to prepay the outstanding $400 million Mortgage Loan utilizing cash on hand. In connection with the repayment, the Company extended VICI’s call right relating to the CAESARS FORUM convention center from December 31, 2026 to December 31, 2028.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 and CRC Incremental Term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Caesars Resort Collection (“CRC”) was party to a credit agreement, dated as of December 22, 2017 (as amended, the “CRC Credit Agreement”), which provided for, among other things, an initial $4.7 billion seven-year senior secured term loan (the “CRC Term Loan”), and an incremental $1.8 billion five-year senior secured term loan (the “CRC Incremental Term Loan”).</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CRC Term Loan and the CRC Incremental Term Loan were subject to the terms described below prior to repayment. The Company repaid the $3.4 billion outstanding principal amount of the CRC Term Loan and the $1.0 billion outstanding principal amount of the CRC Incremental Term Loan on February 6, 2023, with proceeds from a new CEI Term Loan B and new CEI Senior Secured Notes due 2030, both of which are described above. Upon the termination of the CRC Term Loan and the CRC Incremental Term Loan, the Company recorded a loss on extinguishment of debt of $197 million.</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and (b) with respect to the CRC Incremental Term Loan, 3.50% per annum in the case of any LIBOR loan or 2.50% in the case of any base rate loan.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6, 2020,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Covenant Compliance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Facilities, the CEI Term Loan B, and the indentures governing the CRC Senior Secured Notes, the CEI Senior Secured Notes due 2025, the CEI Senior Secured Notes due 2030, the CEI Senior Notes due 2027,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was in compliance with all of the applicable financial covenants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Facilities, the CEI Term Loan B, the CEI Senior Secured Notes due 2025 and the CEI Senior Secured Notes due 2030 are guaranteed on a senior secured basis by each existing and future material wholly-owned domestic subsidiary of the Company (subject to certain exceptions including CRC and its subsidiaries)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Senior Secured Notes are also guaranteed on a senior unsecured basis by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9. Revenue Recognition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Statements of Operations present net revenue disaggregated by type or nature of the good or service. A summary of net revenues disaggregated by type of revenue and reportable segment is presented below. Refer to Note 14 for additional information on the Company’s reportable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Food and beverage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revenues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Food and beverage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revenues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Food and beverage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revenues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Food and beverage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revenues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Three Months Ended September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w w:val="98"/>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Arial" w:cs="Arial" w:eastAsia="Arial" w:hAnsi="Arial"/>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-744855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3"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Three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w w:val="98"/>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Arial" w:cs="Arial" w:eastAsia="Arial" w:hAnsi="Arial"/>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96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-745490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-454025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-179705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3"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Nine Months Ended September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w w:val="98"/>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Arial" w:cs="Arial" w:eastAsia="Arial" w:hAnsi="Arial"/>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4,789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8,703</w:t>
            </w:r>
          </w:p>
        </w:tc>
        <w:tc>
          <w:tcPr>
            <w:tcW w:w="0" w:type="dxa"/>
            <w:vAlign w:val="bottom"/>
          </w:tcPr>
          <w:p>
            <w:pPr>
              <w:spacing w:after="0"/>
              <w:rPr>
                <w:sz w:val="1"/>
                <w:szCs w:val="1"/>
                <w:color w:val="auto"/>
              </w:rPr>
            </w:pPr>
          </w:p>
        </w:tc>
      </w:tr>
      <w:tr>
        <w:trPr>
          <w:trHeight w:val="24"/>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-745490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0"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Nine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w w:val="98"/>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Arial" w:cs="Arial" w:eastAsia="Arial" w:hAnsi="Arial"/>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Arial" w:cs="Arial" w:eastAsia="Arial" w:hAnsi="Arial"/>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-744855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8200"/>
          </w:cols>
          <w:pgMar w:left="320" w:top="121" w:right="339" w:bottom="1440" w:gutter="0" w:footer="0" w:header="0"/>
          <w:type w:val="continuous"/>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Accounts Receivable, Net</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6"/>
                <w:szCs w:val="16"/>
                <w:color w:val="auto"/>
              </w:rPr>
            </w:pPr>
          </w:p>
        </w:tc>
        <w:tc>
          <w:tcPr>
            <w:tcW w:w="1720" w:type="dxa"/>
            <w:vAlign w:val="bottom"/>
            <w:gridSpan w:val="2"/>
          </w:tcPr>
          <w:p>
            <w:pPr>
              <w:ind w:left="60"/>
              <w:spacing w:after="0" w:line="165" w:lineRule="exact"/>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6"/>
                <w:szCs w:val="16"/>
                <w:color w:val="auto"/>
              </w:rPr>
            </w:pPr>
          </w:p>
        </w:tc>
        <w:tc>
          <w:tcPr>
            <w:tcW w:w="1620" w:type="dxa"/>
            <w:vAlign w:val="bottom"/>
          </w:tcPr>
          <w:p>
            <w:pPr>
              <w:jc w:val="right"/>
              <w:ind w:right="159"/>
              <w:spacing w:after="0" w:line="165" w:lineRule="exact"/>
              <w:rPr>
                <w:sz w:val="20"/>
                <w:szCs w:val="20"/>
                <w:color w:val="auto"/>
              </w:rPr>
            </w:pPr>
            <w:r>
              <w:rPr>
                <w:rFonts w:ascii="Arial" w:cs="Arial" w:eastAsia="Arial" w:hAnsi="Arial"/>
                <w:sz w:val="16"/>
                <w:szCs w:val="16"/>
                <w:b w:val="1"/>
                <w:bCs w:val="1"/>
                <w:color w:val="auto"/>
                <w:w w:val="94"/>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6"/>
                <w:szCs w:val="16"/>
                <w:color w:val="auto"/>
              </w:rPr>
              <w:t>Food and beverage and hotel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6"/>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and Contract-Related Liabilities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Outstanding Chip Liability</w:t>
            </w:r>
          </w:p>
        </w:tc>
        <w:tc>
          <w:tcPr>
            <w:tcW w:w="280" w:type="dxa"/>
            <w:vAlign w:val="bottom"/>
          </w:tcPr>
          <w:p>
            <w:pPr>
              <w:spacing w:after="0"/>
              <w:rPr>
                <w:sz w:val="16"/>
                <w:szCs w:val="16"/>
                <w:color w:val="auto"/>
              </w:rPr>
            </w:pPr>
          </w:p>
        </w:tc>
        <w:tc>
          <w:tcPr>
            <w:tcW w:w="206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Arial" w:cs="Arial" w:eastAsia="Arial" w:hAnsi="Arial"/>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4"/>
          </w:tcPr>
          <w:p>
            <w:pPr>
              <w:jc w:val="right"/>
              <w:ind w:right="342"/>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76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September 30</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662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FF0FC"/>
            </w:tcBorders>
            <w:shd w:val="clear" w:color="auto" w:fill="CFF0FC"/>
          </w:tcPr>
          <w:p>
            <w:pPr>
              <w:spacing w:after="0"/>
              <w:rPr>
                <w:sz w:val="20"/>
                <w:szCs w:val="20"/>
                <w:color w:val="auto"/>
              </w:rPr>
            </w:pPr>
          </w:p>
        </w:tc>
        <w:tc>
          <w:tcPr>
            <w:tcW w:w="2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w w:val="91"/>
              </w:rPr>
              <w:t>(7)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8"/>
              </w:rPr>
              <w:t>(32)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102</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September 30, 2023 and 2022, we recognized approximately $553 million and $544 million, respectively, and during the nine months ended September 30, 2023 and 2022, we recognized approximately $1.6 billion and $1.4 billion, respectively, which is included in Hotel revenues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September 30, 2023 and 2022, lease revenue related to conventions was approximately $5 million and $4 million, respectively, and during the nine months ended September 30, 2023 and 2022, lease revenue related to conventions was approximately $31 million and $23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 Estate Operating 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revenue is included in Other revenue in the Statements of Operations. During the three months ended September 30, 2023 and 2022, we recognized approximately $42 million for both periods, and during the nine months ended September 30, 2023 and 2022, we recognized approximately $122 million and $125 million, respectively, of real estate lease revenue.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Real estate lease revenue includes $14 million and $17 million of variable rental income for the three months ended September 30, 2023 and 2022, and $44 million and $45 million for the nine months ended September 30, 2023 and 2022,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10. Earnings per Share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for the three and nine months ended September 30,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39"/>
              <w:spacing w:after="0" w:line="142"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4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6"/>
                <w:szCs w:val="16"/>
                <w:color w:val="auto"/>
                <w:w w:val="96"/>
              </w:rPr>
              <w:t>Net income (loss) from continuing operations attributable to Caesars,</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of income taxes</w:t>
            </w: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6"/>
                <w:szCs w:val="16"/>
                <w:color w:val="auto"/>
              </w:rPr>
              <w:t>Discontinued operations, net of income taxes</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 (loss) attributable to Caesars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rPr>
              <w:t>Effect of dilutive securities: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Stock-based compensation awards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Basic income (loss) per share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 loss per share from discontinued operations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46"/>
        </w:trPr>
        <w:tc>
          <w:tcPr>
            <w:tcW w:w="4740" w:type="dxa"/>
            <w:vAlign w:val="bottom"/>
            <w:gridSpan w:val="3"/>
          </w:tcPr>
          <w:p>
            <w:pPr>
              <w:ind w:left="20"/>
              <w:spacing w:after="0" w:line="146" w:lineRule="exact"/>
              <w:rPr>
                <w:sz w:val="20"/>
                <w:szCs w:val="20"/>
                <w:color w:val="auto"/>
              </w:rPr>
            </w:pPr>
            <w:r>
              <w:rPr>
                <w:rFonts w:ascii="Arial" w:cs="Arial" w:eastAsia="Arial" w:hAnsi="Arial"/>
                <w:sz w:val="16"/>
                <w:szCs w:val="16"/>
                <w:color w:val="auto"/>
              </w:rPr>
              <w:t>Net income (loss) per common share attributable to common</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stockholders – basic:</w:t>
            </w: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00"/>
              <w:spacing w:after="0"/>
              <w:rPr>
                <w:sz w:val="20"/>
                <w:szCs w:val="20"/>
                <w:color w:val="auto"/>
              </w:rPr>
            </w:pPr>
            <w:r>
              <w:rPr>
                <w:rFonts w:ascii="Arial" w:cs="Arial" w:eastAsia="Arial" w:hAnsi="Arial"/>
                <w:sz w:val="16"/>
                <w:szCs w:val="16"/>
                <w:color w:val="auto"/>
              </w:rPr>
              <w:t>Diluted income (loss) per share from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 loss per share from discontinued operations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46"/>
        </w:trPr>
        <w:tc>
          <w:tcPr>
            <w:tcW w:w="4740" w:type="dxa"/>
            <w:vAlign w:val="bottom"/>
            <w:gridSpan w:val="3"/>
          </w:tcPr>
          <w:p>
            <w:pPr>
              <w:ind w:left="20"/>
              <w:spacing w:after="0" w:line="146" w:lineRule="exact"/>
              <w:rPr>
                <w:sz w:val="20"/>
                <w:szCs w:val="20"/>
                <w:color w:val="auto"/>
              </w:rPr>
            </w:pPr>
            <w:r>
              <w:rPr>
                <w:rFonts w:ascii="Arial" w:cs="Arial" w:eastAsia="Arial" w:hAnsi="Arial"/>
                <w:sz w:val="16"/>
                <w:szCs w:val="16"/>
                <w:color w:val="auto"/>
              </w:rPr>
              <w:t>Net income (loss) per common share attributable to common</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stockholders – diluted:</w:t>
            </w: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from continuing operations, the Weighted average shares outstanding - basic was used in calculating Diluted loss per share because using diluted shares would have been anti-dilutive to loss per share.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Weighted-Average Number of Anti-Dilutive Shares Excluded from the Calculation of Earnings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Nine Months Ended September 30,</w:t>
            </w:r>
          </w:p>
        </w:tc>
      </w:tr>
      <w:tr>
        <w:trPr>
          <w:trHeight w:val="159"/>
        </w:trPr>
        <w:tc>
          <w:tcPr>
            <w:tcW w:w="20" w:type="dxa"/>
            <w:vAlign w:val="bottom"/>
          </w:tcPr>
          <w:p>
            <w:pPr>
              <w:spacing w:after="0"/>
              <w:rPr>
                <w:sz w:val="13"/>
                <w:szCs w:val="13"/>
                <w:color w:val="auto"/>
              </w:rPr>
            </w:pPr>
          </w:p>
        </w:tc>
        <w:tc>
          <w:tcPr>
            <w:tcW w:w="4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18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2023</w:t>
            </w:r>
          </w:p>
        </w:tc>
        <w:tc>
          <w:tcPr>
            <w:tcW w:w="1780" w:type="dxa"/>
            <w:vAlign w:val="bottom"/>
            <w:gridSpan w:val="3"/>
          </w:tcPr>
          <w:p>
            <w:pPr>
              <w:jc w:val="right"/>
              <w:ind w:right="360"/>
              <w:spacing w:after="0" w:line="142" w:lineRule="exact"/>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3"/>
                <w:szCs w:val="13"/>
                <w:color w:val="auto"/>
              </w:rPr>
            </w:pPr>
          </w:p>
        </w:tc>
        <w:tc>
          <w:tcPr>
            <w:tcW w:w="1560" w:type="dxa"/>
            <w:vAlign w:val="bottom"/>
          </w:tcPr>
          <w:p>
            <w:pPr>
              <w:jc w:val="right"/>
              <w:ind w:right="53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Total anti-dilutive common stock</w:t>
            </w: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11. Stock-Based Compensation and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7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maintains long-term incentive plans which allow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stock-based compensation expense in the accompanying Statements of Operations totaled $26 million during both of the three months ended September 30, 2023 and 2022 and $82 million and $77 million during the nine months ended September 30, 2023 and 2022, respectively. These amounts are included in Corporate expense in the Company’s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 (“2015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as part of the annual incentive program, the Company granted 1.5 million RSUs to eligible participants with an aggregate fair value of $76 million and a ratable vesting period of one to three years. Each RSU represents the right to receive payment in respect of one share of the Company’s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2023, the Company also granted 192 thousand PSUs that are scheduled to cliff vest over a period of two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$9 million as of September 30, 2023.</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during the nine months ended September 30, 2023, the Company granted 379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nine months ended September 30, 2023 was $31 million.</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2023, there were no grants of stock options and 88 stock options were exercised. In addition, during the nine months ended September 30, 2023, 1.1 million, 243 thousand and 140 thousand of RSUs, PSUs and MSUs, respectively, vested under the 2015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at End of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3220" w:type="dxa"/>
            <w:vAlign w:val="bottom"/>
            <w:gridSpan w:val="5"/>
          </w:tcPr>
          <w:p>
            <w:pPr>
              <w:ind w:left="880"/>
              <w:spacing w:after="0"/>
              <w:rPr>
                <w:sz w:val="20"/>
                <w:szCs w:val="20"/>
                <w:color w:val="auto"/>
              </w:rPr>
            </w:pPr>
            <w:r>
              <w:rPr>
                <w:rFonts w:ascii="Arial" w:cs="Arial" w:eastAsia="Arial" w:hAnsi="Arial"/>
                <w:sz w:val="16"/>
                <w:szCs w:val="16"/>
                <w:b w:val="1"/>
                <w:bCs w:val="1"/>
                <w:color w:val="auto"/>
              </w:rPr>
              <w:t>September 30, 2023</w:t>
            </w:r>
          </w:p>
        </w:tc>
        <w:tc>
          <w:tcPr>
            <w:tcW w:w="31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48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Quantity</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27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Quantity</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99"/>
              <w:spacing w:after="0" w:line="213" w:lineRule="exact"/>
              <w:rPr>
                <w:sz w:val="20"/>
                <w:szCs w:val="20"/>
                <w:color w:val="auto"/>
              </w:rPr>
            </w:pPr>
            <w:r>
              <w:rPr>
                <w:rFonts w:ascii="Arial" w:cs="Arial" w:eastAsia="Arial" w:hAnsi="Arial"/>
                <w:sz w:val="16"/>
                <w:szCs w:val="16"/>
                <w:b w:val="1"/>
                <w:bCs w:val="1"/>
                <w:color w:val="auto"/>
              </w:rPr>
              <w:t xml:space="preserve">Wtd-Avg </w:t>
            </w:r>
            <w:r>
              <w:rPr>
                <w:rFonts w:ascii="Arial" w:cs="Arial" w:eastAsia="Arial" w:hAnsi="Arial"/>
                <w:sz w:val="21"/>
                <w:szCs w:val="21"/>
                <w:b w:val="1"/>
                <w:bCs w:val="1"/>
                <w:i w:val="1"/>
                <w:iCs w:val="1"/>
                <w:color w:val="auto"/>
                <w:vertAlign w:val="superscript"/>
              </w:rPr>
              <w:t>(a)</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40" w:type="dxa"/>
            <w:vAlign w:val="bottom"/>
            <w:gridSpan w:val="3"/>
            <w:shd w:val="clear" w:color="auto" w:fill="CCEEFF"/>
          </w:tcPr>
          <w:p>
            <w:pPr>
              <w:ind w:left="1300"/>
              <w:spacing w:after="0"/>
              <w:rPr>
                <w:sz w:val="20"/>
                <w:szCs w:val="20"/>
                <w:color w:val="auto"/>
              </w:rPr>
            </w:pPr>
            <w:r>
              <w:rPr>
                <w:rFonts w:ascii="Arial" w:cs="Arial" w:eastAsia="Arial" w:hAnsi="Arial"/>
                <w:sz w:val="16"/>
                <w:szCs w:val="16"/>
                <w:color w:val="auto"/>
              </w:rPr>
              <w:t>—  $</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2,148,409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60.64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1,863,481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66.87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stock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Market-based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871,284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85.11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741,803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83.24</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30" w:lineRule="auto"/>
        <w:tabs>
          <w:tab w:leader="none" w:pos="327"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2023, the Company has acquired 223,823 shares of common stock under the Share Repurchase Program at an aggregate value of $9 million and an average of $40.80 per share. No shares were repurchased during the nine months ended September 30, 2023 and 2022.</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12. Income Taxes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However, the Company utilized a discrete effective tax rate method, as allowed by ASC 740-270 “Income Taxes, Interim Reporting,” to calculate taxes for the three and nine months ended September 30, 2023. The Company determined that small changes in estimated “ordinary” income would result in significant changes in the estimated annual effective tax rate, and therefore, the historical method would not provide a reliable estimate for the three and nine months ended September 30, 2023.</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158"/>
        </w:trPr>
        <w:tc>
          <w:tcPr>
            <w:tcW w:w="20" w:type="dxa"/>
            <w:vAlign w:val="bottom"/>
          </w:tcPr>
          <w:p>
            <w:pPr>
              <w:spacing w:after="0"/>
              <w:rPr>
                <w:sz w:val="13"/>
                <w:szCs w:val="13"/>
                <w:color w:val="auto"/>
              </w:rPr>
            </w:pPr>
          </w:p>
        </w:tc>
        <w:tc>
          <w:tcPr>
            <w:tcW w:w="4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47</w:t>
            </w: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assesses the available positive and negative evidence to estimate if sufficient future taxable income will be generated to use existing deferred tax assets. During the second quarter of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during the second quarter of 2023,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tax provision for the three months ended September 30, 2023 differed from the expected income tax provision based on the federal tax rate of 21% primarily due to an increase in federal and state valuation allowances against the deferred tax assets for excess business interest expense. The income tax benefit for the nine months ended September 30, 2023 differed from the expected income tax benefit based on the federal tax rate of 21% primarily due to the partial release of federal and state valuation allowances.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benefit for the three months ended September 30, 2022 differed from the expected income tax provision based on the federal tax rate of 21% primarily due to a decrease in the state deferred tax liabilities as a result of a reduction in tax rates in Pennsylvania and Iowa. The income tax benefit for the nine months ended September 30, 2022 differed from the expected income tax benefit based on the federal tax rate of 21% primarily due to a deferred tax adjustment related to the tax impact of the settlement of preexisting relationships upon the acquisition of William Hill PLC in 2021 and nondeductible expenses.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2019, and it is possible that the amount of the liability for unrecognized tax benefits could change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13. Related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2023, Recreational Enterprises, Inc. (“REI”) owned approximately 4.0% of the outstanding common stock of the Company. The directors of REI are the Company’s Executive Chairman of the Board, Gary L. Carano, its Chief Executive Officer and Board member, Thomas R. Reeg, and its Vice President of Player Development, Gene Carano. In addition, Gary L. Carano also serves as the Vice President of REI and Gene Carano also serves as the Secretary and Treasurer of REI. Members of the Carano family, including Gary L. Carano and Gene Carano, own the equity interests in REI. During the nine months ended September 30, 2023 and 2022, there were no related party transactions between the Company and the Carano family other than compensation, including salary and equity incentives, and the CSY Lease listed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monthly. Annual rent is subject to periodic rent escalations through the term of the lease. As of September 30, 2023 and December 31, 2022, there were no amounts due to or from CSY.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b w:val="1"/>
          <w:bCs w:val="1"/>
          <w:i w:val="1"/>
          <w:iCs w:val="1"/>
          <w:color w:val="auto"/>
        </w:rPr>
        <w:t>VA Holdco, LLC</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the Company entered into a joint venture, CVA Holdco, LLC, with the Eastern Band of Cherokee Indians (“EBCI”) and an additional minority partner, to construct, own and operate a gaming facility in Danville, Virginia (“Caesars Virginia”). Caesars Virginia opened in a temporary facility on May 15, 2023 which will be replaced by a permanent facility that is currently under construction and is estimated to open in late 2024. As the managing member, the Company will operate the business and manage the development, construction, financing, marketing, leasing, maintenance and day-to-day operation of the various phases of the project.</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Company holds a 49.5% variable interest in the joint venture, it is the primary beneficiary; as such, the joint venture’s operations are included in the Financial Statements, with a minority interest recorded reflecting the operations attributed to the other partners. The Company participates ratably, based on ownership percentage, with the partners in the profits and losses of the joint venture. As of September 30, 2023, the Company has received $100 million in contributions for the project and EBCI and the other minority partners are obligated to contribute additional cash totaling $24 million to the joint venture.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Note 14. Segment Information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4 and Note 5 for a discussion of any impairment of intangible assets or long-lived assets related to certain segments, when applicable.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Las Vegas</w:t>
            </w:r>
          </w:p>
        </w:tc>
        <w:tc>
          <w:tcPr>
            <w:tcW w:w="8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Regional</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Managed and Branded</w:t>
            </w:r>
          </w:p>
        </w:tc>
      </w:tr>
      <w:tr>
        <w:trPr>
          <w:trHeight w:val="172"/>
        </w:trPr>
        <w:tc>
          <w:tcPr>
            <w:tcW w:w="26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Palace Las Vegas</w:t>
            </w:r>
          </w:p>
        </w:tc>
        <w:tc>
          <w:tcPr>
            <w:tcW w:w="8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Caesars Atlantic City</w:t>
            </w:r>
          </w:p>
        </w:tc>
        <w:tc>
          <w:tcPr>
            <w:tcW w:w="46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60"/>
              <w:spacing w:after="0" w:line="172" w:lineRule="exact"/>
              <w:rPr>
                <w:sz w:val="20"/>
                <w:szCs w:val="20"/>
                <w:color w:val="auto"/>
              </w:rPr>
            </w:pPr>
            <w:r>
              <w:rPr>
                <w:rFonts w:ascii="Arial" w:cs="Arial" w:eastAsia="Arial" w:hAnsi="Arial"/>
                <w:sz w:val="16"/>
                <w:szCs w:val="16"/>
                <w:color w:val="auto"/>
              </w:rPr>
              <w:t>Harveys Lake Tahoe</w:t>
            </w:r>
          </w:p>
        </w:tc>
        <w:tc>
          <w:tcPr>
            <w:tcW w:w="20" w:type="dxa"/>
            <w:vAlign w:val="bottom"/>
            <w:shd w:val="clear" w:color="auto" w:fill="CCEEFF"/>
          </w:tcPr>
          <w:p>
            <w:pPr>
              <w:spacing w:after="0"/>
              <w:rPr>
                <w:sz w:val="14"/>
                <w:szCs w:val="14"/>
                <w:color w:val="auto"/>
              </w:rPr>
            </w:pPr>
          </w:p>
        </w:tc>
        <w:tc>
          <w:tcPr>
            <w:tcW w:w="276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i w:val="1"/>
                <w:iCs w:val="1"/>
                <w:color w:val="auto"/>
              </w:rPr>
              <w:t>Managed</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The Cromwell</w:t>
            </w:r>
          </w:p>
        </w:tc>
        <w:tc>
          <w:tcPr>
            <w:tcW w:w="80" w:type="dxa"/>
            <w:vAlign w:val="bottom"/>
          </w:tcPr>
          <w:p>
            <w:pPr>
              <w:spacing w:after="0"/>
              <w:rPr>
                <w:sz w:val="18"/>
                <w:szCs w:val="18"/>
                <w:color w:val="auto"/>
              </w:rPr>
            </w:pPr>
          </w:p>
        </w:tc>
        <w:tc>
          <w:tcPr>
            <w:tcW w:w="23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Caesars Virginia </w:t>
            </w:r>
            <w:r>
              <w:rPr>
                <w:rFonts w:ascii="Arial" w:cs="Arial" w:eastAsia="Arial" w:hAnsi="Arial"/>
                <w:sz w:val="21"/>
                <w:szCs w:val="21"/>
                <w:i w:val="1"/>
                <w:iCs w:val="1"/>
                <w:color w:val="auto"/>
                <w:vertAlign w:val="superscript"/>
              </w:rPr>
              <w:t>(b)</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Baltimore</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Ak-Chin</w:t>
            </w: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Flamingo Las Vegas</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Circus Circus Reno</w:t>
            </w:r>
          </w:p>
        </w:tc>
        <w:tc>
          <w:tcPr>
            <w:tcW w:w="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Black Hawk</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Cherokee</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Harrah’s Las Vegas</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Bossier City</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Cherokee Valley River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Horseshoe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Eldorado Resort Casino Reno</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Council Bluffs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Harrah’s Resort Southern California</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The LINQ Hotel &amp; Casino</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Grand Victoria Casino</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Hammond</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Caesars Windsor</w:t>
            </w: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Paris Las Vegas</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Atlantic City</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Indianapolis</w:t>
            </w:r>
          </w:p>
        </w:tc>
        <w:tc>
          <w:tcPr>
            <w:tcW w:w="2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spacing w:after="0" w:line="219" w:lineRule="exact"/>
              <w:rPr>
                <w:sz w:val="20"/>
                <w:szCs w:val="20"/>
                <w:color w:val="auto"/>
              </w:rPr>
            </w:pPr>
            <w:r>
              <w:rPr>
                <w:rFonts w:ascii="Arial" w:cs="Arial" w:eastAsia="Arial" w:hAnsi="Arial"/>
                <w:sz w:val="16"/>
                <w:szCs w:val="16"/>
                <w:color w:val="auto"/>
              </w:rPr>
              <w:t xml:space="preserve">Caesars Dubai </w:t>
            </w:r>
            <w:r>
              <w:rPr>
                <w:rFonts w:ascii="Arial" w:cs="Arial" w:eastAsia="Arial" w:hAnsi="Arial"/>
                <w:sz w:val="21"/>
                <w:szCs w:val="21"/>
                <w:i w:val="1"/>
                <w:iCs w:val="1"/>
                <w:color w:val="auto"/>
                <w:vertAlign w:val="superscript"/>
              </w:rPr>
              <w:t>(d)</w:t>
            </w:r>
          </w:p>
        </w:tc>
      </w:tr>
      <w:tr>
        <w:trPr>
          <w:trHeight w:val="176"/>
        </w:trPr>
        <w:tc>
          <w:tcPr>
            <w:tcW w:w="2660" w:type="dxa"/>
            <w:vAlign w:val="bottom"/>
          </w:tcPr>
          <w:p>
            <w:pPr>
              <w:ind w:left="20"/>
              <w:spacing w:after="0" w:line="175" w:lineRule="exact"/>
              <w:rPr>
                <w:sz w:val="20"/>
                <w:szCs w:val="20"/>
                <w:color w:val="auto"/>
              </w:rPr>
            </w:pPr>
            <w:r>
              <w:rPr>
                <w:rFonts w:ascii="Arial" w:cs="Arial" w:eastAsia="Arial" w:hAnsi="Arial"/>
                <w:sz w:val="16"/>
                <w:szCs w:val="16"/>
                <w:color w:val="auto"/>
              </w:rPr>
              <w:t>Planet Hollywood Resort &amp; Casino</w:t>
            </w:r>
          </w:p>
        </w:tc>
        <w:tc>
          <w:tcPr>
            <w:tcW w:w="80" w:type="dxa"/>
            <w:vAlign w:val="bottom"/>
          </w:tcPr>
          <w:p>
            <w:pPr>
              <w:spacing w:after="0"/>
              <w:rPr>
                <w:sz w:val="15"/>
                <w:szCs w:val="15"/>
                <w:color w:val="auto"/>
              </w:rPr>
            </w:pPr>
          </w:p>
        </w:tc>
        <w:tc>
          <w:tcPr>
            <w:tcW w:w="2320" w:type="dxa"/>
            <w:vAlign w:val="bottom"/>
          </w:tcPr>
          <w:p>
            <w:pPr>
              <w:ind w:left="20"/>
              <w:spacing w:after="0" w:line="176" w:lineRule="exact"/>
              <w:rPr>
                <w:sz w:val="20"/>
                <w:szCs w:val="20"/>
                <w:color w:val="auto"/>
              </w:rPr>
            </w:pPr>
            <w:r>
              <w:rPr>
                <w:rFonts w:ascii="Arial" w:cs="Arial" w:eastAsia="Arial" w:hAnsi="Arial"/>
                <w:sz w:val="15"/>
                <w:szCs w:val="15"/>
                <w:color w:val="auto"/>
              </w:rPr>
              <w:t xml:space="preserve">Harrah’s Columbus Nebraska </w:t>
            </w:r>
            <w:r>
              <w:rPr>
                <w:rFonts w:ascii="Arial" w:cs="Arial" w:eastAsia="Arial" w:hAnsi="Arial"/>
                <w:sz w:val="20"/>
                <w:szCs w:val="20"/>
                <w:i w:val="1"/>
                <w:iCs w:val="1"/>
                <w:color w:val="auto"/>
                <w:vertAlign w:val="superscript"/>
              </w:rPr>
              <w:t>(c)</w:t>
            </w:r>
          </w:p>
        </w:tc>
        <w:tc>
          <w:tcPr>
            <w:tcW w:w="460" w:type="dxa"/>
            <w:vAlign w:val="bottom"/>
          </w:tcPr>
          <w:p>
            <w:pPr>
              <w:spacing w:after="0"/>
              <w:rPr>
                <w:sz w:val="15"/>
                <w:szCs w:val="15"/>
                <w:color w:val="auto"/>
              </w:rPr>
            </w:pPr>
          </w:p>
        </w:tc>
        <w:tc>
          <w:tcPr>
            <w:tcW w:w="2940" w:type="dxa"/>
            <w:vAlign w:val="bottom"/>
            <w:gridSpan w:val="2"/>
          </w:tcPr>
          <w:p>
            <w:pPr>
              <w:ind w:left="160"/>
              <w:spacing w:after="0" w:line="175" w:lineRule="exact"/>
              <w:rPr>
                <w:sz w:val="20"/>
                <w:szCs w:val="20"/>
                <w:color w:val="auto"/>
              </w:rPr>
            </w:pPr>
            <w:r>
              <w:rPr>
                <w:rFonts w:ascii="Arial" w:cs="Arial" w:eastAsia="Arial" w:hAnsi="Arial"/>
                <w:sz w:val="16"/>
                <w:szCs w:val="16"/>
                <w:color w:val="auto"/>
              </w:rPr>
              <w:t>Horseshoe Lake Charles</w:t>
            </w:r>
          </w:p>
        </w:tc>
        <w:tc>
          <w:tcPr>
            <w:tcW w:w="20" w:type="dxa"/>
            <w:vAlign w:val="bottom"/>
          </w:tcPr>
          <w:p>
            <w:pPr>
              <w:spacing w:after="0"/>
              <w:rPr>
                <w:sz w:val="15"/>
                <w:szCs w:val="15"/>
                <w:color w:val="auto"/>
              </w:rPr>
            </w:pPr>
          </w:p>
        </w:tc>
        <w:tc>
          <w:tcPr>
            <w:tcW w:w="276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Branded</w:t>
            </w: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Rio All-Suite Hotel &amp; Casino </w:t>
            </w:r>
            <w:r>
              <w:rPr>
                <w:rFonts w:ascii="Arial" w:cs="Arial" w:eastAsia="Arial" w:hAnsi="Arial"/>
                <w:sz w:val="21"/>
                <w:szCs w:val="21"/>
                <w:i w:val="1"/>
                <w:iCs w:val="1"/>
                <w:color w:val="auto"/>
                <w:vertAlign w:val="superscript"/>
              </w:rPr>
              <w:t>(a)</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Council Bluffs</w:t>
            </w:r>
          </w:p>
        </w:tc>
        <w:tc>
          <w:tcPr>
            <w:tcW w:w="4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Horseshoe St. Louis</w:t>
            </w:r>
          </w:p>
        </w:tc>
        <w:tc>
          <w:tcPr>
            <w:tcW w:w="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Caesars Southern Indiana</w:t>
            </w: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Gulf Coast</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Horseshoe Tunica</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6"/>
                <w:szCs w:val="16"/>
                <w:color w:val="auto"/>
              </w:rPr>
              <w:t>Harrah’s Northern California</w:t>
            </w:r>
          </w:p>
        </w:tc>
      </w:tr>
      <w:tr>
        <w:trPr>
          <w:trHeight w:val="219"/>
        </w:trPr>
        <w:tc>
          <w:tcPr>
            <w:tcW w:w="26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Caesars Digital</w:t>
            </w:r>
          </w:p>
        </w:tc>
        <w:tc>
          <w:tcPr>
            <w:tcW w:w="8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Harrah’s Hoosier Park Racing &amp; Casino</w:t>
            </w: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Casino Bettendorf</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color w:val="auto"/>
              </w:rPr>
              <w:t>Caesars Digital</w:t>
            </w:r>
          </w:p>
        </w:tc>
        <w:tc>
          <w:tcPr>
            <w:tcW w:w="80" w:type="dxa"/>
            <w:vAlign w:val="bottom"/>
          </w:tcPr>
          <w:p>
            <w:pPr>
              <w:spacing w:after="0"/>
              <w:rPr>
                <w:sz w:val="17"/>
                <w:szCs w:val="17"/>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Joliet</w:t>
            </w:r>
          </w:p>
        </w:tc>
        <w:tc>
          <w:tcPr>
            <w:tcW w:w="46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of Capri Casino Boonville</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Lake Tahoe</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Isle of Capri Casino Lula</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Laughlin</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Isle Casino Waterloo</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Metropolis</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Lady Luck Casino - Black Hawk</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New Orleans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Silver Legacy Resort Casino</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North Kansas City</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 Casino Greenville</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3"/>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auto"/>
              </w:rPr>
              <w:t>Harrah’s Philadelphia</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6"/>
                <w:szCs w:val="16"/>
                <w:color w:val="auto"/>
              </w:rPr>
              <w:t>Tropicana Atlantic City</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9"/>
        </w:trPr>
        <w:tc>
          <w:tcPr>
            <w:tcW w:w="2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Harrah’s Pompano Beach</w:t>
            </w:r>
          </w:p>
        </w:tc>
        <w:tc>
          <w:tcPr>
            <w:tcW w:w="46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Tropicana Laughlin Hotel &amp; Casino</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 of October 2, 2023, Caesars no longer operates the Rio All-Suite Hotel &amp; Casino and all operations were assumed by the lessor.</w:t>
      </w:r>
    </w:p>
    <w:p>
      <w:pPr>
        <w:spacing w:after="0" w:line="45" w:lineRule="exact"/>
        <w:rPr>
          <w:rFonts w:ascii="Arial" w:cs="Arial" w:eastAsia="Arial" w:hAnsi="Arial"/>
          <w:sz w:val="19"/>
          <w:szCs w:val="19"/>
          <w:i w:val="1"/>
          <w:iCs w:val="1"/>
          <w:color w:val="auto"/>
          <w:vertAlign w:val="superscript"/>
        </w:rPr>
      </w:pPr>
    </w:p>
    <w:p>
      <w:pPr>
        <w:ind w:left="320" w:hanging="312"/>
        <w:spacing w:after="0"/>
        <w:tabs>
          <w:tab w:leader="none" w:pos="320" w:val="left"/>
        </w:tabs>
        <w:numPr>
          <w:ilvl w:val="0"/>
          <w:numId w:val="7"/>
        </w:numPr>
        <w:rPr>
          <w:rFonts w:ascii="Arial" w:cs="Arial" w:eastAsia="Arial" w:hAnsi="Arial"/>
          <w:sz w:val="9"/>
          <w:szCs w:val="9"/>
          <w:i w:val="1"/>
          <w:iCs w:val="1"/>
          <w:color w:val="auto"/>
        </w:rPr>
      </w:pPr>
      <w:r>
        <w:rPr>
          <w:rFonts w:ascii="Arial" w:cs="Arial" w:eastAsia="Arial" w:hAnsi="Arial"/>
          <w:sz w:val="14"/>
          <w:szCs w:val="14"/>
          <w:i w:val="1"/>
          <w:iCs w:val="1"/>
          <w:color w:val="auto"/>
        </w:rPr>
        <w:t>Temporary gaming facility opened on May 15, 2023. The construction of the permanent facility of Caesars Virginia is expected to be completed in late 2024.</w:t>
      </w:r>
    </w:p>
    <w:p>
      <w:pPr>
        <w:spacing w:after="0" w:line="56" w:lineRule="exact"/>
        <w:rPr>
          <w:rFonts w:ascii="Arial" w:cs="Arial" w:eastAsia="Arial" w:hAnsi="Arial"/>
          <w:sz w:val="9"/>
          <w:szCs w:val="9"/>
          <w:i w:val="1"/>
          <w:iCs w:val="1"/>
          <w:color w:val="auto"/>
        </w:rPr>
      </w:pPr>
    </w:p>
    <w:p>
      <w:pPr>
        <w:ind w:left="320" w:hanging="312"/>
        <w:spacing w:after="0"/>
        <w:tabs>
          <w:tab w:leader="none" w:pos="320" w:val="left"/>
        </w:tabs>
        <w:numPr>
          <w:ilvl w:val="0"/>
          <w:numId w:val="7"/>
        </w:numPr>
        <w:rPr>
          <w:rFonts w:ascii="Arial" w:cs="Arial" w:eastAsia="Arial" w:hAnsi="Arial"/>
          <w:sz w:val="9"/>
          <w:szCs w:val="9"/>
          <w:i w:val="1"/>
          <w:iCs w:val="1"/>
          <w:color w:val="auto"/>
        </w:rPr>
      </w:pPr>
      <w:r>
        <w:rPr>
          <w:rFonts w:ascii="Arial" w:cs="Arial" w:eastAsia="Arial" w:hAnsi="Arial"/>
          <w:sz w:val="13"/>
          <w:szCs w:val="13"/>
          <w:i w:val="1"/>
          <w:iCs w:val="1"/>
          <w:color w:val="auto"/>
        </w:rPr>
        <w:t>Temporary gaming facility opened on June 12, 2023. The construction of the permanent facility of Harrah’s Columbus Nebraska is expected to be completed in the first half of 2024.</w:t>
      </w:r>
    </w:p>
    <w:p>
      <w:pPr>
        <w:spacing w:after="0" w:line="43" w:lineRule="exact"/>
        <w:rPr>
          <w:rFonts w:ascii="Arial" w:cs="Arial" w:eastAsia="Arial" w:hAnsi="Arial"/>
          <w:sz w:val="9"/>
          <w:szCs w:val="9"/>
          <w:i w:val="1"/>
          <w:iCs w:val="1"/>
          <w:color w:val="auto"/>
        </w:rPr>
      </w:pPr>
    </w:p>
    <w:p>
      <w:pPr>
        <w:ind w:left="320" w:hanging="312"/>
        <w:spacing w:after="0"/>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November 16, 2023, the Company expects to exit the management agreement associated with Caesars Dubai and the property will be renamed under new ownership.</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convention center, which is a 550,000 square feet conference center with 300,000 square feet of flexible meeting space, two of the largest pillarless ballrooms in the world and direct access to the LINQ.</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certain operating data for the Company’s four reportable segments, in addition to Corporate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Las Vegas:</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1,077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3,379</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3,133</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1,542</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Caesars Digital:</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Managed and Branded:</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Corporate and Other: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Attributable to Caesars to Adjusted EBITDA by Segment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40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3"/>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discontinued operations</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40"/>
        </w:trPr>
        <w:tc>
          <w:tcPr>
            <w:tcW w:w="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13"/>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1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net </w:t>
            </w:r>
            <w:r>
              <w:rPr>
                <w:rFonts w:ascii="Arial" w:cs="Arial" w:eastAsia="Arial" w:hAnsi="Arial"/>
                <w:sz w:val="21"/>
                <w:szCs w:val="21"/>
                <w:i w:val="1"/>
                <w:iCs w:val="1"/>
                <w:color w:val="auto"/>
                <w:vertAlign w:val="superscript"/>
              </w:rPr>
              <w:t>(b)</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2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by Segment: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1,427</w:t>
            </w:r>
          </w:p>
        </w:tc>
      </w:tr>
      <w:tr>
        <w:trPr>
          <w:trHeight w:val="21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r>
      <w:tr>
        <w:trPr>
          <w:trHeight w:val="213"/>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6"/>
                <w:szCs w:val="16"/>
                <w:color w:val="auto"/>
              </w:rPr>
              <w:t>Corporate and Other</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(income) loss for the three and nine months ended September 30, 2022 primarily represents the net change in fair value of investments held by the Company, foreign exchange forward contracts, and changes in the fair value of a disputed claim liability.</w:t>
      </w:r>
    </w:p>
    <w:p>
      <w:pPr>
        <w:spacing w:after="0" w:line="48" w:lineRule="exact"/>
        <w:rPr>
          <w:rFonts w:ascii="Arial" w:cs="Arial" w:eastAsia="Arial" w:hAnsi="Arial"/>
          <w:sz w:val="19"/>
          <w:szCs w:val="19"/>
          <w:i w:val="1"/>
          <w:iCs w:val="1"/>
          <w:color w:val="auto"/>
          <w:vertAlign w:val="superscript"/>
        </w:rPr>
      </w:pPr>
    </w:p>
    <w:p>
      <w:pPr>
        <w:jc w:val="both"/>
        <w:ind w:left="340" w:hanging="332"/>
        <w:spacing w:after="0" w:line="289" w:lineRule="auto"/>
        <w:tabs>
          <w:tab w:leader="none" w:pos="337" w:val="left"/>
        </w:tabs>
        <w:numPr>
          <w:ilvl w:val="0"/>
          <w:numId w:val="8"/>
        </w:numPr>
        <w:rPr>
          <w:rFonts w:ascii="Arial" w:cs="Arial" w:eastAsia="Arial" w:hAnsi="Arial"/>
          <w:sz w:val="9"/>
          <w:szCs w:val="9"/>
          <w:i w:val="1"/>
          <w:iCs w:val="1"/>
          <w:color w:val="auto"/>
        </w:rPr>
      </w:pPr>
      <w:r>
        <w:rPr>
          <w:rFonts w:ascii="Arial" w:cs="Arial" w:eastAsia="Arial" w:hAnsi="Arial"/>
          <w:sz w:val="13"/>
          <w:szCs w:val="13"/>
          <w:i w:val="1"/>
          <w:iCs w:val="1"/>
          <w:color w:val="auto"/>
        </w:rPr>
        <w:t>Transaction costs and other, net for the three and nine months ended September 30, 2023 primarily includes (i) net proceeds received in exchange for participation rights in a potential insurance recovery, (ii) proceeds received for the termination of the Caesars Dubai management agreement and (iii) costs related to non-cash losses on the write down and disposal of assets, pre-opening costs in connection with new temporary facility openings and non-cash changes in equity method investments. Transaction costs and other, net for the three and nine months ended September 30, 2022 primarily represents professional services for integration activities and various contract exit or termination costs partially offset by a gain resulting from insurance proceeds received in excess of the respective carrying value of damaged assets associated with the Lake Charles property.</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Total Assets - By Segment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Las Vegas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Caesars Digital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Managed and Branded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p>
      <w:pPr>
        <w:ind w:left="240"/>
        <w:spacing w:after="0"/>
        <w:rPr>
          <w:sz w:val="20"/>
          <w:szCs w:val="20"/>
          <w:color w:val="auto"/>
        </w:rPr>
      </w:pPr>
      <w:r>
        <w:rPr>
          <w:rFonts w:ascii="Arial" w:cs="Arial" w:eastAsia="Arial" w:hAnsi="Arial"/>
          <w:sz w:val="16"/>
          <w:szCs w:val="16"/>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eliminations of transactions among segments, to reconcile to the Company’s consolidated results.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2022</w:t>
            </w:r>
          </w:p>
        </w:tc>
      </w:tr>
      <w:tr>
        <w:trPr>
          <w:trHeight w:val="22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23,965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23,547</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14,908</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9"/>
        </w:trPr>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(6,268)</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r>
      <w:tr>
        <w:trPr>
          <w:trHeight w:val="24"/>
        </w:trPr>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ectPr>
          <w:pgSz w:w="11900" w:h="16838" w:orient="portrait"/>
          <w:cols w:equalWidth="0" w:num="2">
            <w:col w:w="6700" w:space="720"/>
            <w:col w:w="382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b w:val="1"/>
          <w:bCs w:val="1"/>
          <w:color w:val="BF2115"/>
        </w:rPr>
        <w:t>Item 2. Management’s Discussion and Analysis of Financial Condition and Results of Operations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the financial position and operating results of Caesars Entertainment, Inc., a Delaware corporation, and its consolidated subsidiaries, which may be referred to as the “Company,” “CEI,” “Caesars,” “we,” “our,” or “us,” for the three and nine months ended September 30, 2023 and 2022 should be read in conjunction with the unaudited consolidated condensed financial statements and the notes thereto and other financial information included elsewhere in this Form 10-Q as well as our Annual Report on Form 10-K for the fiscal year ended December 31, 2022 (the “2022 Annual Report”). Capitalized terms used but not defined in this Form 10-Q have the same meanings as in the 2022 Annual Report.</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on April 22, 2021. Our ticker symbol on the NASDAQ Stock Market is “CZR.”</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own, lease, brand, or manage an aggregate of 53 domestic properties in 18 states with approximately 52,500 slot machines, video lottery terminals and e-tables, approximately 2,700 table games and approximately 46,900 hotel rooms as of September 30, 2023. In addition, we have other domestic and international properties that are authorized to use the brands and marks of Caesars Entertainment, Inc., as well as other non-gaming properties. Our primary source of revenue is generated by our casino properties’ gaming operations, our retail and online sports betting, as well as our online gaming, and we utilize our hotels, restaurants, bars, entertainment, racing, retail shops and other services to attract customers to our properties.</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2023, we owned 22 of our casinos and leased 25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and leased the Rio All-Suite Hotel &amp; Casino from a separate third party until October 2, 2023, at which time operations were assumed by the lessor.</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We also operate and conduct sports wagering across 30 jurisdictions in North America, 24 of which offer mobile sports betting, and operate regulated online real money gaming in six jurisdictions in North America. Our Caesars Sportsbook app operates on the Liberty platform. The map below illustrates Caesars Digital’s presence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91440</wp:posOffset>
            </wp:positionV>
            <wp:extent cx="5863590" cy="4774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477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we partnered with NYRABets LLC, the official online wagering platform of the New York Racing Association, Inc., and launched the Caesars Racebook app which operates in 18 states as of September 30, 2023.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 the process of expanding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We periodically divest of assets in order to raise capital, as a result of a determination that the assets are not core to our business, or due to regulatory requirements. A summary of recently completed divestitures of our properties as of September 30, 2023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Property</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Date Sold</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Sales Price</w:t>
            </w:r>
          </w:p>
        </w:tc>
      </w:tr>
      <w:tr>
        <w:trPr>
          <w:trHeight w:val="213"/>
        </w:trPr>
        <w:tc>
          <w:tcPr>
            <w:tcW w:w="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Regional</w:t>
            </w: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Belle of Baton Rouge Casino &amp; Hotel</w:t>
            </w:r>
          </w:p>
        </w:tc>
        <w:tc>
          <w:tcPr>
            <w:tcW w:w="20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May 5, 2022</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i w:val="1"/>
                <w:iCs w:val="1"/>
                <w:color w:val="auto"/>
                <w:w w:val="93"/>
              </w:rPr>
              <w:t>Discontinued operations:</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4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N/A</w:t>
            </w:r>
          </w:p>
        </w:tc>
        <w:tc>
          <w:tcPr>
            <w:tcW w:w="4900" w:type="dxa"/>
            <w:vAlign w:val="bottom"/>
            <w:gridSpan w:val="2"/>
          </w:tcPr>
          <w:p>
            <w:pPr>
              <w:ind w:left="20"/>
              <w:spacing w:after="0"/>
              <w:rPr>
                <w:sz w:val="20"/>
                <w:szCs w:val="20"/>
                <w:color w:val="auto"/>
              </w:rPr>
            </w:pPr>
            <w:r>
              <w:rPr>
                <w:rFonts w:ascii="Arial" w:cs="Arial" w:eastAsia="Arial" w:hAnsi="Arial"/>
                <w:sz w:val="16"/>
                <w:szCs w:val="16"/>
                <w:color w:val="auto"/>
              </w:rPr>
              <w:t>William Hill International</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1, 2022</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£2.0 billion</w:t>
            </w:r>
          </w:p>
        </w:tc>
      </w:tr>
      <w:tr>
        <w:trPr>
          <w:trHeight w:val="317"/>
        </w:trPr>
        <w:tc>
          <w:tcPr>
            <w:tcW w:w="25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3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Partnerships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Pompano Joint Venture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we entered into a joint venture with Cordish Companies (“Cordish”) to plan and develop a mixed-use entertainment and hospitality destination expected to be located on unused land adjacent to the casino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our Statements of Operations. As of both September 30, 2023 and December 31, 2022, our investment in the joint venture was $80 million and is recorded in Investments in and advances to unconsolidated affiliates on the Balance Sheets. We have no further obligation to contribute additional real estate or cash as of September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NeoGames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an investment in NeoGames S.A., a global leader of iLottery solutions and services to national and state-regulated lotteries, and other investments. On March 14, 2022, we sold our investment at fair value for $26 million and recorded a loss of $34 million during the nine months ended September 30, 2022, which is included within Other income (loss) on the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presentation of financial information herein for the periods after the sale of our completed divestitures, described above, is not fully comparable to the periods prior to their respective sale dates.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Key Performance Metrics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16% to 23% of table game drop in both the Las Vegas and Regional segments. Sports betting hold is typically in the range of 5% to 10% and iGaming hold typically ranges from 3% to 5%. In addition, hotel occupancy, which is the average percentage of available hotel rooms occupied during a period, is a key indicator for our hotel business in the Las Vegas segment. See “Results of Operations” section below. Complimentary and discounted rooms are treated as occupied rooms in our calculation of hotel occupancy. The key metrics we utilize to measure our profitability and performance are Adjusted EBITDA and Adjusted EBITDA margin.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nine months ended September 30, 2023 and 2022:</w:t>
      </w:r>
    </w:p>
    <w:p>
      <w:pPr>
        <w:spacing w:after="0" w:line="194" w:lineRule="exact"/>
        <w:rPr>
          <w:sz w:val="20"/>
          <w:szCs w:val="20"/>
          <w:color w:val="auto"/>
        </w:rPr>
      </w:pPr>
    </w:p>
    <w:p>
      <w:pPr>
        <w:jc w:val="both"/>
        <w:ind w:left="660" w:hanging="328"/>
        <w:spacing w:after="0" w:line="301" w:lineRule="auto"/>
        <w:tabs>
          <w:tab w:leader="none" w:pos="655" w:val="left"/>
        </w:tabs>
        <w:numPr>
          <w:ilvl w:val="0"/>
          <w:numId w:val="11"/>
        </w:numPr>
        <w:rPr>
          <w:rFonts w:ascii="Arial" w:cs="Arial" w:eastAsia="Arial" w:hAnsi="Arial"/>
          <w:sz w:val="16"/>
          <w:szCs w:val="16"/>
          <w:b w:val="1"/>
          <w:bCs w:val="1"/>
          <w:color w:val="212529"/>
        </w:rPr>
      </w:pPr>
      <w:r>
        <w:rPr>
          <w:rFonts w:ascii="Arial" w:cs="Arial" w:eastAsia="Arial" w:hAnsi="Arial"/>
          <w:sz w:val="16"/>
          <w:szCs w:val="16"/>
          <w:i w:val="1"/>
          <w:iCs w:val="1"/>
          <w:color w:val="auto"/>
        </w:rPr>
        <w:t xml:space="preserve">New Developments and Re-openings – </w:t>
      </w:r>
      <w:r>
        <w:rPr>
          <w:rFonts w:ascii="Arial" w:cs="Arial" w:eastAsia="Arial" w:hAnsi="Arial"/>
          <w:sz w:val="16"/>
          <w:szCs w:val="16"/>
          <w:color w:val="212529"/>
        </w:rPr>
        <w:t>During the construction of the permanent facilities for Caesars Virginia and Harrah’s Columbus Nebraska,</w:t>
      </w:r>
      <w:r>
        <w:rPr>
          <w:rFonts w:ascii="Arial" w:cs="Arial" w:eastAsia="Arial" w:hAnsi="Arial"/>
          <w:sz w:val="16"/>
          <w:szCs w:val="16"/>
          <w:i w:val="1"/>
          <w:iCs w:val="1"/>
          <w:color w:val="auto"/>
        </w:rPr>
        <w:t xml:space="preserve"> </w:t>
      </w:r>
      <w:r>
        <w:rPr>
          <w:rFonts w:ascii="Arial" w:cs="Arial" w:eastAsia="Arial" w:hAnsi="Arial"/>
          <w:sz w:val="16"/>
          <w:szCs w:val="16"/>
          <w:color w:val="212529"/>
        </w:rPr>
        <w:t>we opened temporary gaming facilities during the second quarter of 2023. Caesars Virginia’s temporary facility opened on May 15, 2023 and Harrah’s Columbus Nebraska’s temporary facility opened on June 12, 2023. In addition to the temporary facilities, the reopening of Horseshoe Lake Charles in December 2022 has contributed to the Regional segment’s performance when compared to the prior year period.</w:t>
      </w:r>
    </w:p>
    <w:p>
      <w:pPr>
        <w:spacing w:after="0" w:line="103" w:lineRule="exact"/>
        <w:rPr>
          <w:rFonts w:ascii="Arial" w:cs="Arial" w:eastAsia="Arial" w:hAnsi="Arial"/>
          <w:sz w:val="16"/>
          <w:szCs w:val="16"/>
          <w:b w:val="1"/>
          <w:bCs w:val="1"/>
          <w:color w:val="212529"/>
        </w:rPr>
      </w:pPr>
    </w:p>
    <w:p>
      <w:pPr>
        <w:jc w:val="both"/>
        <w:ind w:left="660" w:hanging="328"/>
        <w:spacing w:after="0" w:line="311" w:lineRule="auto"/>
        <w:tabs>
          <w:tab w:leader="none" w:pos="655" w:val="left"/>
        </w:tabs>
        <w:numPr>
          <w:ilvl w:val="0"/>
          <w:numId w:val="11"/>
        </w:numPr>
        <w:rPr>
          <w:rFonts w:ascii="Arial" w:cs="Arial" w:eastAsia="Arial" w:hAnsi="Arial"/>
          <w:sz w:val="16"/>
          <w:szCs w:val="16"/>
          <w:b w:val="1"/>
          <w:bCs w:val="1"/>
          <w:color w:val="212529"/>
        </w:rPr>
      </w:pPr>
      <w:r>
        <w:rPr>
          <w:rFonts w:ascii="Arial" w:cs="Arial" w:eastAsia="Arial" w:hAnsi="Arial"/>
          <w:sz w:val="16"/>
          <w:szCs w:val="16"/>
          <w:i w:val="1"/>
          <w:iCs w:val="1"/>
          <w:color w:val="auto"/>
        </w:rPr>
        <w:t xml:space="preserve">Economic Factors Impacting Discretionary Spending – </w:t>
      </w:r>
      <w:r>
        <w:rPr>
          <w:rFonts w:ascii="Arial" w:cs="Arial" w:eastAsia="Arial" w:hAnsi="Arial"/>
          <w:sz w:val="16"/>
          <w:szCs w:val="16"/>
          <w:color w:val="212529"/>
        </w:rPr>
        <w:t>Gaming and other leisure activities we offer represent discretionary expenditures which</w:t>
      </w:r>
      <w:r>
        <w:rPr>
          <w:rFonts w:ascii="Arial" w:cs="Arial" w:eastAsia="Arial" w:hAnsi="Arial"/>
          <w:sz w:val="16"/>
          <w:szCs w:val="16"/>
          <w:i w:val="1"/>
          <w:iCs w:val="1"/>
          <w:color w:val="auto"/>
        </w:rPr>
        <w:t xml:space="preserve"> </w:t>
      </w:r>
      <w:r>
        <w:rPr>
          <w:rFonts w:ascii="Arial" w:cs="Arial" w:eastAsia="Arial" w:hAnsi="Arial"/>
          <w:sz w:val="16"/>
          <w:szCs w:val="16"/>
          <w:color w:val="212529"/>
        </w:rPr>
        <w:t>may be sensitive to economic downturns, such as the resurgence of the Omicron variant of COVID-19 that negatively impacted the first quarter of 2022. W</w:t>
      </w:r>
      <w:r>
        <w:rPr>
          <w:rFonts w:ascii="Arial" w:cs="Arial" w:eastAsia="Arial" w:hAnsi="Arial"/>
          <w:sz w:val="16"/>
          <w:szCs w:val="16"/>
          <w:color w:val="000000"/>
        </w:rPr>
        <w:t>e also monitor recent trends, including higher inflation and interest rates, and the related effects on our customers, and our operations.</w:t>
      </w:r>
    </w:p>
    <w:p>
      <w:pPr>
        <w:spacing w:after="0" w:line="94" w:lineRule="exact"/>
        <w:rPr>
          <w:rFonts w:ascii="Arial" w:cs="Arial" w:eastAsia="Arial" w:hAnsi="Arial"/>
          <w:sz w:val="16"/>
          <w:szCs w:val="16"/>
          <w:b w:val="1"/>
          <w:bCs w:val="1"/>
          <w:color w:val="212529"/>
        </w:rPr>
      </w:pPr>
    </w:p>
    <w:p>
      <w:pPr>
        <w:jc w:val="both"/>
        <w:ind w:left="660" w:hanging="328"/>
        <w:spacing w:after="0" w:line="269" w:lineRule="auto"/>
        <w:tabs>
          <w:tab w:leader="none" w:pos="655" w:val="left"/>
        </w:tabs>
        <w:numPr>
          <w:ilvl w:val="0"/>
          <w:numId w:val="11"/>
        </w:numPr>
        <w:rPr>
          <w:rFonts w:ascii="Arial" w:cs="Arial" w:eastAsia="Arial" w:hAnsi="Arial"/>
          <w:sz w:val="17"/>
          <w:szCs w:val="17"/>
          <w:b w:val="1"/>
          <w:bCs w:val="1"/>
          <w:color w:val="212529"/>
        </w:rPr>
      </w:pPr>
      <w:r>
        <w:rPr>
          <w:rFonts w:ascii="Arial" w:cs="Arial" w:eastAsia="Arial" w:hAnsi="Arial"/>
          <w:sz w:val="17"/>
          <w:szCs w:val="17"/>
          <w:i w:val="1"/>
          <w:iCs w:val="1"/>
          <w:color w:val="212529"/>
        </w:rPr>
        <w:t xml:space="preserve">Caesars Sportsbook, Caesars Racebook and iGaming mobile apps </w:t>
      </w:r>
      <w:r>
        <w:rPr>
          <w:rFonts w:ascii="Arial" w:cs="Arial" w:eastAsia="Arial" w:hAnsi="Arial"/>
          <w:sz w:val="17"/>
          <w:szCs w:val="17"/>
          <w:color w:val="000000"/>
        </w:rPr>
        <w:t>– During the three months ended September 30, 2023, we launched Caesars</w:t>
      </w:r>
      <w:r>
        <w:rPr>
          <w:rFonts w:ascii="Arial" w:cs="Arial" w:eastAsia="Arial" w:hAnsi="Arial"/>
          <w:sz w:val="17"/>
          <w:szCs w:val="17"/>
          <w:i w:val="1"/>
          <w:iCs w:val="1"/>
          <w:color w:val="212529"/>
        </w:rPr>
        <w:t xml:space="preserve"> </w:t>
      </w:r>
      <w:r>
        <w:rPr>
          <w:rFonts w:ascii="Arial" w:cs="Arial" w:eastAsia="Arial" w:hAnsi="Arial"/>
          <w:sz w:val="17"/>
          <w:szCs w:val="17"/>
          <w:color w:val="000000"/>
        </w:rPr>
        <w:t>Sportsbook in new jurisdictions, we migrated our sports betting platform to Liberty in the state of Nevada, and we launched our new online and mobile iGaming application, Caesars Palace Online Casino. During the nine months ended September 30, 2023, promotional and marketing expenses have significantly decreased as compared to the prior year period. As new states and jurisdictions have legalized sports betting, we have made varying degrees of upfront investments which have been executed through marketing campaigns and promotional incentives to acquire new customers and establish our presence in the new state or jurisdiction. In connection with the launch of our Caesars Sportsbook app in the state of New York and Louisiana in January 2022, we experienced negative net revenue in the first quarter of 2022 resulting from a substantial amount of bonus cash and matched deposits issued to customers as sign-on incentives, which exceeded our gaming win. We continue to adjust our level of investment during the launch period in new jurisdictions based, in part, on prior experience and do not expect such investment to continue at elevated levels subsequent to the initial launch period.</w:t>
      </w:r>
    </w:p>
    <w:p>
      <w:pPr>
        <w:spacing w:after="0" w:line="131" w:lineRule="exact"/>
        <w:rPr>
          <w:rFonts w:ascii="Arial" w:cs="Arial" w:eastAsia="Arial" w:hAnsi="Arial"/>
          <w:sz w:val="17"/>
          <w:szCs w:val="17"/>
          <w:b w:val="1"/>
          <w:bCs w:val="1"/>
          <w:color w:val="212529"/>
        </w:rPr>
      </w:pPr>
    </w:p>
    <w:p>
      <w:pPr>
        <w:jc w:val="both"/>
        <w:ind w:left="660" w:hanging="328"/>
        <w:spacing w:after="0" w:line="290" w:lineRule="auto"/>
        <w:tabs>
          <w:tab w:leader="none" w:pos="655" w:val="left"/>
        </w:tabs>
        <w:numPr>
          <w:ilvl w:val="0"/>
          <w:numId w:val="11"/>
        </w:numPr>
        <w:rPr>
          <w:rFonts w:ascii="Arial" w:cs="Arial" w:eastAsia="Arial" w:hAnsi="Arial"/>
          <w:sz w:val="16"/>
          <w:szCs w:val="16"/>
          <w:b w:val="1"/>
          <w:bCs w:val="1"/>
          <w:color w:val="212529"/>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Management assesses the available positive and negative evidence to estimate if sufficient future taxable income will be generated</w:t>
      </w:r>
      <w:r>
        <w:rPr>
          <w:rFonts w:ascii="Arial" w:cs="Arial" w:eastAsia="Arial" w:hAnsi="Arial"/>
          <w:sz w:val="16"/>
          <w:szCs w:val="16"/>
          <w:i w:val="1"/>
          <w:iCs w:val="1"/>
          <w:color w:val="auto"/>
        </w:rPr>
        <w:t xml:space="preserve"> </w:t>
      </w:r>
      <w:r>
        <w:rPr>
          <w:rFonts w:ascii="Arial" w:cs="Arial" w:eastAsia="Arial" w:hAnsi="Arial"/>
          <w:sz w:val="16"/>
          <w:szCs w:val="16"/>
          <w:color w:val="auto"/>
        </w:rPr>
        <w:t>to use existing deferred tax assets. During the second quarter of 2023, we evaluated our forecasted adjusted taxable income and objectively verifiable evidence and placed substantial weight on our 2022 and 2023 quarterly earnings, adjusted for non-recurring items, including the interest expense disallowed under current tax law. Accordingly, we determined it was more likely than not that a portion of the federal and state deferred tax assets will be realized and, as a result, during the second quarter of 2023, we reversed the valuation allowance related to these deferred tax assets and recorded an income tax benefit of $940 million. We are still carrying a valuation allowance on certain federal and state deferred tax assets that are not more likely than not to be realized in the future. We have assessed the changes to the valuation allowance, including realization of the disallowed interest expense deferred tax asset, using the integrated approach.</w:t>
      </w:r>
    </w:p>
    <w:p>
      <w:pPr>
        <w:spacing w:after="0" w:line="111" w:lineRule="exact"/>
        <w:rPr>
          <w:rFonts w:ascii="Arial" w:cs="Arial" w:eastAsia="Arial" w:hAnsi="Arial"/>
          <w:sz w:val="16"/>
          <w:szCs w:val="16"/>
          <w:b w:val="1"/>
          <w:bCs w:val="1"/>
          <w:color w:val="212529"/>
        </w:rPr>
      </w:pPr>
    </w:p>
    <w:p>
      <w:pPr>
        <w:ind w:left="660" w:hanging="328"/>
        <w:spacing w:after="0" w:line="277"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Divestitures and Discontinued Operations – </w:t>
      </w:r>
      <w:r>
        <w:rPr>
          <w:rFonts w:ascii="Arial" w:cs="Arial" w:eastAsia="Arial" w:hAnsi="Arial"/>
          <w:sz w:val="18"/>
          <w:szCs w:val="18"/>
          <w:color w:val="auto"/>
        </w:rPr>
        <w:t>See “Overview” section above for detail on properties divested, including related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c>
          <w:tcPr>
            <w:tcW w:w="33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7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65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5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5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3,133</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4,348</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311</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8,703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(748)</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Las Vegas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1,427</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Regional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1,542</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6"/>
                <w:szCs w:val="16"/>
                <w:color w:val="auto"/>
              </w:rPr>
              <w:t>Caesars Digital</w:t>
            </w:r>
          </w:p>
        </w:tc>
        <w:tc>
          <w:tcPr>
            <w:tcW w:w="3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(661)</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Managed and Branded</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3,008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margin</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34.6 %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28.6 %</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right="20" w:hanging="332"/>
        <w:spacing w:after="0" w:line="217" w:lineRule="auto"/>
        <w:tabs>
          <w:tab w:leader="none" w:pos="327" w:val="left"/>
        </w:tabs>
        <w:numPr>
          <w:ilvl w:val="0"/>
          <w:numId w:val="1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spacing w:after="0" w:line="48" w:lineRule="exact"/>
        <w:rPr>
          <w:rFonts w:ascii="Arial" w:cs="Arial" w:eastAsia="Arial" w:hAnsi="Arial"/>
          <w:sz w:val="19"/>
          <w:szCs w:val="19"/>
          <w:i w:val="1"/>
          <w:iCs w:val="1"/>
          <w:color w:val="auto"/>
          <w:vertAlign w:val="superscript"/>
        </w:rPr>
      </w:pPr>
    </w:p>
    <w:p>
      <w:pPr>
        <w:ind w:left="340" w:hanging="332"/>
        <w:spacing w:after="0" w:line="334" w:lineRule="auto"/>
        <w:tabs>
          <w:tab w:leader="none" w:pos="327" w:val="left"/>
        </w:tabs>
        <w:numPr>
          <w:ilvl w:val="0"/>
          <w:numId w:val="12"/>
        </w:numPr>
        <w:rPr>
          <w:rFonts w:ascii="Arial" w:cs="Arial" w:eastAsia="Arial" w:hAnsi="Arial"/>
          <w:sz w:val="9"/>
          <w:szCs w:val="9"/>
          <w:i w:val="1"/>
          <w:iCs w:val="1"/>
          <w:color w:val="auto"/>
        </w:rPr>
      </w:pPr>
      <w:r>
        <w:rPr>
          <w:rFonts w:ascii="Arial" w:cs="Arial" w:eastAsia="Arial" w:hAnsi="Arial"/>
          <w:sz w:val="13"/>
          <w:szCs w:val="13"/>
          <w:i w:val="1"/>
          <w:iCs w:val="1"/>
          <w:color w:val="auto"/>
        </w:rPr>
        <w:t>See the “Supplemental Unaudited Presentation of Consolidated Adjusted Earnings Before Interest, Taxes, Depreciation and Amortization (“Adjusted EBITDA”) for the three and nine months ended September 30, 2023 and 2022” discussion later in this MD&amp;A for a definition of Adjusted EBITDA and a reconciliation of net income (loss) to Adjusted EBITDA.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comparison of the three and nine months ended September 30,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8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4,789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13"/>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ind w:left="320"/>
              <w:spacing w:after="0"/>
              <w:rPr>
                <w:sz w:val="20"/>
                <w:szCs w:val="20"/>
                <w:color w:val="auto"/>
              </w:rPr>
            </w:pPr>
            <w:r>
              <w:rPr>
                <w:rFonts w:ascii="Arial" w:cs="Arial" w:eastAsia="Arial" w:hAnsi="Arial"/>
                <w:sz w:val="16"/>
                <w:szCs w:val="16"/>
                <w:color w:val="auto"/>
              </w:rPr>
              <w:t>1,305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11.3 %</w:t>
            </w: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1,581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3"/>
        </w:trPr>
        <w:tc>
          <w:tcPr>
            <w:tcW w:w="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1,028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8,703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net revenues increased for the three months ended September 30, 2023 as compared to the same prior year period primarily due to the Regional segment which benefited from the opening of two temporary gaming facilities, Caesars Virginia on May 15, 2023 and Harrah’s Columbus Nebraska on June 12, 2023, as well as the reopening of Horseshoe Lake Charles in December 2022. Net revenues for the nine months ended September 30, 2023 improved primarily due to gaming revenues in the Caesars Digital segment from additional state launches of our online and retail Caesars Sportsbooks. Promotional allowances offered during launches in new jurisdictions have been significantly reduced year over year. In addition, hotel occupancy rates within the Las Vegas segment continue to improve as compared to the prior year periods. Notably, the Omicron variant of COVID-19 negatively impacted prior year results during the first quarter of 2022 across substantially all of our properties, including disruptions to group and conventions, banquets, and scheduled concert events. These results were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09"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partially offset by increased competition associated with new casino resorts opening in some of our regional markets, construction disruptions, and inclement weather across the country, particularly in northern Nevada, which restricted travel in the first quarter of 2023. The Company continues to expand partnerships with iconic entertainers to host concerts and performances, and celebrity chefs to offer new food and beverage venues.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8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13.3 %</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12.8 %</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14.9 %</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Transaction and other costs, net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and professional talent fees associated with our retail, entertainment and other operations.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Casino expenses decreased for the three and nine months ended September 30, 2023 as compared to the same prior year period due to a reduction in advertising costs, attributable to our Caesars Digital segment, from the promotion of our Caesars Sportsbook app and its expansion into new jurisdictions, particularly in the first quarter of 2022. Food and beverage and hotel expenses have increased in connection with increased revenues; however, we continue to focus on labor efficiencies to manage rising labor costs and strategically manage our marketing and advertising spend to reduce our casino expenses. Similarly, we continue to manage recent increases in food costs by focusing on efficiencies within food and beverage venues and menu options.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Transaction and other costs, net for the three and nine months ended September 30, 2023 primarily includes non-cash losses on the write down and disposal of assets, pre-opening costs in connection with new temporary facility openings and non-cash changes in equity method investments. Offsetting these costs is a gain of $29 million associated with proceeds received from the sale of a potential insurance recovery. Transaction and other costs, net for the three and nine months ended September 30, 2022 primarily represents professional services for integration activities and various contract exit or termination costs, offset by a $38 million gain in the first quarter of 2022 resulting from insurance proceeds received in excess of the respective carrying value of damaged assets associated with our Lake Charles property.</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8"/>
                <w:szCs w:val="18"/>
                <w:color w:val="auto"/>
              </w:rPr>
            </w:pPr>
          </w:p>
        </w:tc>
        <w:tc>
          <w:tcPr>
            <w:tcW w:w="19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8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90.9 %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210"/>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Interest expense, net increased for the three and nine months ended September 30, 2023, as compared to the same prior year period due to annual escalators in our financing obligations related to our VICI Leases, including escalators based on the Consumer Price Index (“CPI”) that take effect in November of each year. In addition, rising interest rates have negatively impacted our borrowing rates, however, our efforts to reduce outstanding debt has resulted in a decrease of interest expense related to debt service for the three months ended September 30, 2023 compared to the same prior year period.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2023 and 2022, loss on extinguishment of debt was primarily related to the prepayments of the Caesars Resort Collection (“CRC”) Term Loan and the CRC Incremental Term Loan. On July 17, 2023, we repaid the Baltimore Term Loan and recognized a $3 million loss on the early extinguishment of debt.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decreased for the nine months ended September 30, 2023, as compared to the same prior year period, mainly due to a change in the fair value of foreign exchange forward contracts and a gain related to the resolution of a disputed claim liability, offset by the change in fair value of investments, all of which were recorded in the prior year.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income tax provision for the three months ended September 30, 2023 differed from the expected income tax provision based on the federal tax rate of 21% primarily due to an increase in federal and state valuation allowances against the deferred tax assets for excess business interest expense. The income tax benefit for the nine months ended September 30, 2023 differed from the expected income tax benefit based on the federal tax rate of 21% primarily due to the partial release of federal and state valuation allowances.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benefit for the three months ended September 30, 2022 differed from the expected income tax provision based on the federal tax rate of 21% primarily due to a decrease in the state deferred tax liabilities as a result of a reduction in tax rates in Pennsylvania and Iowa. The income tax benefit for the nine months ended September 30, 2022 differed from the expected income tax benefit based on the federal tax rate of 21% primarily due to a deferred tax adjustment related to the tax impact of the settlement of preexisting relationships upon the acquisition of William Hill PLC in 2021 and nondeductible expenses.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second quarter of 2023, we reversed the valuation allowance related to certain deferred tax assets and recorded a one-time income tax benefit of $940 million, as we determined it was more likely than not that a portion of our federal and state deferred tax assets would be realized.</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8" w:name="page39"/>
    <w:bookmarkEnd w:id="38"/>
    <w:p>
      <w:pPr>
        <w:ind w:right="4580"/>
        <w:spacing w:after="0" w:line="464" w:lineRule="auto"/>
        <w:rPr>
          <w:sz w:val="20"/>
          <w:szCs w:val="20"/>
          <w:color w:val="auto"/>
        </w:rPr>
      </w:pPr>
      <w:r>
        <w:rPr>
          <w:rFonts w:ascii="Arial" w:cs="Arial" w:eastAsia="Arial" w:hAnsi="Arial"/>
          <w:sz w:val="18"/>
          <w:szCs w:val="18"/>
          <w:b w:val="1"/>
          <w:bCs w:val="1"/>
          <w:color w:val="auto"/>
        </w:rPr>
        <w:t xml:space="preserve">Segment comparison of the three and nine months ended September 30, 2023 and 2022 </w:t>
      </w:r>
      <w:r>
        <w:rPr>
          <w:rFonts w:ascii="Arial" w:cs="Arial" w:eastAsia="Arial" w:hAnsi="Arial"/>
          <w:sz w:val="18"/>
          <w:szCs w:val="18"/>
          <w:i w:val="1"/>
          <w:iCs w:val="1"/>
          <w:u w:val="single" w:color="auto"/>
          <w:color w:val="auto"/>
        </w:rPr>
        <w:t>Las Vegas Segment</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40"/>
              <w:spacing w:after="0" w:line="163" w:lineRule="exact"/>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jc w:val="center"/>
              <w:ind w:right="320"/>
              <w:spacing w:after="0" w:line="163" w:lineRule="exact"/>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5"/>
              </w:rPr>
              <w:t>Variance</w:t>
            </w:r>
          </w:p>
        </w:tc>
        <w:tc>
          <w:tcPr>
            <w:tcW w:w="10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8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rPr>
              <w:t>Casino</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13"/>
        </w:trPr>
        <w:tc>
          <w:tcPr>
            <w:tcW w:w="2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11.3 %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0"/>
        </w:trPr>
        <w:tc>
          <w:tcPr>
            <w:tcW w:w="20" w:type="dxa"/>
            <w:vAlign w:val="bottom"/>
          </w:tcPr>
          <w:p>
            <w:pPr>
              <w:spacing w:after="0"/>
              <w:rPr>
                <w:sz w:val="18"/>
                <w:szCs w:val="18"/>
                <w:color w:val="auto"/>
              </w:rPr>
            </w:pPr>
          </w:p>
        </w:tc>
        <w:tc>
          <w:tcPr>
            <w:tcW w:w="270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3,133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7.9 %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2,594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 pts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pts</w:t>
            </w: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8,207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7,756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Hotel occupancy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 pts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1,427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7.0 %</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 pts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bl>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Las Vegas segment’s net revenues increased for the three months ended September 30, 2023, as compared to the same prior year period, primarily related to food and beverage and entertainment. Food and beverage revenues are driven by higher restaurant covers and improved product mix with additions of casual and premier dining venues. Other revenue increased primarily due to entertainment related revenues from headliner performances in the current year compared to prior year. These increases have been offset, in part, by increases in overall wages and headcount within union and non-union team members. Additionally, our Las Vegas segment continues to face access challenges related to construction disruption and roadwork on and around the Las Vegas Strip. As a result, Las Vegas segment’s net income and Adjusted EBITDA margin decreased slightly and Adjusted EBITDA remained consistent for the three months ended September 30, 2023 compared to the prior year period.</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 Vegas segment’s net revenues, net income and Adjusted EBITDA increased for the nine months ended September 30, 2023. In addition to the third quarter results described above, during the first quarter of 2022, the resurgence of the Omicron variant of COVID-19 had a significant negative impact on visitation, group and conventions, and scheduled concert events. As a result, on a year-to-date basis, Las Vegas segment has experienced increased visitation which has driven higher hotel occupancy, improved room rates, higher food and beverage revenues and additional entertainment revenues as compared to the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2023, slot win percentage in the Las Vegas segment was within our typical range.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Regional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Nine Months Ended September</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68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80" w:type="dxa"/>
            <w:vAlign w:val="bottom"/>
          </w:tcPr>
          <w:p>
            <w:pPr>
              <w:spacing w:after="0"/>
              <w:rPr>
                <w:sz w:val="13"/>
                <w:szCs w:val="13"/>
                <w:color w:val="auto"/>
              </w:rPr>
            </w:pPr>
          </w:p>
        </w:tc>
        <w:tc>
          <w:tcPr>
            <w:tcW w:w="1040" w:type="dxa"/>
            <w:vAlign w:val="bottom"/>
            <w:gridSpan w:val="2"/>
          </w:tcPr>
          <w:p>
            <w:pPr>
              <w:ind w:left="20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Arial" w:cs="Arial" w:eastAsia="Arial" w:hAnsi="Arial"/>
                <w:sz w:val="16"/>
                <w:szCs w:val="16"/>
                <w:color w:val="auto"/>
              </w:rPr>
              <w:t>Casino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1,096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5.5 %</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09"/>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1,530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4,348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Table game drop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1,144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1,151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3,268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Table game hold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 pts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pts</w:t>
            </w: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Slot handle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11,477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11,280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32,850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32,621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570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 pts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w:t>
            </w:r>
          </w:p>
        </w:tc>
      </w:tr>
    </w:tbl>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Regional segment’s net revenues increased for the three and nine months ended September 30, 2023, primarily related to incremental net revenues generated from the reopening of Horseshoe Lake Charles in the fourth quarter of 2022 and the opening of our temporary gaming facilities at Caesars Virginia on May 15, 2023 and Harrah’s Columbus Nebraska on June 12, 2023. These increases were partially offset by competition associated with new casino resorts opening in some of our regional markets, construction disruption from renovation projects at certain of our properties and inclement weather across the country, particularly in northern Nevada, which restricted travel in the first quarter of 2023. In addition, wage and headcount increases resulted in higher labor costs for the three and nine months ended September 30, 2023. As a result, Adjusted EBITDA remained relatively consistent as compared to the prior year periods. Increased interest expense associated with our VICI Leases and additional depreciation expense related to our new gaming facilities led to a decline in net income for the three and nine months ended September 30, 2023 as compared to prior year.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Slot win percentage in the Regional segment for the three and nine months ended September 30, 2023 was within our typical range.</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Caesars Digital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7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Change</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Casino </w:t>
            </w:r>
            <w:r>
              <w:rPr>
                <w:rFonts w:ascii="Arial" w:cs="Arial" w:eastAsia="Arial" w:hAnsi="Arial"/>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599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134.9 %</w:t>
            </w: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183"/>
        </w:trPr>
        <w:tc>
          <w:tcPr>
            <w:tcW w:w="20" w:type="dxa"/>
            <w:vAlign w:val="bottom"/>
          </w:tcPr>
          <w:p>
            <w:pPr>
              <w:spacing w:after="0"/>
              <w:rPr>
                <w:sz w:val="15"/>
                <w:szCs w:val="15"/>
                <w:color w:val="auto"/>
              </w:rPr>
            </w:pPr>
          </w:p>
        </w:tc>
        <w:tc>
          <w:tcPr>
            <w:tcW w:w="2700" w:type="dxa"/>
            <w:vAlign w:val="bottom"/>
            <w:gridSpan w:val="2"/>
          </w:tcPr>
          <w:p>
            <w:pPr>
              <w:ind w:left="340"/>
              <w:spacing w:after="0" w:line="183" w:lineRule="exact"/>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215</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212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1.4 %</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669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358</w:t>
            </w:r>
          </w:p>
        </w:tc>
        <w:tc>
          <w:tcPr>
            <w:tcW w:w="10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115.1 %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Sports betting handle </w:t>
            </w:r>
            <w:r>
              <w:rPr>
                <w:rFonts w:ascii="Arial" w:cs="Arial" w:eastAsia="Arial" w:hAnsi="Arial"/>
                <w:sz w:val="21"/>
                <w:szCs w:val="21"/>
                <w:i w:val="1"/>
                <w:iCs w:val="1"/>
                <w:color w:val="auto"/>
                <w:vertAlign w:val="superscript"/>
              </w:rPr>
              <w:t>(b)</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2,320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8,213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9,350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Sports betting hold %</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(1.4) pts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iGaming handle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24.6 %</w:t>
            </w: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iGaming hold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6"/>
                <w:szCs w:val="16"/>
                <w:color w:val="auto"/>
              </w:rPr>
              <w:t>(0.4) pts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89.0 %</w:t>
            </w:r>
          </w:p>
        </w:tc>
      </w:tr>
      <w:tr>
        <w:trPr>
          <w:trHeight w:val="310"/>
        </w:trPr>
        <w:tc>
          <w:tcPr>
            <w:tcW w:w="27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55" w:lineRule="exact"/>
        <w:rPr>
          <w:sz w:val="20"/>
          <w:szCs w:val="20"/>
          <w:color w:val="auto"/>
        </w:rPr>
      </w:pPr>
    </w:p>
    <w:p>
      <w:pPr>
        <w:jc w:val="both"/>
        <w:ind w:left="340" w:hanging="332"/>
        <w:spacing w:after="0" w:line="272" w:lineRule="auto"/>
        <w:tabs>
          <w:tab w:leader="none" w:pos="327"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Includes total promotional and complimentary incentives related to sports betting, iGaming, and poker of $52 million and $48 million for the three months ended September 30, 2023 and 2022, respectively, and $184 million and $487 million for the nine months ended September 30, 2023 and 2022, respectively. Promotional and complimentary incentives for poker were $4 million and $5 million for the three months ended September 30, 2023 and 2022, respectively, and $11 million and $18 million for the nine months ended September 30, 2023 and 2022, respectively.</w:t>
      </w:r>
    </w:p>
    <w:p>
      <w:pPr>
        <w:spacing w:after="0" w:line="26" w:lineRule="exact"/>
        <w:rPr>
          <w:rFonts w:ascii="Arial" w:cs="Arial" w:eastAsia="Arial" w:hAnsi="Arial"/>
          <w:sz w:val="9"/>
          <w:szCs w:val="9"/>
          <w:i w:val="1"/>
          <w:iCs w:val="1"/>
          <w:color w:val="auto"/>
        </w:rPr>
      </w:pPr>
    </w:p>
    <w:p>
      <w:pPr>
        <w:jc w:val="both"/>
        <w:ind w:left="340" w:hanging="332"/>
        <w:spacing w:after="0" w:line="246" w:lineRule="auto"/>
        <w:tabs>
          <w:tab w:leader="none" w:pos="327"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Caesars Digital generated an additional $205 million and $220 million of sports betting handle, for the three months ended September 30, 2023 and 2022, respectively, and $745 million and $824 million for the nine months ended September 30, 2023 and 2022, respectively, which is not included in this table, for select wholly-owned and third-party operations for which Caesars Digital provides services and we receive all, or a share of, the net profits. Hold related to these operations was 8.9% and 14.0%, for the three months ended September 30, 2023 and 2022, respectively, and 10.1% for both of the nine months ended September 30, 2023 and 2022. Sports betting handle includes $11 million and $12 million for the three months ended September 30, 2023 and 2022, respectively, and $35 million and $39 million for the nine months ended September 30, 2023 and 2022, respectively, related to horse racing and pari-mutuel wagers.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Caesars Digital reflects the operations for retail and mobile sports betting, online casino, poker, and horse racing, which includes our Caesars Sportsbook, Caesars Racebook and iGaming mobile apps.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Caesars Digital’s net revenues, net loss, Adjusted EBITDA, and Adjusted EBITDA margin improved for the three months ended September 30, 2023 as compared to the same prior year period. During the third quarter of 2023, we completed the migration of sports betting operations in the state of Nevada to the Liberty platform and launched our new Caesars Palace Online Casino application in states and territories where we operate iGaming. In addition, we completed the launch of mobile sports betting in Kentucky and Puerto Rico. Strong sports betting and iGaming handle was slightly offset by decreased hold during the period and we significantly reduced marketing expenses which drove the improvement in net loss, Adjusted EBITDA and Adjusted EBITDA margin during the third quarter of 2023.</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Caesars Digital’s net revenues, net loss, Adjusted EBITDA, and Adjusted EBITDA margin improved for the nine months ended September 30, 2023 as compared to the same prior year period, primarily due to lower year over year promotional and marketing expenses for launches in new states and jurisdictions, coupled with higher sports betting hold. We experienced negative net revenue in the first quarter of 2022 as a result of increased promotional offerings for new state launches in New York and Louisiana. We have refined our promotional intensity during the launch period in new jurisdictions based, in part, on prior experience and do not expect such investments to continue at elevated levels subsequent to initial launch periods.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Sports betting and iGaming hold percentages in the Caesars Digital segment for the three and nine months ended September 30, 2023 were within our typical range.</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Managed and Branded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7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20"/>
              <w:spacing w:after="0" w:line="136" w:lineRule="exact"/>
              <w:rPr>
                <w:sz w:val="20"/>
                <w:szCs w:val="20"/>
                <w:color w:val="auto"/>
              </w:rPr>
            </w:pPr>
            <w:r>
              <w:rPr>
                <w:rFonts w:ascii="Arial" w:cs="Arial" w:eastAsia="Arial" w:hAnsi="Arial"/>
                <w:sz w:val="15"/>
                <w:szCs w:val="15"/>
                <w:b w:val="1"/>
                <w:bCs w:val="1"/>
                <w:color w:val="auto"/>
              </w:rPr>
              <w:t>Variance</w:t>
            </w:r>
          </w:p>
        </w:tc>
        <w:tc>
          <w:tcPr>
            <w:tcW w:w="100" w:type="dxa"/>
            <w:vAlign w:val="bottom"/>
          </w:tcPr>
          <w:p>
            <w:pPr>
              <w:spacing w:after="0"/>
              <w:rPr>
                <w:sz w:val="13"/>
                <w:szCs w:val="13"/>
                <w:color w:val="auto"/>
              </w:rPr>
            </w:pPr>
          </w:p>
        </w:tc>
        <w:tc>
          <w:tcPr>
            <w:tcW w:w="1040" w:type="dxa"/>
            <w:vAlign w:val="bottom"/>
            <w:gridSpan w:val="2"/>
          </w:tcPr>
          <w:p>
            <w:pPr>
              <w:ind w:left="20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5"/>
              </w:rPr>
              <w:t>Variance</w:t>
            </w:r>
          </w:p>
        </w:tc>
        <w:tc>
          <w:tcPr>
            <w:tcW w:w="8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28</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13.8 %</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28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6"/>
                <w:szCs w:val="16"/>
                <w:color w:val="auto"/>
              </w:rPr>
              <w:t>(11.0) pts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w w:val="93"/>
              </w:rPr>
              <w:t>Net income (loss) attributable to Caesars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104.5 %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316"/>
        </w:trPr>
        <w:tc>
          <w:tcPr>
            <w:tcW w:w="27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 In September 2023, we recorded $25 million of additional other revenue related to the termination of the Caesars Dubai management agreement, which has been excluded from Adjusted EBITDA.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3"/>
                <w:szCs w:val="13"/>
                <w:color w:val="auto"/>
              </w:rPr>
            </w:pPr>
          </w:p>
        </w:tc>
        <w:tc>
          <w:tcPr>
            <w:tcW w:w="760" w:type="dxa"/>
            <w:vAlign w:val="bottom"/>
          </w:tcPr>
          <w:p>
            <w:pPr>
              <w:jc w:val="right"/>
              <w:ind w:right="21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1"/>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1320" w:type="dxa"/>
            <w:vAlign w:val="bottom"/>
            <w:gridSpan w:val="3"/>
          </w:tcPr>
          <w:p>
            <w:pPr>
              <w:ind w:left="240"/>
              <w:spacing w:after="0" w:line="142" w:lineRule="exact"/>
              <w:rPr>
                <w:sz w:val="20"/>
                <w:szCs w:val="20"/>
                <w:color w:val="auto"/>
              </w:rPr>
            </w:pPr>
            <w:r>
              <w:rPr>
                <w:rFonts w:ascii="Arial" w:cs="Arial" w:eastAsia="Arial" w:hAnsi="Arial"/>
                <w:sz w:val="16"/>
                <w:szCs w:val="16"/>
                <w:b w:val="1"/>
                <w:bCs w:val="1"/>
                <w:color w:val="auto"/>
              </w:rPr>
              <w:t>Change</w:t>
            </w:r>
          </w:p>
        </w:tc>
        <w:tc>
          <w:tcPr>
            <w:tcW w:w="740" w:type="dxa"/>
            <w:vAlign w:val="bottom"/>
          </w:tcPr>
          <w:p>
            <w:pPr>
              <w:ind w:left="100"/>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3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1"/>
              <w:spacing w:after="0" w:line="136" w:lineRule="exact"/>
              <w:rPr>
                <w:sz w:val="20"/>
                <w:szCs w:val="20"/>
                <w:color w:val="auto"/>
              </w:rPr>
            </w:pPr>
            <w:r>
              <w:rPr>
                <w:rFonts w:ascii="Arial" w:cs="Arial" w:eastAsia="Arial" w:hAnsi="Arial"/>
                <w:sz w:val="15"/>
                <w:szCs w:val="15"/>
                <w:b w:val="1"/>
                <w:bCs w:val="1"/>
                <w:color w:val="auto"/>
                <w:w w:val="95"/>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Reimbursable management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20" w:type="dxa"/>
            <w:vAlign w:val="bottom"/>
            <w:gridSpan w:val="4"/>
            <w:shd w:val="clear" w:color="auto" w:fill="CCEEFF"/>
          </w:tcPr>
          <w:p>
            <w:pPr>
              <w:ind w:left="620"/>
              <w:spacing w:after="0"/>
              <w:rPr>
                <w:sz w:val="20"/>
                <w:szCs w:val="20"/>
                <w:color w:val="auto"/>
              </w:rPr>
            </w:pPr>
            <w:r>
              <w:rPr>
                <w:rFonts w:ascii="Arial" w:cs="Arial" w:eastAsia="Arial" w:hAnsi="Arial"/>
                <w:sz w:val="16"/>
                <w:szCs w:val="16"/>
                <w:color w:val="auto"/>
              </w:rPr>
              <w:t>10.4 %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10"/>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Reimbursable management cost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120" w:type="dxa"/>
            <w:vAlign w:val="bottom"/>
            <w:gridSpan w:val="2"/>
          </w:tcPr>
          <w:p>
            <w:pPr>
              <w:ind w:left="620"/>
              <w:spacing w:after="0"/>
              <w:rPr>
                <w:sz w:val="20"/>
                <w:szCs w:val="20"/>
                <w:color w:val="auto"/>
              </w:rPr>
            </w:pPr>
            <w:r>
              <w:rPr>
                <w:rFonts w:ascii="Arial" w:cs="Arial" w:eastAsia="Arial" w:hAnsi="Arial"/>
                <w:sz w:val="16"/>
                <w:szCs w:val="16"/>
                <w:color w:val="auto"/>
                <w:w w:val="96"/>
              </w:rPr>
              <w:t>10.4 %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6.8 %</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&amp;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Nine Months Ended</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5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80" w:type="dxa"/>
            <w:vAlign w:val="bottom"/>
          </w:tcPr>
          <w:p>
            <w:pPr>
              <w:spacing w:after="0"/>
              <w:rPr>
                <w:sz w:val="13"/>
                <w:szCs w:val="13"/>
                <w:color w:val="auto"/>
              </w:rPr>
            </w:pPr>
          </w:p>
        </w:tc>
        <w:tc>
          <w:tcPr>
            <w:tcW w:w="1080" w:type="dxa"/>
            <w:vAlign w:val="bottom"/>
            <w:gridSpan w:val="2"/>
          </w:tcPr>
          <w:p>
            <w:pPr>
              <w:ind w:left="240"/>
              <w:spacing w:after="0" w:line="142"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Arial" w:cs="Arial" w:eastAsia="Arial" w:hAnsi="Arial"/>
                <w:sz w:val="15"/>
                <w:szCs w:val="15"/>
                <w:b w:val="1"/>
                <w:bCs w:val="1"/>
                <w:color w:val="auto"/>
                <w:w w:val="99"/>
              </w:rPr>
              <w:t>Variance</w:t>
            </w:r>
          </w:p>
        </w:tc>
        <w:tc>
          <w:tcPr>
            <w:tcW w:w="10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Arial" w:cs="Arial" w:eastAsia="Arial" w:hAnsi="Arial"/>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6"/>
                <w:szCs w:val="16"/>
                <w:color w:val="auto"/>
              </w:rPr>
              <w:t>Casino</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960" w:type="dxa"/>
            <w:vAlign w:val="bottom"/>
            <w:gridSpan w:val="2"/>
          </w:tcPr>
          <w:p>
            <w:pPr>
              <w:ind w:left="3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1"/>
              </w:rPr>
              <w:t>(86)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(36.0)%</w:t>
            </w:r>
          </w:p>
        </w:tc>
      </w:tr>
      <w:tr>
        <w:trPr>
          <w:trHeight w:val="317"/>
        </w:trPr>
        <w:tc>
          <w:tcPr>
            <w:tcW w:w="298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(“Adjusted EBITDA”) for the Three and Nine Months Ended September 30, 2023 and 2022</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(gain) loss on investments and marketable securities, stock-based compensation, impairment charges, equity in (income) loss of unconsolidated affiliates, (gain) loss on the sale or disposal of property and equipment, (gain) loss related to divestitures, changes in the fair value of certain derivatives and transaction costs associated with our acquisitions and divestitures such as (gain) loss on sale, sign-on</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313" w:right="3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2" w:name="page43"/>
    <w:bookmarkEnd w:id="42"/>
    <w:p>
      <w:pPr>
        <w:jc w:val="both"/>
        <w:spacing w:after="0" w:line="289" w:lineRule="auto"/>
        <w:rPr>
          <w:sz w:val="20"/>
          <w:szCs w:val="20"/>
          <w:color w:val="auto"/>
        </w:rPr>
      </w:pPr>
      <w:r>
        <w:rPr>
          <w:rFonts w:ascii="Arial" w:cs="Arial" w:eastAsia="Arial" w:hAnsi="Arial"/>
          <w:sz w:val="16"/>
          <w:szCs w:val="16"/>
          <w:color w:val="auto"/>
        </w:rPr>
        <w:t>and retention bonuses, severance expense, business integration and optimization costs, contract exit or termination costs, certain litigation awards and settlements, and certain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Adjusted EBITDA for the three and nine months ended September 30, 2023 and 2022, respectively, in addition to reconciling net income (loss) to Adjusted EBITDA in accordance with GAAP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158"/>
        </w:trPr>
        <w:tc>
          <w:tcPr>
            <w:tcW w:w="20" w:type="dxa"/>
            <w:vAlign w:val="bottom"/>
          </w:tcPr>
          <w:p>
            <w:pPr>
              <w:spacing w:after="0"/>
              <w:rPr>
                <w:sz w:val="13"/>
                <w:szCs w:val="13"/>
                <w:color w:val="auto"/>
              </w:rPr>
            </w:pPr>
          </w:p>
        </w:tc>
        <w:tc>
          <w:tcPr>
            <w:tcW w:w="44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Arial" w:cs="Arial" w:eastAsia="Arial" w:hAnsi="Arial"/>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3"/>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 net of income taxes</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(income) loss </w:t>
            </w:r>
            <w:r>
              <w:rPr>
                <w:rFonts w:ascii="Arial" w:cs="Arial" w:eastAsia="Arial" w:hAnsi="Arial"/>
                <w:sz w:val="21"/>
                <w:szCs w:val="21"/>
                <w:i w:val="1"/>
                <w:iCs w:val="1"/>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40"/>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Transaction costs and other, net </w:t>
            </w:r>
            <w:r>
              <w:rPr>
                <w:rFonts w:ascii="Arial" w:cs="Arial" w:eastAsia="Arial" w:hAnsi="Arial"/>
                <w:sz w:val="21"/>
                <w:szCs w:val="21"/>
                <w:i w:val="1"/>
                <w:iCs w:val="1"/>
                <w:color w:val="auto"/>
                <w:vertAlign w:val="superscript"/>
              </w:rPr>
              <w:t>(b)</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17" w:lineRule="auto"/>
        <w:tabs>
          <w:tab w:leader="none" w:pos="327"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income for the three and nine months ended September 30, 2022 primarily represents the net change in fair value of investments held by the Company, foreign exchange forward contracts, and changes in the fair value of a disputed claim liability.</w:t>
      </w:r>
    </w:p>
    <w:p>
      <w:pPr>
        <w:spacing w:after="0" w:line="48" w:lineRule="exact"/>
        <w:rPr>
          <w:rFonts w:ascii="Arial" w:cs="Arial" w:eastAsia="Arial" w:hAnsi="Arial"/>
          <w:sz w:val="19"/>
          <w:szCs w:val="19"/>
          <w:i w:val="1"/>
          <w:iCs w:val="1"/>
          <w:color w:val="auto"/>
          <w:vertAlign w:val="superscript"/>
        </w:rPr>
      </w:pPr>
    </w:p>
    <w:p>
      <w:pPr>
        <w:jc w:val="both"/>
        <w:ind w:left="340" w:hanging="332"/>
        <w:spacing w:after="0" w:line="289" w:lineRule="auto"/>
        <w:tabs>
          <w:tab w:leader="none" w:pos="337"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Transaction costs and other, net for the three and nine months ended September 30, 2023 primarily includes (i) net proceeds received in exchange for participation rights in a potential insurance recovery, (ii) proceeds received for the termination of the Caesars Dubai management agreement and (iii) costs related to non-cash losses on the write down and disposal of assets, pre-opening costs in connection with new temporary facility openings and non-cash changes in equity method investments. Transaction costs and other, net for the three and nine months ended September 30, 2022 primarily represents professional services for integration activities and various contract exit or termination costs partially offset by a gain resulting from insurance proceeds received in excess of the respective carrying value of damaged assets associated with the Lake Charles property.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revolving credit facility,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7"/>
                <w:szCs w:val="17"/>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September 30,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Revolver capacity </w:t>
            </w:r>
            <w:r>
              <w:rPr>
                <w:rFonts w:ascii="Arial" w:cs="Arial" w:eastAsia="Arial" w:hAnsi="Arial"/>
                <w:sz w:val="21"/>
                <w:szCs w:val="21"/>
                <w:i w:val="1"/>
                <w:iCs w:val="1"/>
                <w:color w:val="auto"/>
                <w:vertAlign w:val="superscript"/>
              </w:rPr>
              <w:t>(a)</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2,210</w:t>
            </w: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20" w:type="dxa"/>
            <w:vAlign w:val="bottom"/>
            <w:tcBorders>
              <w:bottom w:val="single" w:sz="8" w:color="CCEEFF"/>
            </w:tcBorders>
          </w:tcPr>
          <w:p>
            <w:pPr>
              <w:spacing w:after="0"/>
              <w:rPr>
                <w:sz w:val="18"/>
                <w:szCs w:val="18"/>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Revolver capacity committed as regulatory requirement</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9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Revolver capacity includes $2.25 billion under our CEI Revolving Credit Facility, maturing in January 2028, less $40 million reserved for specific purposes.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During the nine months ended September 30, 2023, our operating activities generated cash inflows of $1.3 billion, as compared to operating cash inflows of $469 million during the nine months ended September 30, 2022, due to the results of operations described above.</w:t>
      </w:r>
    </w:p>
    <w:p>
      <w:pPr>
        <w:spacing w:after="0" w:line="1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February 6, 2023, we entered into an Incremental Assumption Agreement No. 2 pursuant to which we incurred a new senior secured term loan facility in an aggregate principal amount of $2.5 billion (the “CEI Term Loan B” and, together with the CEI Term Loan A, the “CEI Term Loans”) as a new term loan under the CEI Credit Agreement. The CEI Term Loan B requires scheduled quarterly amortization payments in amounts equal to 0.25% of the original aggregate principal amount of the CEI Term Loan B, with the balance payable at maturity. Borrowings under the CEI Term Loan B bear interest, paid monthly, at a rate equal to, at the Company’s option, either (a) a forward-looking term rate based on the Adjusted Term Secured Overnight Financing Rate (“SOFR”), subject to a floor of 0.50% or (b) a base rate (the “Base Rate”) determined by reference to the highest of (i) the Prime Rate in the United States,</w:t>
      </w:r>
    </w:p>
    <w:p>
      <w:pPr>
        <w:spacing w:after="0" w:line="4" w:lineRule="exact"/>
        <w:rPr>
          <w:sz w:val="20"/>
          <w:szCs w:val="20"/>
          <w:color w:val="auto"/>
        </w:rPr>
      </w:pPr>
    </w:p>
    <w:p>
      <w:pPr>
        <w:jc w:val="both"/>
        <w:ind w:firstLine="8"/>
        <w:spacing w:after="0" w:line="253" w:lineRule="auto"/>
        <w:tabs>
          <w:tab w:leader="none" w:pos="2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our net total leverage ratio. The CEI Term Loan B was issued at a price of 99.0% of the principal amount and will mature in February 2030.</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6, 2023, concurrently with the issuance of the CEI Term Loan B, we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net proceeds from the CEI Term Loan B, along with the net proceeds from the issuance of the CEI Senior Secured Notes due 2030 described above, were used to repay the outstanding principal balance, including accrued and unpaid interest, of both the CRC Term Loan and the CRC Incremental Term Loan. Upon the termination of the CRC Term Loan and the CRC Incremental Term Loan, we recorded a loss on extinguishment of debt of $197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On May 1, 2023, we elected to prepay the outstanding $400 million Convention Center Mortgage Loan utilizing cash on hand.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2023, we completed the acquisition of the remaining 24.2% equity ownership in Horseshoe Baltimore, utilizing cash on hand, for a total of $66 million. On July 17, 2023, we permanently repaid the remaining outstanding principal balance of the Baltimore Term Loan, utilizing the CEI Revolving Credit Facility, which was repaid as of September 30, 2023. In connection with the repayment, we recognized a $3 million loss on the early extinguishment of debt.</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2023 include expansion projects, the rebranding of certain properties and continued investment into new markets with our Caesars Sportsbook and iGaming applications in our Caesars Digital segment.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 xml:space="preserve">We continue to expand into new markets with projects such as our partnership with the Eastern Band of Cherokee Indians to build and develop Caesars Virginia which is estimated to open a permanent facility in late 2024. The permanent development has a budget of $650 million and is expected to include a premier destination resort casino along with a 320 room hotel and world-class casino floor including 1,300 slot machines, 85 live table games, a WSOP Poker Room, a Caesars Sportsbook, a live entertainment theater and 40,000 square feet of meeting and convention space. Additionally, Caesars is developing Harrah’s Columbus Nebraska which is a casino development expected to feature a new one-mile horse racing surface, a 40,000-square-foot-casino and sportsbook with more than 400 slot machines and 20 table games, as well as a restaurant and retail space. In </w:t>
      </w:r>
      <w:r>
        <w:rPr>
          <w:rFonts w:ascii="Arial" w:cs="Arial" w:eastAsia="Arial" w:hAnsi="Arial"/>
          <w:sz w:val="16"/>
          <w:szCs w:val="16"/>
          <w:color w:val="000000"/>
        </w:rPr>
        <w:t>the second quarter of 2023,</w:t>
      </w:r>
      <w:r>
        <w:rPr>
          <w:rFonts w:ascii="Arial" w:cs="Arial" w:eastAsia="Arial" w:hAnsi="Arial"/>
          <w:sz w:val="16"/>
          <w:szCs w:val="16"/>
          <w:color w:val="212529"/>
        </w:rPr>
        <w:t xml:space="preserve"> </w:t>
      </w:r>
      <w:r>
        <w:rPr>
          <w:rFonts w:ascii="Arial" w:cs="Arial" w:eastAsia="Arial" w:hAnsi="Arial"/>
          <w:sz w:val="16"/>
          <w:szCs w:val="16"/>
          <w:color w:val="000000"/>
        </w:rPr>
        <w:t xml:space="preserve">temporary gaming facilities for Caesars Virginia and Harrah’s </w:t>
      </w:r>
      <w:r>
        <w:rPr>
          <w:rFonts w:ascii="Arial" w:cs="Arial" w:eastAsia="Arial" w:hAnsi="Arial"/>
          <w:sz w:val="16"/>
          <w:szCs w:val="16"/>
          <w:color w:val="212529"/>
        </w:rPr>
        <w:t>Columbus Nebraska opened</w:t>
      </w:r>
      <w:r>
        <w:rPr>
          <w:rFonts w:ascii="Arial" w:cs="Arial" w:eastAsia="Arial" w:hAnsi="Arial"/>
          <w:sz w:val="16"/>
          <w:szCs w:val="16"/>
          <w:color w:val="000000"/>
        </w:rPr>
        <w:t xml:space="preserve"> while the permanent facilities are being constructed.</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we funded $400 million in escrow to provide funds for a three year capital expenditure plan in the state of New Jersey. The capital plan includes significant room renovations at both Caesars Atlantic City and Harrah’s Atlantic City, as well as the addition of new restaurants with celebrity partners. As of September 30, 2023 and December 31, 2022, the restricted cash</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color w:val="auto"/>
        </w:rPr>
        <w:t>balance remaining in the escrow account was $21 million and $118 million, respectively. This amount is currently included in restricted cash in Other assets, net.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condition of the extension of the casino operating contract and ground lease for Harrah’s New Orleans, we are also required to make a capital investment of $325 million on or around Harrah’s New Orleans by July 15, 2024. The capital investment will involve the rebranding of the property to Caesars New Orleans which includes a renovation and full interior and exterior redesign, updated casino floor, new culinary experiences and a new 340-room hotel tower. The project has a current capital plan of approximately $430 million and, as of September 30, 2023, total capital expenditures have been $239 million since the project began.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Cash spent for capital expenditures totaled $895 million </w:t>
      </w:r>
      <w:r>
        <w:rPr>
          <w:rFonts w:ascii="Arial" w:cs="Arial" w:eastAsia="Arial" w:hAnsi="Arial"/>
          <w:sz w:val="18"/>
          <w:szCs w:val="18"/>
          <w:color w:val="000000"/>
        </w:rPr>
        <w:t>and $717 million</w:t>
      </w:r>
      <w:r>
        <w:rPr>
          <w:rFonts w:ascii="Arial" w:cs="Arial" w:eastAsia="Arial" w:hAnsi="Arial"/>
          <w:sz w:val="18"/>
          <w:szCs w:val="18"/>
          <w:color w:val="212529"/>
        </w:rPr>
        <w:t xml:space="preserve"> for the nine months ended </w:t>
      </w:r>
      <w:r>
        <w:rPr>
          <w:rFonts w:ascii="Arial" w:cs="Arial" w:eastAsia="Arial" w:hAnsi="Arial"/>
          <w:sz w:val="18"/>
          <w:szCs w:val="18"/>
          <w:color w:val="000000"/>
        </w:rPr>
        <w:t>September 30, 2023 and 2022</w:t>
      </w:r>
      <w:r>
        <w:rPr>
          <w:rFonts w:ascii="Arial" w:cs="Arial" w:eastAsia="Arial" w:hAnsi="Arial"/>
          <w:sz w:val="18"/>
          <w:szCs w:val="18"/>
          <w:color w:val="212529"/>
        </w:rPr>
        <w:t xml:space="preserve">, respectively, related to our growth, renovation, maintenance, and other capital projects. The following table summarizes our capital expenditures for the nine months ended September 30, 2023, and an estimated range of capital expenditures for the remainder of </w:t>
      </w:r>
      <w:r>
        <w:rPr>
          <w:rFonts w:ascii="Arial" w:cs="Arial" w:eastAsia="Arial" w:hAnsi="Arial"/>
          <w:sz w:val="18"/>
          <w:szCs w:val="18"/>
          <w:color w:val="000000"/>
        </w:rPr>
        <w:t>2023</w:t>
      </w:r>
      <w:r>
        <w:rPr>
          <w:rFonts w:ascii="Arial" w:cs="Arial" w:eastAsia="Arial" w:hAnsi="Arial"/>
          <w:sz w:val="18"/>
          <w:szCs w:val="18"/>
          <w:color w:val="212529"/>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100" w:type="dxa"/>
            <w:vAlign w:val="bottom"/>
          </w:tcPr>
          <w:p>
            <w:pPr>
              <w:spacing w:after="0"/>
              <w:rPr>
                <w:sz w:val="16"/>
                <w:szCs w:val="16"/>
                <w:color w:val="auto"/>
              </w:rPr>
            </w:pPr>
          </w:p>
        </w:tc>
        <w:tc>
          <w:tcPr>
            <w:tcW w:w="34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2"/>
              </w:rPr>
              <w:t>Estimate of Remaining Capital Expenditures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2023</w:t>
            </w:r>
          </w:p>
        </w:tc>
        <w:tc>
          <w:tcPr>
            <w:tcW w:w="100" w:type="dxa"/>
            <w:vAlign w:val="bottom"/>
          </w:tcPr>
          <w:p>
            <w:pPr>
              <w:spacing w:after="0"/>
              <w:rPr>
                <w:sz w:val="18"/>
                <w:szCs w:val="18"/>
                <w:color w:val="auto"/>
              </w:rPr>
            </w:pPr>
          </w:p>
        </w:tc>
        <w:tc>
          <w:tcPr>
            <w:tcW w:w="214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19"/>
              <w:spacing w:after="0" w:line="142" w:lineRule="exact"/>
              <w:rPr>
                <w:sz w:val="20"/>
                <w:szCs w:val="20"/>
                <w:color w:val="auto"/>
              </w:rPr>
            </w:pPr>
            <w:r>
              <w:rPr>
                <w:rFonts w:ascii="Arial" w:cs="Arial" w:eastAsia="Arial" w:hAnsi="Arial"/>
                <w:sz w:val="16"/>
                <w:szCs w:val="16"/>
                <w:b w:val="1"/>
                <w:bCs w:val="1"/>
                <w:color w:val="auto"/>
                <w:w w:val="93"/>
              </w:rPr>
              <w:t>Actual</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620"/>
              <w:spacing w:after="0" w:line="142" w:lineRule="exact"/>
              <w:rPr>
                <w:sz w:val="20"/>
                <w:szCs w:val="20"/>
                <w:color w:val="auto"/>
              </w:rPr>
            </w:pPr>
            <w:r>
              <w:rPr>
                <w:rFonts w:ascii="Arial" w:cs="Arial" w:eastAsia="Arial" w:hAnsi="Arial"/>
                <w:sz w:val="16"/>
                <w:szCs w:val="16"/>
                <w:b w:val="1"/>
                <w:bCs w:val="1"/>
                <w:color w:val="auto"/>
              </w:rPr>
              <w:t>Low</w:t>
            </w: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Atlantic City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Indiana racing operations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estimated capital expenditures from restricted cash</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Growth and renovation projects</w:t>
            </w: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 Digital</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Maintenance projects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estimated capital expenditures from unrestricted cash</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Caesars Virginia </w:t>
            </w:r>
            <w:r>
              <w:rPr>
                <w:rFonts w:ascii="Arial" w:cs="Arial" w:eastAsia="Arial" w:hAnsi="Arial"/>
                <w:sz w:val="21"/>
                <w:szCs w:val="21"/>
                <w:i w:val="1"/>
                <w:iCs w:val="1"/>
                <w:color w:val="auto"/>
                <w:vertAlign w:val="superscript"/>
              </w:rPr>
              <w:t>(a)</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17" w:lineRule="auto"/>
        <w:tabs>
          <w:tab w:leader="none" w:pos="327" w:val="left"/>
        </w:tabs>
        <w:numPr>
          <w:ilvl w:val="0"/>
          <w:numId w:val="2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We expect to receive approximately $300 million from the combination of our temporary casino operations and contributions from our joint venture partners to support the development of Caesars Virginia.</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liquidity needs are for debt service and payments associated with our leases. Our estimated debt service (including principal and interest) is approximately $116 million for the remainder of 2023. We also lease certain real property assets from third parties, including VICI and GLPI. The VICI Leases are subject to annual escalations, that take effect in November of each year, based on the CPI. The increase in the CPI over the prior year resulted in an increase in our annual lease payments to VICI. We estimate our lease payments to VICI and GLPI to be approximately $325 million for the remainder of 2023.</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Arial" w:cs="Arial" w:eastAsia="Arial" w:hAnsi="Arial"/>
          <w:sz w:val="18"/>
          <w:szCs w:val="18"/>
          <w:color w:val="212529"/>
        </w:rPr>
        <w:t>If an agreed upon selling price for future divestitures does not exceed the carrying value of the assets, we may be</w:t>
      </w:r>
      <w:r>
        <w:rPr>
          <w:rFonts w:ascii="Arial" w:cs="Arial" w:eastAsia="Arial" w:hAnsi="Arial"/>
          <w:sz w:val="18"/>
          <w:szCs w:val="18"/>
          <w:color w:val="auto"/>
        </w:rPr>
        <w:t xml:space="preserve"> </w:t>
      </w:r>
      <w:r>
        <w:rPr>
          <w:rFonts w:ascii="Arial" w:cs="Arial" w:eastAsia="Arial" w:hAnsi="Arial"/>
          <w:sz w:val="18"/>
          <w:szCs w:val="18"/>
          <w:color w:val="212529"/>
        </w:rPr>
        <w:t>required to record additional impairment charges in future periods which may be material.</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expect that our current liquidity, including availability of borrowings under our committed credit facility and cash flows from operations will be</w:t>
      </w:r>
      <w:r>
        <w:rPr>
          <w:rFonts w:ascii="Arial" w:cs="Arial" w:eastAsia="Arial" w:hAnsi="Arial"/>
          <w:sz w:val="18"/>
          <w:szCs w:val="18"/>
          <w:color w:val="auto"/>
        </w:rPr>
        <w:t xml:space="preserve"> </w:t>
      </w:r>
      <w:r>
        <w:rPr>
          <w:rFonts w:ascii="Arial" w:cs="Arial" w:eastAsia="Arial" w:hAnsi="Arial"/>
          <w:sz w:val="18"/>
          <w:szCs w:val="18"/>
          <w:color w:val="212529"/>
        </w:rPr>
        <w:t>sufficient to fund our operations, capital requirements and service our outstanding indebtedness for the next twelve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Senior Credit Facilities, the CEI Term Loan B, and the indentures governing the CRC Senior Secured Notes, the CEI Senior Secured Notes due 2025, the CEI Senior Secured Notes due 2030, the CEI Senior Notes due 2027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7"/>
          <w:szCs w:val="17"/>
          <w:color w:val="auto"/>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GLPI Leases and VICI Leases contain certain covenants requiring minimum capital expenditures based on a percentage of net revenues along with maintaining certain financial ratios.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were in compliance with all of the applicable financial covenants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of September 30, 2023, we have acquired 223,823 shares of common stock under the Share Repurchase Program at an aggregate value of $9 million and an average of $40.80 per share. No shares were repurchased during the </w:t>
      </w:r>
      <w:r>
        <w:rPr>
          <w:rFonts w:ascii="Arial" w:cs="Arial" w:eastAsia="Arial" w:hAnsi="Arial"/>
          <w:sz w:val="17"/>
          <w:szCs w:val="17"/>
          <w:color w:val="212529"/>
        </w:rPr>
        <w:t>nine months ended September 30, 2023</w:t>
      </w:r>
      <w:r>
        <w:rPr>
          <w:rFonts w:ascii="Arial" w:cs="Arial" w:eastAsia="Arial" w:hAnsi="Arial"/>
          <w:sz w:val="17"/>
          <w:szCs w:val="17"/>
          <w:color w:val="auto"/>
        </w:rPr>
        <w:t xml:space="preserve"> and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material changes during the nine months ended September 30, 2023 to our contractual obligations as disclosed in Part II, Item 7 of our Annual Report on Form 10-K for the year ended December 31, 2022. See Note 7 to our unaudited Financial Statements, which is included elsewhere in this report, for additional information regarding 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faced with certain contingencies, from time to time, involving litigation, claims, assessments, environmental remediation or compliance. These commitments and contingencies are discussed in greater detail in “Part II, Item 1. Legal Proceedings” and Note 7 to our unaudited Financial Statements, both of which are included elsewhere in this report. See “Part I, Item 1A. Risk Factors—Risks Related to Our Business” which is included elsewhere in our Annual Report on Form 10-K for the year ended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2022. There have been no material changes since December 31, 2022. We have not substantively changed the application of our policies, and there have been no material changes in assumptions or estimation techniques used as compared to those described in our Annual Report on Form 10-K for the year ended December 31,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and foreign exchange risks associated with certain transactions.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long-term variable-rate borrowings totaled $3.2 billion under the CEI Term Loans and no amounts were outstanding under the CEI Revolving Credit Facility. Long-term variable-rate borrowings under the CEI Term Loans represented approximately 26% of consolidated long-term debt as of September 30, 2023. As of September 30, 2023, the weighted average interest rates on our variable and fixed rate debt were 8.33% and 6.47%, respectively.</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All of our variable rate debt instruments are subject to Term SOFR interest rates plus a reasonable margin.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nine months ended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12"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There were no significant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 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discussion of our “Legal Proceedings,” refer to Note 7 to our Consolidated Condensed Financial Statements located elsewhere in this Quarterly Report on Form 10-Q and Note 11 to our Consolidated Financial Statements included in our Annual Report on Form 10-K for the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Cautionary Statements Regarding Forward-Looking Information</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74" w:lineRule="exact"/>
        <w:rPr>
          <w:rFonts w:ascii="Arial" w:cs="Arial" w:eastAsia="Arial" w:hAnsi="Arial"/>
          <w:sz w:val="17"/>
          <w:szCs w:val="17"/>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economic trends, inflation and the COVID-19 public health emergency on our business and financial condition;</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intention to pursue development opportunities and additional acquisitions and divestitures;</w:t>
      </w:r>
    </w:p>
    <w:p>
      <w:pPr>
        <w:spacing w:after="0" w:line="63" w:lineRule="exact"/>
        <w:rPr>
          <w:rFonts w:ascii="Arial" w:cs="Arial" w:eastAsia="Arial" w:hAnsi="Arial"/>
          <w:sz w:val="18"/>
          <w:szCs w:val="18"/>
          <w:color w:val="auto"/>
        </w:rPr>
      </w:pPr>
    </w:p>
    <w:p>
      <w:pPr>
        <w:ind w:left="660" w:hanging="652"/>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Data Incident on our business, financial conditions and results of operations;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factors impacting our ability to successfully operate our digital betting and iGaming platform and expand its user base.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impacts of economic and market conditions; (b) our ability to successfully operate our digital betting and iGaming platform and expand its user base; (c) risks associated with our leverage and our ability to reduce our leverage; (d) the effects of competition on our business and results of operations; (e) the effects of inflation, supply chain constraints and continuing impacts of COVID-19; and (f)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To the extent that reports issued by securities analysts contain projections, forecasts or opinions, those reports are not our responsibility and are not endorsed by us.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1A. Risk Factors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description of our risk factors can be found in “Part I, Item 1A. Risk Factors” included in our Annual Report on Form 10-K for the year ended December 31, 2022. Except as set forth below, there have been no material changes to those risk factors during the nine months ended September 30, 2023.</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Compromises of our information systems or unauthorized access to confidential information or our customers’ personal information could materially harm our reputation and business.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assess and monitor the security of collection, storage, and transmission of customer information on an ongoing basis, including utilizing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had taken steps designed to safeguard our customers’ confidential personal information and important internal company data, on September 14, 2023, we announced that we identified suspicious activity in our information technology network resulting from a social engineering attack on one of our outsourced IT support vendors and that we determined that the unauthorized actor acquired a copy of, among other data, our loyalty program database, which includes driver’s license numbers and/or social security numbers for a significant number of members in the database (the “Data Incident”). We took steps to ensure that the stolen data was deleted by the unauthorized actor and we believe we have taken appropriate steps, working with industry-leading third-party IT advisors, to harden our systems and implement corrective measures to protect against future attacks that could pose a threat to our systems. We have also taken steps to ensure that the specific outsourced IT support vendor involved in this matter has implemented corrective measures to protect against future attacks that could pose a threat to our systems. While we took these actions, we cannot assure that the stolen data was deleted by the unauthorized actor or that our network and other systems and those of third parties, such as service providers, will not be compromised, damaged, or disrupted by a third-party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in the future.</w:t>
      </w:r>
    </w:p>
    <w:p>
      <w:pPr>
        <w:spacing w:after="0" w:line="1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third-party information system service providers face risks relating to cybersecurity similar to ours, and we do not directly control any of such parties’ information security operations. As an example, the Data Incident arose from a social engineering attack on one of our outsourced IT vendors. Advances in computer and software capabilities, encryption technology, new tools, and other developments may increase the risk of a future security breach. As a result of the Data Incident, customer information and other data was accessed by an unauthorized actor. Any future security breach, may also result in customer information or other proprietary data being accessed or transmitted by or to a third party. Despite the measures we have implemented to safeguard our information, including actions taken following the Data Incident, there can be no assurance that we are adequately protecting our information.</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Data Incident, we have become subject to multiple lawsuits and inquiries from state regulators and we may become subject to additional lawsuits, claims and inquiries related to the Data Incident. While the Data Incident did not impact our customer-facing operations, we are unable to predict the full impact of the Data Incident, including any regulatory effects or changes in guest behavior in the future, including whether a change in our guests’ behavior could negatively impact our financial condition and results of operations on an ongoing basis.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17"/>
          <w:szCs w:val="17"/>
          <w:color w:val="auto"/>
        </w:rPr>
        <w:t>We have cybersecurity insurance to respond to a breach which is designed to cover expenses associated with a cybersecurity incident, including costs related to notification, credit monitoring, investigation, crisis management, public relations and legal advice. We also carry other insurance which may cover ancillary aspects of cybersecurity events. While we have submitted claims for insurance coverage relating to the costs incurred as a result of the Data Incident, we are not certain of the extent to which such coverage or third-party indemnification will cover such costs.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future data security breaches giving rise to a loss, disclosure of, misappropriation of, or access to customers’ or other proprietary information or other breach of our information security could result in additional legal claims or legal proceedings, including regulatory investigations and actions, or liability for failure to comply with privacy and information security laws, including for failure to protect personal information or for misusing personal information could damage our reputation, and expose us to additional claims from customers, financial institutions, regulators, payment card associations, employees, and other persons, any of which could have an adverse effect on our financial condition, results of operations, and cash flow.</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Any such damages and claims arising from a future breach may not be completely covered or may exceed the amount of any insurance available.</w:t>
      </w:r>
    </w:p>
    <w:p>
      <w:pPr>
        <w:spacing w:after="0" w:line="1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operations, and particularly our digital betting and gaming operations, are reliant on information technology and other systems and services, and any failures, errors, defects or disruptions in our systems or services could adversely affect our operations.</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technology infrastructure is critical to the performance of our digital betting and gaming operations and to user satisfaction and we rely significantly on our computer systems and software to receive and properly process internal and external data, including data related to Caesars Rewards. We devote significant resources to our technology infrastructure, but our systems may not be adequate to avoid performance delays or outages that could be harmful to our online business. In addition, while we believe we have taken appropriate steps, working with industry-leading third-party IT advisors, to harden our systems following the Data Incident and implement corrective measures to protect against future attacks that could pose a threat to our systems. we cannot assure you that such measures or any additional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We have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our computer systems and software may fail or may contain errors, bugs, flaws or corrupted data, and these defects may only become apparent after the launch of our online products.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information systems are not fully redundant and our disaster recovery planning cannot account for all eventualities. If our systems are damaged, breached, attacked, interrupted, or otherwise cease to function properly, we may have to make a significant investment to repair or replace them, and may experience loss or corruption of critical data as well as suffer interruptions in our business operations in the interim.</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that we will continue to expand our online betting and gaming offerings as our user base grows and we enter into new markets, which will require an enhancement of our technical infrastructure, including network capacity and computing power, and may require additional reliance on third party providers to support the growth of our digital business and to satisfy our users’ needs. Such infrastructure expansion may be complex and costly, and unanticipated delays in completing these 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Work stoppages and other labor problems could negatively impact our future profits.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collective bargaining agreements covering approximately 21,000 employees. The collective bargaining agreement with the Culinary Workers Union covering approximately 11,000 of our Las Vegas employees expired on September 15, 2023 and members of the Culinary Workers Union voted to authorize a strike. While we continue to negotiate the terms of a collective bargaining agreement with the Culinary Workers Union, there can be no assurance regarding the terms or the timing of such an agreement. A lengthy strike or other work stoppages at any of our casino properties could have an adverse effect on our business and results of operations. From time to time, we have also experienced attempts by labor organizations to organize certain of our non-union employees. These efforts have achieved some success to date. We cannot provide any assurance that we will not experience additional and successful union activity in the future. The impact of this union activity is undetermined and could negatively impact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4. Mine Safety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BF2115"/>
        </w:rPr>
        <w:t>Item 5. Other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2023, none of our directors or officers (as defined in Rule 16a-1(f) of the Exchange Act) adopted, modified or terminated a “Rule 10b5-1 trading arrangement” or “non-Rule 10b5-1 trading arrangement,” as defined in Item 408 of Regulation S-K.</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BF2115"/>
        </w:rPr>
        <w:t>Item 6. Exhibits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8460" w:type="dxa"/>
            <w:vAlign w:val="bottom"/>
            <w:gridSpan w:val="8"/>
            <w:vMerge w:val="restart"/>
          </w:tcPr>
          <w:p>
            <w:pPr>
              <w:ind w:left="346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9"/>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846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9"/>
                <w:szCs w:val="19"/>
                <w:color w:val="auto"/>
              </w:rPr>
            </w:pPr>
          </w:p>
        </w:tc>
        <w:tc>
          <w:tcPr>
            <w:tcW w:w="8460" w:type="dxa"/>
            <w:vAlign w:val="bottom"/>
            <w:tcBorders>
              <w:top w:val="single" w:sz="8" w:color="auto"/>
            </w:tcBorders>
            <w:gridSpan w:val="8"/>
          </w:tcPr>
          <w:p>
            <w:pPr>
              <w:ind w:left="20"/>
              <w:spacing w:after="0"/>
              <w:rPr>
                <w:rFonts w:ascii="Arial" w:cs="Arial" w:eastAsia="Arial" w:hAnsi="Arial"/>
                <w:sz w:val="16"/>
                <w:szCs w:val="16"/>
                <w:color w:val="0000FF"/>
              </w:rPr>
            </w:pPr>
            <w:hyperlink r:id="rId80">
              <w:r>
                <w:rPr>
                  <w:rFonts w:ascii="Arial" w:cs="Arial" w:eastAsia="Arial" w:hAnsi="Arial"/>
                  <w:sz w:val="16"/>
                  <w:szCs w:val="16"/>
                  <w:color w:val="0000FF"/>
                </w:rPr>
                <w:t>Amended and Restated Certificate of Incorporation of Caesars Entertainment, Inc.</w:t>
              </w:r>
            </w:hyperlink>
          </w:p>
        </w:tc>
        <w:tc>
          <w:tcPr>
            <w:tcW w:w="0" w:type="dxa"/>
            <w:vAlign w:val="bottom"/>
          </w:tcPr>
          <w:p>
            <w:pPr>
              <w:spacing w:after="0"/>
              <w:rPr>
                <w:sz w:val="1"/>
                <w:szCs w:val="1"/>
                <w:color w:val="auto"/>
              </w:rPr>
            </w:pPr>
          </w:p>
        </w:tc>
      </w:tr>
      <w:tr>
        <w:trPr>
          <w:trHeight w:val="574"/>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5340" w:type="dxa"/>
            <w:vAlign w:val="bottom"/>
            <w:tcBorders>
              <w:top w:val="single" w:sz="8" w:color="0000FF"/>
            </w:tcBorders>
            <w:gridSpan w:val="7"/>
          </w:tcPr>
          <w:p>
            <w:pPr>
              <w:ind w:left="20"/>
              <w:spacing w:after="0"/>
              <w:rPr>
                <w:rFonts w:ascii="Arial" w:cs="Arial" w:eastAsia="Arial" w:hAnsi="Arial"/>
                <w:sz w:val="16"/>
                <w:szCs w:val="16"/>
                <w:color w:val="0000FF"/>
              </w:rPr>
            </w:pPr>
            <w:hyperlink r:id="rId81">
              <w:r>
                <w:rPr>
                  <w:rFonts w:ascii="Arial" w:cs="Arial" w:eastAsia="Arial" w:hAnsi="Arial"/>
                  <w:sz w:val="16"/>
                  <w:szCs w:val="16"/>
                  <w:color w:val="0000FF"/>
                </w:rPr>
                <w:t>Amended and Restated Bylaws of Caesars Entertainment, Inc.</w:t>
              </w:r>
            </w:hyperlink>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31.1</w:t>
            </w:r>
          </w:p>
        </w:tc>
        <w:tc>
          <w:tcPr>
            <w:tcW w:w="8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0000FF"/>
              </w:rPr>
              <w:t>Certification of Thomas R. Reeg pursuant to Rule 13a-14a and Rule 15d-14(a)</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24"/>
                <w:szCs w:val="24"/>
                <w:color w:val="auto"/>
              </w:rPr>
            </w:pPr>
          </w:p>
        </w:tc>
        <w:tc>
          <w:tcPr>
            <w:tcW w:w="5100" w:type="dxa"/>
            <w:vAlign w:val="bottom"/>
            <w:tcBorders>
              <w:top w:val="single" w:sz="8" w:color="0000FF"/>
            </w:tcBorders>
            <w:gridSpan w:val="6"/>
          </w:tcPr>
          <w:p>
            <w:pPr>
              <w:ind w:left="20"/>
              <w:spacing w:after="0"/>
              <w:rPr>
                <w:sz w:val="20"/>
                <w:szCs w:val="20"/>
                <w:color w:val="auto"/>
              </w:rPr>
            </w:pPr>
            <w:r>
              <w:rPr>
                <w:rFonts w:ascii="Arial" w:cs="Arial" w:eastAsia="Arial" w:hAnsi="Arial"/>
                <w:sz w:val="16"/>
                <w:szCs w:val="16"/>
                <w:color w:val="0000FF"/>
                <w:w w:val="97"/>
              </w:rPr>
              <w:t>Certification of Bret Yunker pursuant to Rule 13a-14a and Rule 15d-14(a)</w:t>
            </w:r>
          </w:p>
        </w:tc>
        <w:tc>
          <w:tcPr>
            <w:tcW w:w="3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32.1</w:t>
            </w:r>
          </w:p>
        </w:tc>
        <w:tc>
          <w:tcPr>
            <w:tcW w:w="8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0000FF"/>
              </w:rPr>
              <w:t>Certification of Thomas R. Reeg in accordance with 18 U.S.C. Section 1350</w:t>
            </w: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80" w:type="dxa"/>
            <w:vAlign w:val="bottom"/>
          </w:tcPr>
          <w:p>
            <w:pPr>
              <w:spacing w:after="0"/>
              <w:rPr>
                <w:sz w:val="24"/>
                <w:szCs w:val="24"/>
                <w:color w:val="auto"/>
              </w:rPr>
            </w:pPr>
          </w:p>
        </w:tc>
        <w:tc>
          <w:tcPr>
            <w:tcW w:w="4960" w:type="dxa"/>
            <w:vAlign w:val="bottom"/>
            <w:tcBorders>
              <w:top w:val="single" w:sz="8" w:color="0000FF"/>
            </w:tcBorders>
            <w:gridSpan w:val="5"/>
          </w:tcPr>
          <w:p>
            <w:pPr>
              <w:ind w:left="20"/>
              <w:spacing w:after="0"/>
              <w:rPr>
                <w:sz w:val="20"/>
                <w:szCs w:val="20"/>
                <w:color w:val="auto"/>
              </w:rPr>
            </w:pPr>
            <w:r>
              <w:rPr>
                <w:rFonts w:ascii="Arial" w:cs="Arial" w:eastAsia="Arial" w:hAnsi="Arial"/>
                <w:sz w:val="16"/>
                <w:szCs w:val="16"/>
                <w:color w:val="0000FF"/>
                <w:w w:val="98"/>
              </w:rPr>
              <w:t>Certification of Bret Yunker in accordance with 18 U.S.C. Section 1350</w:t>
            </w:r>
          </w:p>
        </w:tc>
        <w:tc>
          <w:tcPr>
            <w:tcW w:w="3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80" w:type="dxa"/>
            <w:vAlign w:val="bottom"/>
          </w:tcPr>
          <w:p>
            <w:pPr>
              <w:spacing w:after="0"/>
              <w:rPr>
                <w:sz w:val="24"/>
                <w:szCs w:val="24"/>
                <w:color w:val="auto"/>
              </w:rPr>
            </w:pPr>
          </w:p>
        </w:tc>
        <w:tc>
          <w:tcPr>
            <w:tcW w:w="3720" w:type="dxa"/>
            <w:vAlign w:val="bottom"/>
            <w:tcBorders>
              <w:top w:val="single" w:sz="8" w:color="0000FF"/>
              <w:bottom w:val="single" w:sz="8" w:color="0000FF"/>
            </w:tcBorders>
          </w:tcPr>
          <w:p>
            <w:pPr>
              <w:ind w:left="20"/>
              <w:spacing w:after="0"/>
              <w:rPr>
                <w:sz w:val="20"/>
                <w:szCs w:val="20"/>
                <w:color w:val="auto"/>
              </w:rPr>
            </w:pPr>
            <w:r>
              <w:rPr>
                <w:rFonts w:ascii="Arial" w:cs="Arial" w:eastAsia="Arial" w:hAnsi="Arial"/>
                <w:sz w:val="16"/>
                <w:szCs w:val="16"/>
                <w:color w:val="0000FF"/>
                <w:w w:val="93"/>
              </w:rPr>
              <w:t>Financial Information of Caesars Resort Collection, LLC</w:t>
            </w:r>
          </w:p>
        </w:tc>
        <w:tc>
          <w:tcPr>
            <w:tcW w:w="940" w:type="dxa"/>
            <w:vAlign w:val="bottom"/>
            <w:tcBorders>
              <w:top w:val="single" w:sz="8" w:color="0000FF"/>
            </w:tcBorders>
            <w:gridSpan w:val="2"/>
          </w:tcPr>
          <w:p>
            <w:pPr>
              <w:spacing w:after="0"/>
              <w:rPr>
                <w:sz w:val="24"/>
                <w:szCs w:val="24"/>
                <w:color w:val="auto"/>
              </w:rPr>
            </w:pPr>
          </w:p>
        </w:tc>
        <w:tc>
          <w:tcPr>
            <w:tcW w:w="38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9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8460" w:type="dxa"/>
            <w:vAlign w:val="bottom"/>
            <w:gridSpan w:val="8"/>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wp:posOffset>
            </wp:positionV>
            <wp:extent cx="11144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0"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Previously filed on Form 8-K filed on June 16, 2023.</w:t>
      </w:r>
    </w:p>
    <w:p>
      <w:pPr>
        <w:spacing w:after="0" w:line="65"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Previously filed on Form 8-K filed on August 1, 2022.</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ectPr>
          <w:pgSz w:w="11900" w:h="16838" w:orient="portrait"/>
          <w:cols w:equalWidth="0" w:num="2">
            <w:col w:w="9340" w:space="120"/>
            <w:col w:w="1620"/>
          </w:cols>
          <w:pgMar w:left="320" w:top="1314" w:right="499" w:bottom="1440" w:gutter="0" w:footer="0" w:header="0"/>
        </w:sectPr>
      </w:pPr>
    </w:p>
    <w:bookmarkStart w:id="52" w:name="page53"/>
    <w:bookmarkEnd w:id="52"/>
    <w:p>
      <w:pPr>
        <w:spacing w:after="0" w:line="200" w:lineRule="exact"/>
        <w:rPr>
          <w:sz w:val="20"/>
          <w:szCs w:val="20"/>
          <w:color w:val="auto"/>
        </w:rPr>
      </w:pPr>
    </w:p>
    <w:p>
      <w:pPr>
        <w:spacing w:after="0" w:line="3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80"/>
          </w:cols>
          <w:pgMar w:left="320" w:top="1440" w:right="9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0" w:hanging="644"/>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644"/>
        <w:spacing w:after="0" w:line="308" w:lineRule="auto"/>
        <w:tabs>
          <w:tab w:leader="none" w:pos="1297"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20" w:hanging="644"/>
        <w:spacing w:after="0" w:line="277"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0" w:hanging="644"/>
        <w:spacing w:after="0" w:line="342" w:lineRule="auto"/>
        <w:tabs>
          <w:tab w:leader="none" w:pos="1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644"/>
        <w:spacing w:after="0" w:line="308" w:lineRule="auto"/>
        <w:tabs>
          <w:tab w:leader="none" w:pos="1297"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right="20" w:hanging="644"/>
        <w:spacing w:after="0" w:line="277"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ind w:left="5620"/>
        <w:spacing w:after="0" w:line="203" w:lineRule="auto"/>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2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2023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2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2023 (the “Periodic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2023</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consolidating condensed balance sheets as of September 30, 2023 and December 31, 2022, consolidating condensed statements of operations for the three and nine months ended September 30, 2023 and 2022, cash flows for the nine months ended September 30, 2023 and 2022, and Adjusted EBITDA for the three and nine months ended September 30, 2023 of Caesars Resort Collection, LLC (“CRC”), as it consolidates into CEI as a wholly-owned subsidiary. “Other Operations, Eliminations” presents the operations of CEI’s other subsidiaries, including eliminations of intercompany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sheets as of September 30, 2023 and December 31, 2022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September 30, 2023</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December 31, 2022</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8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Investments in and advances to unconsolidated</w:t>
            </w:r>
          </w:p>
        </w:tc>
        <w:tc>
          <w:tcPr>
            <w:tcW w:w="2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Intangible assets other than goodwill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80" w:type="dxa"/>
            <w:vAlign w:val="bottom"/>
            <w:gridSpan w:val="4"/>
          </w:tcPr>
          <w:p>
            <w:pPr>
              <w:ind w:left="560"/>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Accrued other liabilities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Due to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Long-term debt to related party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Caesars stockholders’ equity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320"/>
              <w:spacing w:after="0"/>
              <w:rPr>
                <w:sz w:val="20"/>
                <w:szCs w:val="20"/>
                <w:color w:val="auto"/>
              </w:rPr>
            </w:pPr>
            <w:r>
              <w:rPr>
                <w:rFonts w:ascii="Arial" w:cs="Arial" w:eastAsia="Arial" w:hAnsi="Arial"/>
                <w:sz w:val="16"/>
                <w:szCs w:val="16"/>
                <w:color w:val="auto"/>
              </w:rPr>
              <w:t>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6,866</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three months ended September 30, 2023 and 2022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8"/>
              </w:rPr>
              <w:t>Three Months Ended September 30, 2022</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1,620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1,605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2,994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2,887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costs.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2,270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rPr>
              <w:t>Income (loss) from continuing operations, net of</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w w:val="96"/>
              </w:rPr>
              <w:t>Net income attributable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operations for the nine months ended September 30, 2023 and 2022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8"/>
          </w:tcPr>
          <w:p>
            <w:pPr>
              <w:ind w:left="260"/>
              <w:spacing w:after="0"/>
              <w:rPr>
                <w:sz w:val="20"/>
                <w:szCs w:val="20"/>
                <w:color w:val="auto"/>
              </w:rPr>
            </w:pPr>
            <w:r>
              <w:rPr>
                <w:rFonts w:ascii="Arial" w:cs="Arial" w:eastAsia="Arial" w:hAnsi="Arial"/>
                <w:sz w:val="16"/>
                <w:szCs w:val="16"/>
                <w:b w:val="1"/>
                <w:bCs w:val="1"/>
                <w:color w:val="auto"/>
              </w:rPr>
              <w:t>Nine Months Ended September 30, 2023</w:t>
            </w:r>
          </w:p>
        </w:tc>
        <w:tc>
          <w:tcPr>
            <w:tcW w:w="220" w:type="dxa"/>
            <w:vAlign w:val="bottom"/>
          </w:tcPr>
          <w:p>
            <w:pPr>
              <w:spacing w:after="0"/>
              <w:rPr>
                <w:sz w:val="18"/>
                <w:szCs w:val="18"/>
                <w:color w:val="auto"/>
              </w:rPr>
            </w:pPr>
          </w:p>
        </w:tc>
        <w:tc>
          <w:tcPr>
            <w:tcW w:w="3540" w:type="dxa"/>
            <w:vAlign w:val="bottom"/>
            <w:gridSpan w:val="7"/>
          </w:tcPr>
          <w:p>
            <w:pPr>
              <w:jc w:val="right"/>
              <w:ind w:right="399"/>
              <w:spacing w:after="0"/>
              <w:rPr>
                <w:sz w:val="20"/>
                <w:szCs w:val="20"/>
                <w:color w:val="auto"/>
              </w:rPr>
            </w:pPr>
            <w:r>
              <w:rPr>
                <w:rFonts w:ascii="Arial" w:cs="Arial" w:eastAsia="Arial" w:hAnsi="Arial"/>
                <w:sz w:val="16"/>
                <w:szCs w:val="16"/>
                <w:b w:val="1"/>
                <w:bCs w:val="1"/>
                <w:color w:val="auto"/>
              </w:rPr>
              <w:t>Nine Months Ended September 30, 2022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Other</w:t>
            </w: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1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4,789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Casino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 and other costs,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income (loss)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(1,956)</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Income (loss) from continuing operations before</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rPr>
              <w:t>Income (loss) from continuing operations, net of</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rPr>
              <w:t>Discontinued operations, net of income taxes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6"/>
                <w:szCs w:val="16"/>
                <w:color w:val="auto"/>
                <w:w w:val="96"/>
              </w:rPr>
              <w:t>Net income attributable to noncontrolling interests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statements of cash flows for the nine months ended September 30, 2023 and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8"/>
          </w:tcPr>
          <w:p>
            <w:pPr>
              <w:ind w:left="400"/>
              <w:spacing w:after="0"/>
              <w:rPr>
                <w:sz w:val="20"/>
                <w:szCs w:val="20"/>
                <w:color w:val="auto"/>
              </w:rPr>
            </w:pPr>
            <w:r>
              <w:rPr>
                <w:rFonts w:ascii="Arial" w:cs="Arial" w:eastAsia="Arial" w:hAnsi="Arial"/>
                <w:sz w:val="14"/>
                <w:szCs w:val="14"/>
                <w:b w:val="1"/>
                <w:bCs w:val="1"/>
                <w:color w:val="auto"/>
              </w:rPr>
              <w:t>Nine Months Ended September 30, 2023</w:t>
            </w:r>
          </w:p>
        </w:tc>
        <w:tc>
          <w:tcPr>
            <w:tcW w:w="220" w:type="dxa"/>
            <w:vAlign w:val="bottom"/>
          </w:tcPr>
          <w:p>
            <w:pPr>
              <w:spacing w:after="0"/>
              <w:rPr>
                <w:sz w:val="16"/>
                <w:szCs w:val="16"/>
                <w:color w:val="auto"/>
              </w:rPr>
            </w:pPr>
          </w:p>
        </w:tc>
        <w:tc>
          <w:tcPr>
            <w:tcW w:w="3520" w:type="dxa"/>
            <w:vAlign w:val="bottom"/>
            <w:gridSpan w:val="7"/>
          </w:tcPr>
          <w:p>
            <w:pPr>
              <w:jc w:val="right"/>
              <w:ind w:right="568"/>
              <w:spacing w:after="0"/>
              <w:rPr>
                <w:sz w:val="20"/>
                <w:szCs w:val="20"/>
                <w:color w:val="auto"/>
              </w:rPr>
            </w:pPr>
            <w:r>
              <w:rPr>
                <w:rFonts w:ascii="Arial" w:cs="Arial" w:eastAsia="Arial" w:hAnsi="Arial"/>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Other Operations,</w:t>
            </w:r>
          </w:p>
        </w:tc>
        <w:tc>
          <w:tcPr>
            <w:tcW w:w="10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CEI Consolidated</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CRC</w:t>
            </w:r>
          </w:p>
        </w:tc>
        <w:tc>
          <w:tcPr>
            <w:tcW w:w="13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Other Operations,</w:t>
            </w:r>
          </w:p>
        </w:tc>
        <w:tc>
          <w:tcPr>
            <w:tcW w:w="8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CEI Consolidated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Purchase of property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Acquisition of gaming rights and trademarks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6"/>
              </w:rPr>
              <w:t>Proceeds from sale of business, property and equipment,</w:t>
            </w:r>
          </w:p>
        </w:tc>
        <w:tc>
          <w:tcPr>
            <w:tcW w:w="2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of cash sold</w:t>
            </w:r>
          </w:p>
        </w:tc>
        <w:tc>
          <w:tcPr>
            <w:tcW w:w="2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Proceeds from the sale of investments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Proceeds from insurance related to property damage</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Proceeds from long-term debt and revolving credit</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of long-term debt and revolving credit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facilities</w:t>
            </w: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Cash paid to settle convertible notes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Financing obligation payments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Debt issuance and extinguishment costs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Payments to acquire ownership interest in subsidiary</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Contributions from noncontrolling interest owners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w w:val="93"/>
              </w:rPr>
              <w:t>Taxes paid related to net share settlement of equity awards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FLOWS FROM DISCONTINUED OPERATIONS:</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Cash flow from financing activities</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Net cash from discontinued operations</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0"/>
              <w:spacing w:after="0"/>
              <w:rPr>
                <w:sz w:val="20"/>
                <w:szCs w:val="20"/>
                <w:color w:val="auto"/>
              </w:rPr>
            </w:pPr>
            <w:r>
              <w:rPr>
                <w:rFonts w:ascii="Arial" w:cs="Arial" w:eastAsia="Arial" w:hAnsi="Arial"/>
                <w:sz w:val="14"/>
                <w:szCs w:val="14"/>
                <w:color w:val="auto"/>
              </w:rPr>
              <w:t>Effect of foreign currency exchange rates on cash</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3640" w:type="dxa"/>
            <w:vAlign w:val="bottom"/>
            <w:gridSpan w:val="2"/>
            <w:shd w:val="clear" w:color="auto" w:fill="CCEEFF"/>
          </w:tcPr>
          <w:p>
            <w:pPr>
              <w:ind w:left="200"/>
              <w:spacing w:after="0" w:line="123" w:lineRule="exact"/>
              <w:rPr>
                <w:sz w:val="20"/>
                <w:szCs w:val="20"/>
                <w:color w:val="auto"/>
              </w:rPr>
            </w:pPr>
            <w:r>
              <w:rPr>
                <w:rFonts w:ascii="Arial" w:cs="Arial" w:eastAsia="Arial" w:hAnsi="Arial"/>
                <w:sz w:val="14"/>
                <w:szCs w:val="14"/>
                <w:color w:val="auto"/>
                <w:w w:val="91"/>
              </w:rPr>
              <w:t>Increase (decrease) in cash, cash equivalents and restricted</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cash</w:t>
            </w: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2"/>
          </w:tcPr>
          <w:p>
            <w:pPr>
              <w:ind w:left="200"/>
              <w:spacing w:after="0" w:line="143" w:lineRule="exact"/>
              <w:rPr>
                <w:sz w:val="20"/>
                <w:szCs w:val="20"/>
                <w:color w:val="auto"/>
              </w:rPr>
            </w:pPr>
            <w:r>
              <w:rPr>
                <w:rFonts w:ascii="Arial" w:cs="Arial" w:eastAsia="Arial" w:hAnsi="Arial"/>
                <w:sz w:val="14"/>
                <w:szCs w:val="14"/>
                <w:color w:val="auto"/>
                <w:w w:val="97"/>
              </w:rPr>
              <w:t>Cash, cash equivalents and restricted cash, beginning of</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95"/>
              </w:rPr>
              <w:t>Cash, cash equivalents and restricted cash,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reconciliations of net income (loss) attributable to Caesars to Adjusted EBITDA for the three and nine months ended September 30, 2023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w w:val="91"/>
              </w:rPr>
              <w:t>Three Months Ended September 30, 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1"/>
              </w:rPr>
              <w:t>Nine Months Ended September 30,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CEI</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1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CEI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CRC</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8"/>
              </w:rPr>
              <w:t>Consolidated</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4"/>
                <w:szCs w:val="14"/>
                <w:color w:val="auto"/>
              </w:rPr>
            </w:pPr>
          </w:p>
        </w:tc>
        <w:tc>
          <w:tcPr>
            <w:tcW w:w="112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spacing w:after="0" w:line="166" w:lineRule="exact"/>
              <w:rPr>
                <w:sz w:val="20"/>
                <w:szCs w:val="20"/>
                <w:color w:val="auto"/>
              </w:rPr>
            </w:pPr>
            <w:r>
              <w:rPr>
                <w:rFonts w:ascii="Arial" w:cs="Arial" w:eastAsia="Arial" w:hAnsi="Arial"/>
                <w:sz w:val="16"/>
                <w:szCs w:val="16"/>
                <w:color w:val="auto"/>
              </w:rPr>
              <w:t>Net income attributable to noncontrolling</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Other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Transaction costs and other,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gridSpan w:val="2"/>
          </w:tcPr>
          <w:p>
            <w:pPr>
              <w:ind w:left="220"/>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Roman"/>
      <w:start w:val="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0" Type="http://schemas.openxmlformats.org/officeDocument/2006/relationships/hyperlink" Target="https://www.sec.gov/Archives/edgar/data/1590895/000119312523169019/d522744dex31.htm" TargetMode="External"/><Relationship Id="rId81" Type="http://schemas.openxmlformats.org/officeDocument/2006/relationships/hyperlink" Target="https://www.sec.gov/Archives/edgar/data/1590895/000119312522208845/d33298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2023-10-31T15:29:33Z</dcterms:created>
  <dcterms:modified xsi:type="dcterms:W3CDTF">2023-10-31T15:29:33Z</dcterms:modified>
</cp:coreProperties>
</file>