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140" w:after="283"/>
        <w:jc w:val="center"/>
        <w:rPr>
          <w:rFonts w:ascii="Times New Roman;serif" w:hAnsi="Times New Roman;serif"/>
          <w:b/>
          <w:color w:val="000000"/>
          <w:sz w:val="36"/>
        </w:rPr>
      </w:pPr>
      <w:r>
        <w:rPr>
          <w:rFonts w:ascii="Times New Roman;serif" w:hAnsi="Times New Roman;serif"/>
          <w:b/>
          <w:color w:val="000000"/>
          <w:sz w:val="36"/>
        </w:rPr>
        <w:t xml:space="preserve">FORM 10-Q </w:t>
      </w:r>
    </w:p>
    <w:p>
      <w:pPr>
        <w:pStyle w:val="TextBody"/>
        <w:bidi w:val="0"/>
        <w:spacing w:lineRule="auto" w:line="288" w:before="140" w:after="283"/>
        <w:jc w:val="left"/>
        <w:rPr>
          <w:rFonts w:ascii="Times New Roman;serif" w:hAnsi="Times New Roman;serif"/>
          <w:b/>
          <w:color w:val="000000"/>
          <w:sz w:val="20"/>
        </w:rPr>
      </w:pPr>
      <w:r>
        <w:rPr>
          <w:rFonts w:ascii="Times New Roman;serif" w:hAnsi="Times New Roman;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QUARTERLY REPORT PURSUANT TO SECTION 13 OR 15(d) OF THE SECURITIES EXCHANGE ACT OF 1934</w:t>
            </w:r>
          </w:p>
        </w:tc>
      </w:tr>
    </w:tbl>
    <w:p>
      <w:pPr>
        <w:pStyle w:val="TextBody"/>
        <w:bidi w:val="0"/>
        <w:spacing w:lineRule="auto" w:line="288" w:before="20" w:after="283"/>
        <w:jc w:val="center"/>
        <w:rPr>
          <w:rFonts w:ascii="Times New Roman;serif" w:hAnsi="Times New Roman;serif"/>
          <w:b/>
          <w:color w:val="000000"/>
          <w:sz w:val="20"/>
        </w:rPr>
      </w:pPr>
      <w:r>
        <w:rPr>
          <w:rFonts w:ascii="Times New Roman;serif" w:hAnsi="Times New Roman;serif"/>
          <w:b/>
          <w:color w:val="000000"/>
          <w:sz w:val="20"/>
        </w:rPr>
        <w:t>For the quarterly period ended June 30, 2026</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TRANSITION REPORT PURSUANT TO SECTION 13 OR 15(d) OF THE SECURITIES EXCHANGE ACT OF 1934</w:t>
            </w:r>
          </w:p>
        </w:tc>
      </w:tr>
    </w:tbl>
    <w:p>
      <w:pPr>
        <w:pStyle w:val="TextBody"/>
        <w:bidi w:val="0"/>
        <w:spacing w:lineRule="auto" w:line="288" w:before="20" w:after="283"/>
        <w:jc w:val="center"/>
        <w:rPr>
          <w:rFonts w:ascii="Times New Roman;serif" w:hAnsi="Times New Roman;serif"/>
          <w:b/>
          <w:color w:val="000000"/>
          <w:sz w:val="20"/>
        </w:rPr>
      </w:pPr>
      <w:r>
        <w:rPr>
          <w:rFonts w:ascii="Times New Roman;serif" w:hAnsi="Times New Roman;serif"/>
          <w:b/>
          <w:color w:val="000000"/>
          <w:sz w:val="20"/>
        </w:rPr>
        <w:t>For the transition period from                to                 </w:t>
      </w:r>
    </w:p>
    <w:p>
      <w:pPr>
        <w:pStyle w:val="TextBody"/>
        <w:bidi w:val="0"/>
        <w:spacing w:lineRule="auto" w:line="288" w:before="120" w:after="283"/>
        <w:jc w:val="center"/>
        <w:rPr/>
      </w:pPr>
      <w:r>
        <w:rPr>
          <w:rFonts w:ascii="Times New Roman;serif" w:hAnsi="Times New Roman;serif"/>
          <w:b/>
          <w:color w:val="000000"/>
          <w:sz w:val="20"/>
        </w:rPr>
        <w:t>Commission File No. 001</w:t>
      </w:r>
      <w:r>
        <w:rPr>
          <w:rFonts w:ascii="Arial;sans-serif" w:hAnsi="Arial;sans-serif"/>
          <w:b w:val="false"/>
          <w:color w:val="000000"/>
          <w:sz w:val="18"/>
        </w:rPr>
        <w:t>-</w:t>
      </w:r>
      <w:r>
        <w:rPr>
          <w:rFonts w:ascii="Times New Roman;serif" w:hAnsi="Times New Roman;serif"/>
          <w:b/>
          <w:color w:val="000000"/>
          <w:sz w:val="20"/>
        </w:rPr>
        <w:t xml:space="preserve">36629 </w:t>
      </w:r>
    </w:p>
    <w:p>
      <w:pPr>
        <w:pStyle w:val="TextBody"/>
        <w:bidi w:val="0"/>
        <w:spacing w:lineRule="auto" w:line="288" w:before="120" w:after="283"/>
        <w:jc w:val="center"/>
        <w:rPr>
          <w:rFonts w:ascii="Times New Roman;serif" w:hAnsi="Times New Roman;serif"/>
          <w:b/>
          <w:color w:val="000000"/>
          <w:sz w:val="48"/>
        </w:rPr>
      </w:pPr>
      <w:r>
        <w:rPr>
          <w:rFonts w:ascii="Times New Roman;serif" w:hAnsi="Times New Roman;serif"/>
          <w:b/>
          <w:color w:val="000000"/>
          <w:sz w:val="48"/>
        </w:rPr>
        <w:t xml:space="preserve">CAESARS ENTERTAINMENT,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3854" w:type="dxa"/>
        <w:jc w:val="left"/>
        <w:tblInd w:w="0" w:type="dxa"/>
        <w:tblLayout w:type="fixed"/>
        <w:tblCellMar>
          <w:top w:w="28" w:type="dxa"/>
          <w:left w:w="28" w:type="dxa"/>
          <w:bottom w:w="28" w:type="dxa"/>
          <w:right w:w="28" w:type="dxa"/>
        </w:tblCellMar>
      </w:tblPr>
      <w:tblGrid>
        <w:gridCol w:w="857"/>
        <w:gridCol w:w="751"/>
        <w:gridCol w:w="762"/>
        <w:gridCol w:w="433"/>
        <w:gridCol w:w="433"/>
        <w:gridCol w:w="618"/>
      </w:tblGrid>
      <w:tr>
        <w:trPr/>
        <w:tc>
          <w:tcPr>
            <w:tcW w:w="857"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46-3657681</w:t>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 or organization)</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bl>
    <w:p>
      <w:pPr>
        <w:pStyle w:val="TextBody"/>
        <w:bidi w:val="0"/>
        <w:spacing w:lineRule="auto" w:line="288" w:before="20" w:after="283"/>
        <w:jc w:val="center"/>
        <w:rPr>
          <w:rFonts w:ascii="Times New Roman;serif" w:hAnsi="Times New Roman;serif"/>
          <w:b/>
          <w:color w:val="000000"/>
          <w:sz w:val="20"/>
        </w:rPr>
      </w:pPr>
      <w:r>
        <w:rPr>
          <w:rFonts w:ascii="Times New Roman;serif" w:hAnsi="Times New Roman;serif"/>
          <w:b/>
          <w:color w:val="000000"/>
          <w:sz w:val="20"/>
        </w:rPr>
        <w:t xml:space="preserve">100 West Liberty Street, 12th Floor, Reno, Nevada 89501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and zip code of principal executive offices)</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(775) 328-0100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N/A</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(Former name, former address and former fiscal year, if changed since last report)</w:t>
      </w:r>
    </w:p>
    <w:p>
      <w:pPr>
        <w:pStyle w:val="TextBody"/>
        <w:bidi w:val="0"/>
        <w:spacing w:lineRule="auto" w:line="288" w:before="40" w:after="283"/>
        <w:ind w:left="0" w:right="0" w:firstLine="900"/>
        <w:jc w:val="center"/>
        <w:rPr>
          <w:rFonts w:ascii="Times New Roman;serif" w:hAnsi="Times New Roman;serif"/>
          <w:b/>
          <w:color w:val="000000"/>
          <w:sz w:val="18"/>
        </w:rPr>
      </w:pPr>
      <w:r>
        <w:rPr>
          <w:rFonts w:ascii="Times New Roman;serif" w:hAnsi="Times New Roman;serif"/>
          <w:b/>
          <w:color w:val="000000"/>
          <w:sz w:val="18"/>
        </w:rPr>
        <w:t>Securities registered pursuant to Section 12(b) of the Act:</w:t>
      </w:r>
    </w:p>
    <w:tbl>
      <w:tblPr>
        <w:tblW w:w="7722" w:type="dxa"/>
        <w:jc w:val="left"/>
        <w:tblInd w:w="0" w:type="dxa"/>
        <w:tblLayout w:type="fixed"/>
        <w:tblCellMar>
          <w:top w:w="28" w:type="dxa"/>
          <w:left w:w="28" w:type="dxa"/>
          <w:bottom w:w="28" w:type="dxa"/>
          <w:right w:w="28" w:type="dxa"/>
        </w:tblCellMar>
      </w:tblPr>
      <w:tblGrid>
        <w:gridCol w:w="1030"/>
        <w:gridCol w:w="903"/>
        <w:gridCol w:w="916"/>
        <w:gridCol w:w="519"/>
        <w:gridCol w:w="519"/>
        <w:gridCol w:w="521"/>
        <w:gridCol w:w="970"/>
        <w:gridCol w:w="970"/>
        <w:gridCol w:w="1374"/>
      </w:tblGrid>
      <w:tr>
        <w:trPr/>
        <w:tc>
          <w:tcPr>
            <w:tcW w:w="1030"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Title of each class</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Trading Symbol(s)</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Name of each exchange on which registered</w:t>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Common Stock, $0.00001 par value</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CZR</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NASDAQ Stock Market</w:t>
            </w:r>
          </w:p>
        </w:tc>
      </w:tr>
    </w:tbl>
    <w:p>
      <w:pPr>
        <w:pStyle w:val="TextBody"/>
        <w:bidi w:val="0"/>
        <w:spacing w:lineRule="auto" w:line="288" w:before="0" w:after="0"/>
        <w:ind w:left="0" w:right="0" w:firstLine="900"/>
        <w:jc w:val="both"/>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40" w:after="283"/>
        <w:ind w:left="0" w:right="0" w:firstLine="900"/>
        <w:jc w:val="both"/>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40" w:after="283"/>
        <w:ind w:left="0" w:right="0" w:firstLine="90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5661" w:type="dxa"/>
        <w:jc w:val="left"/>
        <w:tblInd w:w="0" w:type="dxa"/>
        <w:tblLayout w:type="fixed"/>
        <w:tblCellMar>
          <w:top w:w="28" w:type="dxa"/>
          <w:left w:w="28" w:type="dxa"/>
          <w:bottom w:w="28" w:type="dxa"/>
          <w:right w:w="28" w:type="dxa"/>
        </w:tblCellMar>
      </w:tblPr>
      <w:tblGrid>
        <w:gridCol w:w="842"/>
        <w:gridCol w:w="740"/>
        <w:gridCol w:w="743"/>
        <w:gridCol w:w="109"/>
        <w:gridCol w:w="109"/>
        <w:gridCol w:w="109"/>
        <w:gridCol w:w="109"/>
        <w:gridCol w:w="109"/>
        <w:gridCol w:w="109"/>
        <w:gridCol w:w="769"/>
        <w:gridCol w:w="769"/>
        <w:gridCol w:w="772"/>
        <w:gridCol w:w="109"/>
        <w:gridCol w:w="109"/>
        <w:gridCol w:w="154"/>
      </w:tblGrid>
      <w:tr>
        <w:trPr/>
        <w:tc>
          <w:tcPr>
            <w:tcW w:w="84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w:t>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w:t>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900"/>
        <w:jc w:val="both"/>
        <w:rPr/>
      </w:pPr>
      <w:r>
        <w:rPr>
          <w:rFonts w:ascii="Times New Roman;serif" w:hAnsi="Times New Roman;serif"/>
          <w:b w:val="false"/>
          <w:color w:val="000000"/>
          <w:sz w:val="18"/>
        </w:rPr>
        <w:t>If</w:t>
      </w:r>
      <w:r>
        <w:rPr>
          <w:color w:val="000000"/>
        </w:rPr>
        <w:t xml:space="preserve"> </w:t>
      </w:r>
      <w:r>
        <w:rPr>
          <w:rFonts w:ascii="Times New Roman;serif" w:hAnsi="Times New Roman;serif"/>
          <w:b w:val="false"/>
          <w:color w:val="000000"/>
          <w:sz w:val="20"/>
        </w:rPr>
        <w:t>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40" w:after="283"/>
        <w:ind w:left="0" w:right="0" w:firstLine="900"/>
        <w:jc w:val="both"/>
        <w:rPr/>
      </w:pPr>
      <w:r>
        <w:rPr>
          <w:rFonts w:ascii="Times New Roman;serif" w:hAnsi="Times New Roman;serif"/>
          <w:b w:val="false"/>
          <w:color w:val="000000"/>
          <w:sz w:val="20"/>
        </w:rPr>
        <w:t>Indicate by check mark whether the registrant is a shell company (as defined in Rule 12b-2 of the Exchange Act).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40" w:after="283"/>
        <w:ind w:left="0" w:right="0" w:firstLine="900"/>
        <w:jc w:val="both"/>
        <w:rPr/>
      </w:pPr>
      <w:r>
        <w:rPr>
          <w:rFonts w:ascii="Times New Roman;serif" w:hAnsi="Times New Roman;serif"/>
          <w:b w:val="false"/>
          <w:color w:val="000000"/>
          <w:sz w:val="18"/>
        </w:rPr>
        <w:t>The</w:t>
      </w:r>
      <w:r>
        <w:rPr>
          <w:color w:val="000000"/>
        </w:rPr>
        <w:t xml:space="preserve"> </w:t>
      </w:r>
      <w:r>
        <w:rPr>
          <w:rFonts w:ascii="Times New Roman;serif" w:hAnsi="Times New Roman;serif"/>
          <w:b w:val="false"/>
          <w:color w:val="000000"/>
          <w:sz w:val="20"/>
        </w:rPr>
        <w:t>number of shares of the Registrant’s Common Stock, $0.00001 par value per share, outstanding as of July 23, 2026 was 203,720,372.</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CAESARS ENTERTAINMENT,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9609" w:type="dxa"/>
        <w:jc w:val="left"/>
        <w:tblInd w:w="0" w:type="dxa"/>
        <w:tblLayout w:type="fixed"/>
        <w:tblCellMar>
          <w:top w:w="28" w:type="dxa"/>
          <w:left w:w="28" w:type="dxa"/>
          <w:bottom w:w="28" w:type="dxa"/>
          <w:right w:w="28" w:type="dxa"/>
        </w:tblCellMar>
      </w:tblPr>
      <w:tblGrid>
        <w:gridCol w:w="630"/>
        <w:gridCol w:w="552"/>
        <w:gridCol w:w="552"/>
        <w:gridCol w:w="2438"/>
        <w:gridCol w:w="2438"/>
        <w:gridCol w:w="2488"/>
        <w:gridCol w:w="149"/>
        <w:gridCol w:w="149"/>
        <w:gridCol w:w="213"/>
      </w:tblGrid>
      <w:tr>
        <w:trPr/>
        <w:tc>
          <w:tcPr>
            <w:tcW w:w="630"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2438" w:type="dxa"/>
            <w:tcBorders/>
            <w:vAlign w:val="center"/>
          </w:tcPr>
          <w:p>
            <w:pPr>
              <w:pStyle w:val="TableContents"/>
              <w:bidi w:val="0"/>
              <w:spacing w:before="0" w:after="283"/>
              <w:jc w:val="left"/>
              <w:rPr>
                <w:sz w:val="4"/>
                <w:szCs w:val="4"/>
              </w:rPr>
            </w:pPr>
            <w:r>
              <w:rPr>
                <w:sz w:val="4"/>
                <w:szCs w:val="4"/>
              </w:rPr>
            </w:r>
          </w:p>
        </w:tc>
        <w:tc>
          <w:tcPr>
            <w:tcW w:w="2438" w:type="dxa"/>
            <w:tcBorders/>
            <w:vAlign w:val="center"/>
          </w:tcPr>
          <w:p>
            <w:pPr>
              <w:pStyle w:val="TableContents"/>
              <w:bidi w:val="0"/>
              <w:spacing w:before="0" w:after="283"/>
              <w:jc w:val="left"/>
              <w:rPr>
                <w:sz w:val="4"/>
                <w:szCs w:val="4"/>
              </w:rPr>
            </w:pPr>
            <w:r>
              <w:rPr>
                <w:sz w:val="4"/>
                <w:szCs w:val="4"/>
              </w:rPr>
            </w:r>
          </w:p>
        </w:tc>
        <w:tc>
          <w:tcPr>
            <w:tcW w:w="248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909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Page</w:t>
            </w:r>
          </w:p>
        </w:tc>
      </w:tr>
      <w:tr>
        <w:trPr/>
        <w:tc>
          <w:tcPr>
            <w:tcW w:w="9098" w:type="dxa"/>
            <w:gridSpan w:val="6"/>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25bc4ccd358f439aa099948f0102ebf8_13">
              <w:r>
                <w:rPr>
                  <w:rStyle w:val="InternetLink"/>
                  <w:rFonts w:ascii="Times New Roman;serif" w:hAnsi="Times New Roman;serif"/>
                  <w:b/>
                  <w:color w:val="0000FF"/>
                  <w:sz w:val="20"/>
                  <w:u w:val="single"/>
                </w:rPr>
                <w:t>PART I. FINANCIAL INFORMATION</w:t>
              </w:r>
            </w:hyperlink>
          </w:p>
        </w:tc>
        <w:tc>
          <w:tcPr>
            <w:tcW w:w="5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pPr>
            <w:hyperlink w:anchor="i25bc4ccd358f439aa099948f0102ebf8_13">
              <w:r>
                <w:rPr>
                  <w:rStyle w:val="InternetLink"/>
                  <w:rFonts w:ascii="Times New Roman;serif" w:hAnsi="Times New Roman;serif"/>
                  <w:b w:val="false"/>
                  <w:strike w:val="false"/>
                  <w:dstrike w:val="false"/>
                  <w:color w:val="0000FF"/>
                  <w:sz w:val="20"/>
                  <w:u w:val="none"/>
                  <w:effect w:val="none"/>
                </w:rPr>
                <w:t>2</w:t>
              </w:r>
            </w:hyperlink>
          </w:p>
        </w:tc>
      </w:tr>
      <w:tr>
        <w:trPr/>
        <w:tc>
          <w:tcPr>
            <w:tcW w:w="17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25bc4ccd358f439aa099948f0102ebf8_13">
              <w:r>
                <w:rPr>
                  <w:rStyle w:val="InternetLink"/>
                  <w:rFonts w:ascii="Times New Roman;serif" w:hAnsi="Times New Roman;serif"/>
                  <w:b w:val="false"/>
                  <w:strike w:val="false"/>
                  <w:dstrike w:val="false"/>
                  <w:color w:val="0000FF"/>
                  <w:sz w:val="20"/>
                  <w:u w:val="none"/>
                  <w:effect w:val="none"/>
                </w:rPr>
                <w:t>Item 1.</w:t>
              </w:r>
            </w:hyperlink>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25bc4ccd358f439aa099948f0102ebf8_13">
              <w:r>
                <w:rPr>
                  <w:rStyle w:val="InternetLink"/>
                  <w:rFonts w:ascii="Times New Roman;serif" w:hAnsi="Times New Roman;serif"/>
                  <w:b w:val="false"/>
                  <w:color w:val="0000FF"/>
                  <w:sz w:val="20"/>
                  <w:u w:val="single"/>
                </w:rPr>
                <w:t>Unaudited Financial Statements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25bc4ccd358f439aa099948f0102ebf8_13">
              <w:r>
                <w:rPr>
                  <w:rStyle w:val="InternetLink"/>
                  <w:rFonts w:ascii="Times New Roman;serif" w:hAnsi="Times New Roman;serif"/>
                  <w:b w:val="false"/>
                  <w:strike w:val="false"/>
                  <w:dstrike w:val="false"/>
                  <w:color w:val="0000FF"/>
                  <w:sz w:val="20"/>
                  <w:u w:val="none"/>
                  <w:effect w:val="none"/>
                </w:rPr>
                <w:t>2</w:t>
              </w:r>
            </w:hyperlink>
          </w:p>
        </w:tc>
      </w:tr>
      <w:tr>
        <w:trPr/>
        <w:tc>
          <w:tcPr>
            <w:tcW w:w="1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25bc4ccd358f439aa099948f0102ebf8_16">
              <w:r>
                <w:rPr>
                  <w:rStyle w:val="InternetLink"/>
                  <w:rFonts w:ascii="Times New Roman;serif" w:hAnsi="Times New Roman;serif"/>
                  <w:b w:val="false"/>
                  <w:color w:val="0000FF"/>
                  <w:sz w:val="20"/>
                  <w:u w:val="single"/>
                </w:rPr>
                <w:t>Consolidated Condensed Balance Sheets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25bc4ccd358f439aa099948f0102ebf8_16">
              <w:r>
                <w:rPr>
                  <w:rStyle w:val="InternetLink"/>
                  <w:rFonts w:ascii="Times New Roman;serif" w:hAnsi="Times New Roman;serif"/>
                  <w:b w:val="false"/>
                  <w:strike w:val="false"/>
                  <w:dstrike w:val="false"/>
                  <w:color w:val="0000FF"/>
                  <w:sz w:val="20"/>
                  <w:u w:val="none"/>
                  <w:effect w:val="none"/>
                </w:rPr>
                <w:t>2</w:t>
              </w:r>
            </w:hyperlink>
          </w:p>
        </w:tc>
      </w:tr>
      <w:tr>
        <w:trPr/>
        <w:tc>
          <w:tcPr>
            <w:tcW w:w="1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25bc4ccd358f439aa099948f0102ebf8_19">
              <w:r>
                <w:rPr>
                  <w:rStyle w:val="InternetLink"/>
                  <w:rFonts w:ascii="Times New Roman;serif" w:hAnsi="Times New Roman;serif"/>
                  <w:b w:val="false"/>
                  <w:color w:val="0000FF"/>
                  <w:sz w:val="20"/>
                  <w:u w:val="single"/>
                </w:rPr>
                <w:t>Consolidated Condensed Statements of Operations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25bc4ccd358f439aa099948f0102ebf8_19">
              <w:r>
                <w:rPr>
                  <w:rStyle w:val="InternetLink"/>
                  <w:rFonts w:ascii="Times New Roman;serif" w:hAnsi="Times New Roman;serif"/>
                  <w:b w:val="false"/>
                  <w:strike w:val="false"/>
                  <w:dstrike w:val="false"/>
                  <w:color w:val="0000FF"/>
                  <w:sz w:val="20"/>
                  <w:u w:val="none"/>
                  <w:effect w:val="none"/>
                </w:rPr>
                <w:t>3</w:t>
              </w:r>
            </w:hyperlink>
          </w:p>
        </w:tc>
      </w:tr>
      <w:tr>
        <w:trPr/>
        <w:tc>
          <w:tcPr>
            <w:tcW w:w="1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25bc4ccd358f439aa099948f0102ebf8_22">
              <w:r>
                <w:rPr>
                  <w:rStyle w:val="InternetLink"/>
                  <w:rFonts w:ascii="Times New Roman;serif" w:hAnsi="Times New Roman;serif"/>
                  <w:b w:val="false"/>
                  <w:color w:val="0000FF"/>
                  <w:sz w:val="20"/>
                  <w:u w:val="single"/>
                </w:rPr>
                <w:t>Consolidated Condensed Statements of Comprehensive Income (Loss)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25bc4ccd358f439aa099948f0102ebf8_22">
              <w:r>
                <w:rPr>
                  <w:rStyle w:val="InternetLink"/>
                  <w:rFonts w:ascii="Times New Roman;serif" w:hAnsi="Times New Roman;serif"/>
                  <w:b w:val="false"/>
                  <w:strike w:val="false"/>
                  <w:dstrike w:val="false"/>
                  <w:color w:val="0000FF"/>
                  <w:sz w:val="20"/>
                  <w:u w:val="none"/>
                  <w:effect w:val="none"/>
                </w:rPr>
                <w:t>4</w:t>
              </w:r>
            </w:hyperlink>
          </w:p>
        </w:tc>
      </w:tr>
      <w:tr>
        <w:trPr/>
        <w:tc>
          <w:tcPr>
            <w:tcW w:w="1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25bc4ccd358f439aa099948f0102ebf8_25">
              <w:r>
                <w:rPr>
                  <w:rStyle w:val="InternetLink"/>
                  <w:rFonts w:ascii="Times New Roman;serif" w:hAnsi="Times New Roman;serif"/>
                  <w:b w:val="false"/>
                  <w:color w:val="0000FF"/>
                  <w:sz w:val="20"/>
                  <w:u w:val="single"/>
                </w:rPr>
                <w:t>Consolidated Condensed Statements of Stockholders’ Equity</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25bc4ccd358f439aa099948f0102ebf8_25">
              <w:r>
                <w:rPr>
                  <w:rStyle w:val="InternetLink"/>
                  <w:rFonts w:ascii="Times New Roman;serif" w:hAnsi="Times New Roman;serif"/>
                  <w:b w:val="false"/>
                  <w:strike w:val="false"/>
                  <w:dstrike w:val="false"/>
                  <w:color w:val="0000FF"/>
                  <w:sz w:val="20"/>
                  <w:u w:val="none"/>
                  <w:effect w:val="none"/>
                </w:rPr>
                <w:t>5</w:t>
              </w:r>
            </w:hyperlink>
          </w:p>
        </w:tc>
      </w:tr>
      <w:tr>
        <w:trPr/>
        <w:tc>
          <w:tcPr>
            <w:tcW w:w="1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25bc4ccd358f439aa099948f0102ebf8_28">
              <w:r>
                <w:rPr>
                  <w:rStyle w:val="InternetLink"/>
                  <w:rFonts w:ascii="Times New Roman;serif" w:hAnsi="Times New Roman;serif"/>
                  <w:b w:val="false"/>
                  <w:color w:val="0000FF"/>
                  <w:sz w:val="20"/>
                  <w:u w:val="single"/>
                </w:rPr>
                <w:t>Consolidated Condensed Statements of Cash Flows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25bc4ccd358f439aa099948f0102ebf8_28">
              <w:r>
                <w:rPr>
                  <w:rStyle w:val="InternetLink"/>
                  <w:rFonts w:ascii="Times New Roman;serif" w:hAnsi="Times New Roman;serif"/>
                  <w:b w:val="false"/>
                  <w:strike w:val="false"/>
                  <w:dstrike w:val="false"/>
                  <w:color w:val="0000FF"/>
                  <w:sz w:val="20"/>
                  <w:u w:val="none"/>
                  <w:effect w:val="none"/>
                </w:rPr>
                <w:t>7</w:t>
              </w:r>
            </w:hyperlink>
          </w:p>
        </w:tc>
      </w:tr>
      <w:tr>
        <w:trPr/>
        <w:tc>
          <w:tcPr>
            <w:tcW w:w="1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25bc4ccd358f439aa099948f0102ebf8_34">
              <w:r>
                <w:rPr>
                  <w:rStyle w:val="InternetLink"/>
                  <w:rFonts w:ascii="Times New Roman;serif" w:hAnsi="Times New Roman;serif"/>
                  <w:b w:val="false"/>
                  <w:color w:val="0000FF"/>
                  <w:sz w:val="20"/>
                  <w:u w:val="single"/>
                </w:rPr>
                <w:t>Notes to Consolidated Condensed Financial Statements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25bc4ccd358f439aa099948f0102ebf8_34">
              <w:r>
                <w:rPr>
                  <w:rStyle w:val="InternetLink"/>
                  <w:rFonts w:ascii="Times New Roman;serif" w:hAnsi="Times New Roman;serif"/>
                  <w:b w:val="false"/>
                  <w:strike w:val="false"/>
                  <w:dstrike w:val="false"/>
                  <w:color w:val="0000FF"/>
                  <w:sz w:val="20"/>
                  <w:u w:val="none"/>
                  <w:effect w:val="none"/>
                </w:rPr>
                <w:t>9</w:t>
              </w:r>
            </w:hyperlink>
          </w:p>
        </w:tc>
      </w:tr>
      <w:tr>
        <w:trPr/>
        <w:tc>
          <w:tcPr>
            <w:tcW w:w="17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25bc4ccd358f439aa099948f0102ebf8_85">
              <w:r>
                <w:rPr>
                  <w:rStyle w:val="InternetLink"/>
                  <w:rFonts w:ascii="Times New Roman;serif" w:hAnsi="Times New Roman;serif"/>
                  <w:b w:val="false"/>
                  <w:strike w:val="false"/>
                  <w:dstrike w:val="false"/>
                  <w:color w:val="0000FF"/>
                  <w:sz w:val="20"/>
                  <w:u w:val="none"/>
                  <w:effect w:val="none"/>
                </w:rPr>
                <w:t>Item 2.</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5bc4ccd358f439aa099948f0102ebf8_85">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25bc4ccd358f439aa099948f0102ebf8_85">
              <w:r>
                <w:rPr>
                  <w:rStyle w:val="InternetLink"/>
                  <w:rFonts w:ascii="Times New Roman;serif" w:hAnsi="Times New Roman;serif"/>
                  <w:b w:val="false"/>
                  <w:strike w:val="false"/>
                  <w:dstrike w:val="false"/>
                  <w:color w:val="0000FF"/>
                  <w:sz w:val="20"/>
                  <w:u w:val="none"/>
                  <w:effect w:val="none"/>
                </w:rPr>
                <w:t>29</w:t>
              </w:r>
            </w:hyperlink>
          </w:p>
        </w:tc>
      </w:tr>
      <w:tr>
        <w:trPr/>
        <w:tc>
          <w:tcPr>
            <w:tcW w:w="17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25bc4ccd358f439aa099948f0102ebf8_121">
              <w:r>
                <w:rPr>
                  <w:rStyle w:val="InternetLink"/>
                  <w:rFonts w:ascii="Times New Roman;serif" w:hAnsi="Times New Roman;serif"/>
                  <w:b w:val="false"/>
                  <w:strike w:val="false"/>
                  <w:dstrike w:val="false"/>
                  <w:color w:val="0000FF"/>
                  <w:sz w:val="20"/>
                  <w:u w:val="none"/>
                  <w:effect w:val="none"/>
                </w:rPr>
                <w:t>Item 3.</w:t>
              </w:r>
            </w:hyperlink>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5bc4ccd358f439aa099948f0102ebf8_121">
              <w:r>
                <w:rPr>
                  <w:rStyle w:val="InternetLink"/>
                  <w:rFonts w:ascii="Times New Roman;serif" w:hAnsi="Times New Roman;serif"/>
                  <w:b w:val="false"/>
                  <w:color w:val="0000FF"/>
                  <w:sz w:val="20"/>
                  <w:u w:val="single"/>
                </w:rPr>
                <w:t>Quantitative and Qualitative Disclosures About Market Risk</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25bc4ccd358f439aa099948f0102ebf8_121">
              <w:r>
                <w:rPr>
                  <w:rStyle w:val="InternetLink"/>
                  <w:rFonts w:ascii="Times New Roman;serif" w:hAnsi="Times New Roman;serif"/>
                  <w:b w:val="false"/>
                  <w:strike w:val="false"/>
                  <w:dstrike w:val="false"/>
                  <w:color w:val="0000FF"/>
                  <w:sz w:val="20"/>
                  <w:u w:val="none"/>
                  <w:effect w:val="none"/>
                </w:rPr>
                <w:t>41</w:t>
              </w:r>
            </w:hyperlink>
          </w:p>
        </w:tc>
      </w:tr>
      <w:tr>
        <w:trPr/>
        <w:tc>
          <w:tcPr>
            <w:tcW w:w="17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25bc4ccd358f439aa099948f0102ebf8_124">
              <w:r>
                <w:rPr>
                  <w:rStyle w:val="InternetLink"/>
                  <w:rFonts w:ascii="Times New Roman;serif" w:hAnsi="Times New Roman;serif"/>
                  <w:b w:val="false"/>
                  <w:strike w:val="false"/>
                  <w:dstrike w:val="false"/>
                  <w:color w:val="0000FF"/>
                  <w:sz w:val="20"/>
                  <w:u w:val="none"/>
                  <w:effect w:val="none"/>
                </w:rPr>
                <w:t>Item 4.</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25bc4ccd358f439aa099948f0102ebf8_124">
              <w:r>
                <w:rPr>
                  <w:rStyle w:val="InternetLink"/>
                  <w:rFonts w:ascii="Times New Roman;serif" w:hAnsi="Times New Roman;serif"/>
                  <w:b w:val="false"/>
                  <w:color w:val="0000FF"/>
                  <w:sz w:val="20"/>
                  <w:u w:val="single"/>
                </w:rPr>
                <w:t>Controls and Procedures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25bc4ccd358f439aa099948f0102ebf8_124">
              <w:r>
                <w:rPr>
                  <w:rStyle w:val="InternetLink"/>
                  <w:rFonts w:ascii="Times New Roman;serif" w:hAnsi="Times New Roman;serif"/>
                  <w:b w:val="false"/>
                  <w:strike w:val="false"/>
                  <w:dstrike w:val="false"/>
                  <w:color w:val="0000FF"/>
                  <w:sz w:val="20"/>
                  <w:u w:val="none"/>
                  <w:effect w:val="none"/>
                </w:rPr>
                <w:t>42</w:t>
              </w:r>
            </w:hyperlink>
          </w:p>
        </w:tc>
      </w:tr>
      <w:tr>
        <w:trPr/>
        <w:tc>
          <w:tcPr>
            <w:tcW w:w="1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98" w:type="dxa"/>
            <w:gridSpan w:val="6"/>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25bc4ccd358f439aa099948f0102ebf8_127">
              <w:r>
                <w:rPr>
                  <w:rStyle w:val="InternetLink"/>
                  <w:rFonts w:ascii="Times New Roman;serif" w:hAnsi="Times New Roman;serif"/>
                  <w:b/>
                  <w:color w:val="0000FF"/>
                  <w:sz w:val="20"/>
                  <w:u w:val="single"/>
                </w:rPr>
                <w:t>PART II. OTHER INFORMATION</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25bc4ccd358f439aa099948f0102ebf8_127">
              <w:r>
                <w:rPr>
                  <w:rStyle w:val="InternetLink"/>
                  <w:rFonts w:ascii="Times New Roman;serif" w:hAnsi="Times New Roman;serif"/>
                  <w:b w:val="false"/>
                  <w:strike w:val="false"/>
                  <w:dstrike w:val="false"/>
                  <w:color w:val="0000FF"/>
                  <w:sz w:val="20"/>
                  <w:u w:val="none"/>
                  <w:effect w:val="none"/>
                </w:rPr>
                <w:t>43</w:t>
              </w:r>
            </w:hyperlink>
          </w:p>
        </w:tc>
      </w:tr>
      <w:tr>
        <w:trPr/>
        <w:tc>
          <w:tcPr>
            <w:tcW w:w="17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25bc4ccd358f439aa099948f0102ebf8_130">
              <w:r>
                <w:rPr>
                  <w:rStyle w:val="InternetLink"/>
                  <w:rFonts w:ascii="Times New Roman;serif" w:hAnsi="Times New Roman;serif"/>
                  <w:b w:val="false"/>
                  <w:strike w:val="false"/>
                  <w:dstrike w:val="false"/>
                  <w:color w:val="0000FF"/>
                  <w:sz w:val="20"/>
                  <w:u w:val="none"/>
                  <w:effect w:val="none"/>
                </w:rPr>
                <w:t>Item 1.</w:t>
              </w:r>
            </w:hyperlink>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25bc4ccd358f439aa099948f0102ebf8_130">
              <w:r>
                <w:rPr>
                  <w:rStyle w:val="InternetLink"/>
                  <w:rFonts w:ascii="Times New Roman;serif" w:hAnsi="Times New Roman;serif"/>
                  <w:b w:val="false"/>
                  <w:color w:val="0000FF"/>
                  <w:sz w:val="20"/>
                  <w:u w:val="single"/>
                </w:rPr>
                <w:t>Legal Proceedings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25bc4ccd358f439aa099948f0102ebf8_130">
              <w:r>
                <w:rPr>
                  <w:rStyle w:val="InternetLink"/>
                  <w:rFonts w:ascii="Times New Roman;serif" w:hAnsi="Times New Roman;serif"/>
                  <w:b w:val="false"/>
                  <w:strike w:val="false"/>
                  <w:dstrike w:val="false"/>
                  <w:color w:val="0000FF"/>
                  <w:sz w:val="20"/>
                  <w:u w:val="none"/>
                  <w:effect w:val="none"/>
                </w:rPr>
                <w:t>43</w:t>
              </w:r>
            </w:hyperlink>
          </w:p>
        </w:tc>
      </w:tr>
      <w:tr>
        <w:trPr/>
        <w:tc>
          <w:tcPr>
            <w:tcW w:w="17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25bc4ccd358f439aa099948f0102ebf8_136">
              <w:r>
                <w:rPr>
                  <w:rStyle w:val="InternetLink"/>
                  <w:rFonts w:ascii="Times New Roman;serif" w:hAnsi="Times New Roman;serif"/>
                  <w:b w:val="false"/>
                  <w:strike w:val="false"/>
                  <w:dstrike w:val="false"/>
                  <w:color w:val="0000FF"/>
                  <w:sz w:val="20"/>
                  <w:u w:val="none"/>
                  <w:effect w:val="none"/>
                </w:rPr>
                <w:t>Item 1A.</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25bc4ccd358f439aa099948f0102ebf8_136">
              <w:r>
                <w:rPr>
                  <w:rStyle w:val="InternetLink"/>
                  <w:rFonts w:ascii="Times New Roman;serif" w:hAnsi="Times New Roman;serif"/>
                  <w:b w:val="false"/>
                  <w:color w:val="0000FF"/>
                  <w:sz w:val="20"/>
                  <w:u w:val="single"/>
                </w:rPr>
                <w:t>Risk Factors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25bc4ccd358f439aa099948f0102ebf8_136">
              <w:r>
                <w:rPr>
                  <w:rStyle w:val="InternetLink"/>
                  <w:rFonts w:ascii="Times New Roman;serif" w:hAnsi="Times New Roman;serif"/>
                  <w:b w:val="false"/>
                  <w:strike w:val="false"/>
                  <w:dstrike w:val="false"/>
                  <w:color w:val="0000FF"/>
                  <w:sz w:val="20"/>
                  <w:u w:val="none"/>
                  <w:effect w:val="none"/>
                </w:rPr>
                <w:t>45</w:t>
              </w:r>
            </w:hyperlink>
          </w:p>
        </w:tc>
      </w:tr>
      <w:tr>
        <w:trPr/>
        <w:tc>
          <w:tcPr>
            <w:tcW w:w="17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25bc4ccd358f439aa099948f0102ebf8_139">
              <w:r>
                <w:rPr>
                  <w:rStyle w:val="InternetLink"/>
                  <w:rFonts w:ascii="Times New Roman;serif" w:hAnsi="Times New Roman;serif"/>
                  <w:b w:val="false"/>
                  <w:strike w:val="false"/>
                  <w:dstrike w:val="false"/>
                  <w:color w:val="0000FF"/>
                  <w:sz w:val="20"/>
                  <w:u w:val="none"/>
                  <w:effect w:val="none"/>
                </w:rPr>
                <w:t>Item 2.</w:t>
              </w:r>
            </w:hyperlink>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25bc4ccd358f439aa099948f0102ebf8_139">
              <w:r>
                <w:rPr>
                  <w:rStyle w:val="InternetLink"/>
                  <w:rFonts w:ascii="Times New Roman;serif" w:hAnsi="Times New Roman;serif"/>
                  <w:b w:val="false"/>
                  <w:color w:val="0000FF"/>
                  <w:sz w:val="20"/>
                  <w:u w:val="single"/>
                </w:rPr>
                <w:t>Unregistered Sales of Equity Securities and Use of Proceeds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25bc4ccd358f439aa099948f0102ebf8_139">
              <w:r>
                <w:rPr>
                  <w:rStyle w:val="InternetLink"/>
                  <w:rFonts w:ascii="Times New Roman;serif" w:hAnsi="Times New Roman;serif"/>
                  <w:b w:val="false"/>
                  <w:strike w:val="false"/>
                  <w:dstrike w:val="false"/>
                  <w:color w:val="0000FF"/>
                  <w:sz w:val="20"/>
                  <w:u w:val="none"/>
                  <w:effect w:val="none"/>
                </w:rPr>
                <w:t>48</w:t>
              </w:r>
            </w:hyperlink>
          </w:p>
        </w:tc>
      </w:tr>
      <w:tr>
        <w:trPr/>
        <w:tc>
          <w:tcPr>
            <w:tcW w:w="17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25bc4ccd358f439aa099948f0102ebf8_145">
              <w:r>
                <w:rPr>
                  <w:rStyle w:val="InternetLink"/>
                  <w:rFonts w:ascii="Times New Roman;serif" w:hAnsi="Times New Roman;serif"/>
                  <w:b w:val="false"/>
                  <w:strike w:val="false"/>
                  <w:dstrike w:val="false"/>
                  <w:color w:val="0000FF"/>
                  <w:sz w:val="20"/>
                  <w:u w:val="none"/>
                  <w:effect w:val="none"/>
                </w:rPr>
                <w:t>Item 3.</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25bc4ccd358f439aa099948f0102ebf8_145">
              <w:r>
                <w:rPr>
                  <w:rStyle w:val="InternetLink"/>
                  <w:rFonts w:ascii="Times New Roman;serif" w:hAnsi="Times New Roman;serif"/>
                  <w:b w:val="false"/>
                  <w:color w:val="0000FF"/>
                  <w:sz w:val="20"/>
                  <w:u w:val="single"/>
                </w:rPr>
                <w:t>Defaults Upon Senior Securities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25bc4ccd358f439aa099948f0102ebf8_145">
              <w:r>
                <w:rPr>
                  <w:rStyle w:val="InternetLink"/>
                  <w:rFonts w:ascii="Times New Roman;serif" w:hAnsi="Times New Roman;serif"/>
                  <w:b w:val="false"/>
                  <w:strike w:val="false"/>
                  <w:dstrike w:val="false"/>
                  <w:color w:val="0000FF"/>
                  <w:sz w:val="20"/>
                  <w:u w:val="none"/>
                  <w:effect w:val="none"/>
                </w:rPr>
                <w:t>48</w:t>
              </w:r>
            </w:hyperlink>
          </w:p>
        </w:tc>
      </w:tr>
      <w:tr>
        <w:trPr/>
        <w:tc>
          <w:tcPr>
            <w:tcW w:w="17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25bc4ccd358f439aa099948f0102ebf8_148">
              <w:r>
                <w:rPr>
                  <w:rStyle w:val="InternetLink"/>
                  <w:rFonts w:ascii="Times New Roman;serif" w:hAnsi="Times New Roman;serif"/>
                  <w:b w:val="false"/>
                  <w:strike w:val="false"/>
                  <w:dstrike w:val="false"/>
                  <w:color w:val="0000FF"/>
                  <w:sz w:val="20"/>
                  <w:u w:val="none"/>
                  <w:effect w:val="none"/>
                </w:rPr>
                <w:t>Item 4.</w:t>
              </w:r>
            </w:hyperlink>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25bc4ccd358f439aa099948f0102ebf8_148">
              <w:r>
                <w:rPr>
                  <w:rStyle w:val="InternetLink"/>
                  <w:rFonts w:ascii="Times New Roman;serif" w:hAnsi="Times New Roman;serif"/>
                  <w:b w:val="false"/>
                  <w:color w:val="0000FF"/>
                  <w:sz w:val="20"/>
                  <w:u w:val="single"/>
                </w:rPr>
                <w:t>Mine Safety Disclosures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25bc4ccd358f439aa099948f0102ebf8_148">
              <w:r>
                <w:rPr>
                  <w:rStyle w:val="InternetLink"/>
                  <w:rFonts w:ascii="Times New Roman;serif" w:hAnsi="Times New Roman;serif"/>
                  <w:b w:val="false"/>
                  <w:strike w:val="false"/>
                  <w:dstrike w:val="false"/>
                  <w:color w:val="0000FF"/>
                  <w:sz w:val="20"/>
                  <w:u w:val="none"/>
                  <w:effect w:val="none"/>
                </w:rPr>
                <w:t>48</w:t>
              </w:r>
            </w:hyperlink>
          </w:p>
        </w:tc>
      </w:tr>
      <w:tr>
        <w:trPr/>
        <w:tc>
          <w:tcPr>
            <w:tcW w:w="17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25bc4ccd358f439aa099948f0102ebf8_151">
              <w:r>
                <w:rPr>
                  <w:rStyle w:val="InternetLink"/>
                  <w:rFonts w:ascii="Times New Roman;serif" w:hAnsi="Times New Roman;serif"/>
                  <w:b w:val="false"/>
                  <w:strike w:val="false"/>
                  <w:dstrike w:val="false"/>
                  <w:color w:val="0000FF"/>
                  <w:sz w:val="20"/>
                  <w:u w:val="none"/>
                  <w:effect w:val="none"/>
                </w:rPr>
                <w:t>Item 5.</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25bc4ccd358f439aa099948f0102ebf8_151">
              <w:r>
                <w:rPr>
                  <w:rStyle w:val="InternetLink"/>
                  <w:rFonts w:ascii="Times New Roman;serif" w:hAnsi="Times New Roman;serif"/>
                  <w:b w:val="false"/>
                  <w:color w:val="0000FF"/>
                  <w:sz w:val="20"/>
                  <w:u w:val="single"/>
                </w:rPr>
                <w:t>Other Information</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25bc4ccd358f439aa099948f0102ebf8_151">
              <w:r>
                <w:rPr>
                  <w:rStyle w:val="InternetLink"/>
                  <w:rFonts w:ascii="Times New Roman;serif" w:hAnsi="Times New Roman;serif"/>
                  <w:b w:val="false"/>
                  <w:strike w:val="false"/>
                  <w:dstrike w:val="false"/>
                  <w:color w:val="0000FF"/>
                  <w:sz w:val="20"/>
                  <w:u w:val="none"/>
                  <w:effect w:val="none"/>
                </w:rPr>
                <w:t>48</w:t>
              </w:r>
            </w:hyperlink>
          </w:p>
        </w:tc>
      </w:tr>
      <w:tr>
        <w:trPr/>
        <w:tc>
          <w:tcPr>
            <w:tcW w:w="17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5bc4ccd358f439aa099948f0102ebf8_157">
              <w:r>
                <w:rPr>
                  <w:rStyle w:val="InternetLink"/>
                  <w:rFonts w:ascii="Times New Roman;serif" w:hAnsi="Times New Roman;serif"/>
                  <w:b w:val="false"/>
                  <w:strike w:val="false"/>
                  <w:dstrike w:val="false"/>
                  <w:color w:val="0000FF"/>
                  <w:sz w:val="20"/>
                  <w:u w:val="none"/>
                  <w:effect w:val="none"/>
                </w:rPr>
                <w:t>Item 6.</w:t>
              </w:r>
            </w:hyperlink>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5bc4ccd358f439aa099948f0102ebf8_157">
              <w:r>
                <w:rPr>
                  <w:rStyle w:val="InternetLink"/>
                  <w:rFonts w:ascii="Times New Roman;serif" w:hAnsi="Times New Roman;serif"/>
                  <w:b w:val="false"/>
                  <w:color w:val="0000FF"/>
                  <w:sz w:val="20"/>
                  <w:u w:val="single"/>
                </w:rPr>
                <w:t>Exhibits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25bc4ccd358f439aa099948f0102ebf8_157">
              <w:r>
                <w:rPr>
                  <w:rStyle w:val="InternetLink"/>
                  <w:rFonts w:ascii="Times New Roman;serif" w:hAnsi="Times New Roman;serif"/>
                  <w:b w:val="false"/>
                  <w:strike w:val="false"/>
                  <w:dstrike w:val="false"/>
                  <w:color w:val="0000FF"/>
                  <w:sz w:val="20"/>
                  <w:u w:val="none"/>
                  <w:effect w:val="none"/>
                </w:rPr>
                <w:t>49</w:t>
              </w:r>
            </w:hyperlink>
          </w:p>
        </w:tc>
      </w:tr>
      <w:tr>
        <w:trPr/>
        <w:tc>
          <w:tcPr>
            <w:tcW w:w="1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98" w:type="dxa"/>
            <w:gridSpan w:val="6"/>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25bc4ccd358f439aa099948f0102ebf8_163">
              <w:r>
                <w:rPr>
                  <w:rStyle w:val="InternetLink"/>
                  <w:rFonts w:ascii="Times New Roman;serif" w:hAnsi="Times New Roman;serif"/>
                  <w:b/>
                  <w:color w:val="0000FF"/>
                  <w:sz w:val="20"/>
                  <w:u w:val="single"/>
                </w:rPr>
                <w:t>Signatures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25bc4ccd358f439aa099948f0102ebf8_163">
              <w:r>
                <w:rPr>
                  <w:rStyle w:val="InternetLink"/>
                  <w:rFonts w:ascii="Times New Roman;serif" w:hAnsi="Times New Roman;serif"/>
                  <w:b w:val="false"/>
                  <w:strike w:val="false"/>
                  <w:dstrike w:val="false"/>
                  <w:color w:val="0000FF"/>
                  <w:sz w:val="20"/>
                  <w:u w:val="none"/>
                  <w:effect w:val="none"/>
                </w:rPr>
                <w:t>50</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lineRule="auto" w:line="288" w:before="180" w:after="283"/>
        <w:jc w:val="center"/>
        <w:rPr>
          <w:rFonts w:ascii="Times New Roman;serif" w:hAnsi="Times New Roman;serif"/>
          <w:b/>
          <w:color w:val="BF2115"/>
          <w:sz w:val="24"/>
        </w:rPr>
      </w:pPr>
      <w:r>
        <w:rPr>
          <w:rFonts w:ascii="Times New Roman;serif" w:hAnsi="Times New Roman;serif"/>
          <w:b/>
          <w:color w:val="BF2115"/>
          <w:sz w:val="24"/>
        </w:rPr>
        <w:t>PART I - FINANCIAL INFORMATION</w:t>
      </w:r>
    </w:p>
    <w:p>
      <w:pPr>
        <w:pStyle w:val="TextBody"/>
        <w:bidi w:val="0"/>
        <w:spacing w:lineRule="auto" w:line="288" w:before="180" w:after="283"/>
        <w:jc w:val="left"/>
        <w:rPr>
          <w:rFonts w:ascii="Times New Roman;serif" w:hAnsi="Times New Roman;serif"/>
          <w:b/>
          <w:color w:val="BF2115"/>
          <w:sz w:val="24"/>
        </w:rPr>
      </w:pPr>
      <w:r>
        <w:rPr>
          <w:rFonts w:ascii="Times New Roman;serif" w:hAnsi="Times New Roman;serif"/>
          <w:b/>
          <w:color w:val="BF2115"/>
          <w:sz w:val="24"/>
        </w:rPr>
        <w:t>Item 1.  Unaudited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CAESARS ENTERTAINMENT,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CONDENSED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7166" w:type="dxa"/>
        <w:jc w:val="left"/>
        <w:tblInd w:w="0" w:type="dxa"/>
        <w:tblLayout w:type="fixed"/>
        <w:tblCellMar>
          <w:top w:w="28" w:type="dxa"/>
          <w:left w:w="28" w:type="dxa"/>
          <w:bottom w:w="28" w:type="dxa"/>
          <w:right w:w="28" w:type="dxa"/>
        </w:tblCellMar>
      </w:tblPr>
      <w:tblGrid>
        <w:gridCol w:w="1485"/>
        <w:gridCol w:w="1303"/>
        <w:gridCol w:w="1307"/>
        <w:gridCol w:w="238"/>
        <w:gridCol w:w="785"/>
        <w:gridCol w:w="132"/>
        <w:gridCol w:w="109"/>
        <w:gridCol w:w="109"/>
        <w:gridCol w:w="109"/>
        <w:gridCol w:w="313"/>
        <w:gridCol w:w="1031"/>
        <w:gridCol w:w="245"/>
      </w:tblGrid>
      <w:tr>
        <w:trPr/>
        <w:tc>
          <w:tcPr>
            <w:tcW w:w="1485"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ASSETS</w:t>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887 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476 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Prepayments and other current assets</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10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1,977 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1,803 </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 in and advances to unconsolidated affiliates</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Property and equipment, net </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14,125 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14,358 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10,441 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10,441 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other than goodwill</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3,985 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asset</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assets, net</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852 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31,742 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31,639 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LIABILITIES AND STOCKHOLDERS’ EQUITY</w:t>
            </w:r>
          </w:p>
        </w:tc>
        <w:tc>
          <w:tcPr>
            <w:tcW w:w="11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interest</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other liabilities</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1,618 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long-term debt</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10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2,322 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2,253 </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financing obligations</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13,157 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13,096 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11,585 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11,670 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liability</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876 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10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28,190 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27,953 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Commitments and contingencies (</w:t>
            </w:r>
            <w:hyperlink w:anchor="i25bc4ccd358f439aa099948f0102ebf8_49">
              <w:r>
                <w:rPr>
                  <w:rStyle w:val="InternetLink"/>
                  <w:rFonts w:ascii="Times New Roman;serif" w:hAnsi="Times New Roman;serif"/>
                  <w:b w:val="false"/>
                  <w:color w:val="0000FF"/>
                  <w:sz w:val="18"/>
                  <w:u w:val="single"/>
                </w:rPr>
                <w:t>Note 5</w:t>
              </w:r>
            </w:hyperlink>
            <w:r>
              <w:rPr>
                <w:rFonts w:ascii="Times New Roman;serif" w:hAnsi="Times New Roman;serif"/>
                <w:b w:val="false"/>
                <w:color w:val="000000"/>
                <w:sz w:val="18"/>
              </w:rPr>
              <w:t>)</w:t>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STOCKHOLDERS’ EQUITY:</w:t>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Caesars stockholders’ equity</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3,504 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interests</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equity</w:t>
            </w:r>
          </w:p>
        </w:tc>
        <w:tc>
          <w:tcPr>
            <w:tcW w:w="10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3,552 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3,686 </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stockholders’ equity</w:t>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31,742 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31,639 </w:t>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04165"/>
                <wp:effectExtent l="0" t="0" r="0" b="0"/>
                <wp:wrapNone/>
                <wp:docPr id="3" name="Frame3"/>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25bc4ccd358f439aa099948f0102ebf8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25bc4ccd358f439aa099948f0102ebf8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180" w:after="283"/>
        <w:jc w:val="left"/>
        <w:rPr/>
      </w:pPr>
      <w:r>
        <w:rPr/>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CAESARS ENTERTAINMENT,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CONDENSED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9663" w:type="dxa"/>
        <w:jc w:val="left"/>
        <w:tblInd w:w="0" w:type="dxa"/>
        <w:tblLayout w:type="fixed"/>
        <w:tblCellMar>
          <w:top w:w="28" w:type="dxa"/>
          <w:left w:w="28" w:type="dxa"/>
          <w:bottom w:w="28" w:type="dxa"/>
          <w:right w:w="28" w:type="dxa"/>
        </w:tblCellMar>
      </w:tblPr>
      <w:tblGrid>
        <w:gridCol w:w="1673"/>
        <w:gridCol w:w="1466"/>
        <w:gridCol w:w="1480"/>
        <w:gridCol w:w="233"/>
        <w:gridCol w:w="663"/>
        <w:gridCol w:w="130"/>
        <w:gridCol w:w="130"/>
        <w:gridCol w:w="130"/>
        <w:gridCol w:w="130"/>
        <w:gridCol w:w="233"/>
        <w:gridCol w:w="663"/>
        <w:gridCol w:w="130"/>
        <w:gridCol w:w="109"/>
        <w:gridCol w:w="109"/>
        <w:gridCol w:w="109"/>
        <w:gridCol w:w="213"/>
        <w:gridCol w:w="605"/>
        <w:gridCol w:w="118"/>
        <w:gridCol w:w="118"/>
        <w:gridCol w:w="118"/>
        <w:gridCol w:w="118"/>
        <w:gridCol w:w="213"/>
        <w:gridCol w:w="605"/>
        <w:gridCol w:w="167"/>
      </w:tblGrid>
      <w:tr>
        <w:trPr/>
        <w:tc>
          <w:tcPr>
            <w:tcW w:w="1673"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148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4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 except per share data)</w:t>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REVENUES:</w:t>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Casino</w:t>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Food and beverage</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Hotel</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revenues</w:t>
            </w:r>
          </w:p>
        </w:tc>
        <w:tc>
          <w:tcPr>
            <w:tcW w:w="8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2,993 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2,907 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5,863 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5,701 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Casino</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Food and beverage</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Hotel</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Transaction and other costs, net</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8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2,480 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2,381 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4,850 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4,687 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w:t>
            </w:r>
          </w:p>
        </w:tc>
        <w:tc>
          <w:tcPr>
            <w:tcW w:w="8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513 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526 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1,013 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1,014 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(573)</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(579)</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(1,142)</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(1,153)</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Other income </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expense</w:t>
            </w:r>
          </w:p>
        </w:tc>
        <w:tc>
          <w:tcPr>
            <w:tcW w:w="8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(566)</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(578)</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(1,137)</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(1,153)</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Loss before income taxes</w:t>
            </w:r>
          </w:p>
        </w:tc>
        <w:tc>
          <w:tcPr>
            <w:tcW w:w="8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Benefit (provision) for income taxes</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4619"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8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noncontrolling interests</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attributable to Caesars</w:t>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i/>
                <w:color w:val="000000"/>
                <w:sz w:val="18"/>
              </w:rPr>
            </w:pPr>
            <w:r>
              <w:rPr>
                <w:rFonts w:ascii="Times New Roman;serif" w:hAnsi="Times New Roman;serif"/>
                <w:b/>
                <w:i/>
                <w:color w:val="000000"/>
                <w:sz w:val="18"/>
              </w:rPr>
              <w:t>Net loss attributable to Caesars per share - basic and diluted:</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4619"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 loss per share</w:t>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(0.30)</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(0.39)</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(0.78)</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(0.93)</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4619"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loss per share</w:t>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(0.30)</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(0.39)</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(0.78)</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(0.93)</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basic shares outstanding</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diluted shares outstanding</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04165"/>
                <wp:effectExtent l="0" t="0" r="0" b="0"/>
                <wp:wrapNone/>
                <wp:docPr id="4" name="Frame4"/>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25bc4ccd358f439aa099948f0102ebf8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25bc4ccd358f439aa099948f0102ebf8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180" w:after="283"/>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CAESARS ENTERTAINMENT,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CONDENSED STATEMENTS OF COMPREHENSIVE INCOME (LOSS)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9544" w:type="dxa"/>
        <w:jc w:val="left"/>
        <w:tblInd w:w="0" w:type="dxa"/>
        <w:tblLayout w:type="fixed"/>
        <w:tblCellMar>
          <w:top w:w="28" w:type="dxa"/>
          <w:left w:w="28" w:type="dxa"/>
          <w:bottom w:w="28" w:type="dxa"/>
          <w:right w:w="28" w:type="dxa"/>
        </w:tblCellMar>
      </w:tblPr>
      <w:tblGrid>
        <w:gridCol w:w="1633"/>
        <w:gridCol w:w="1431"/>
        <w:gridCol w:w="1436"/>
        <w:gridCol w:w="274"/>
        <w:gridCol w:w="567"/>
        <w:gridCol w:w="152"/>
        <w:gridCol w:w="152"/>
        <w:gridCol w:w="152"/>
        <w:gridCol w:w="152"/>
        <w:gridCol w:w="274"/>
        <w:gridCol w:w="567"/>
        <w:gridCol w:w="152"/>
        <w:gridCol w:w="109"/>
        <w:gridCol w:w="109"/>
        <w:gridCol w:w="109"/>
        <w:gridCol w:w="226"/>
        <w:gridCol w:w="573"/>
        <w:gridCol w:w="125"/>
        <w:gridCol w:w="125"/>
        <w:gridCol w:w="125"/>
        <w:gridCol w:w="125"/>
        <w:gridCol w:w="226"/>
        <w:gridCol w:w="573"/>
        <w:gridCol w:w="177"/>
      </w:tblGrid>
      <w:tr>
        <w:trPr/>
        <w:tc>
          <w:tcPr>
            <w:tcW w:w="1633"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4500"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and other</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 net of tax</w:t>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Comprehensive loss</w:t>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income attributable to noncontrolling interests</w:t>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loss attributable to Caesars</w:t>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04165"/>
                <wp:effectExtent l="0" t="0" r="0" b="0"/>
                <wp:wrapNone/>
                <wp:docPr id="5" name="Frame5"/>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25bc4ccd358f439aa099948f0102ebf8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25bc4ccd358f439aa099948f0102ebf8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180" w:after="283"/>
        <w:jc w:val="left"/>
        <w:rPr/>
      </w:pPr>
      <w:r>
        <w:rPr/>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CAESARS ENTERTAINMENT,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CONDENSED STATEMENTS OF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3545" w:type="dxa"/>
        <w:jc w:val="left"/>
        <w:tblInd w:w="0" w:type="dxa"/>
        <w:tblLayout w:type="fixed"/>
        <w:tblCellMar>
          <w:top w:w="28" w:type="dxa"/>
          <w:left w:w="28" w:type="dxa"/>
          <w:bottom w:w="28" w:type="dxa"/>
          <w:right w:w="28" w:type="dxa"/>
        </w:tblCellMar>
      </w:tblPr>
      <w:tblGrid>
        <w:gridCol w:w="755"/>
        <w:gridCol w:w="215"/>
        <w:gridCol w:w="216"/>
        <w:gridCol w:w="210"/>
        <w:gridCol w:w="210"/>
        <w:gridCol w:w="211"/>
        <w:gridCol w:w="109"/>
        <w:gridCol w:w="109"/>
        <w:gridCol w:w="109"/>
        <w:gridCol w:w="207"/>
        <w:gridCol w:w="428"/>
        <w:gridCol w:w="116"/>
        <w:gridCol w:w="109"/>
        <w:gridCol w:w="109"/>
        <w:gridCol w:w="109"/>
        <w:gridCol w:w="210"/>
        <w:gridCol w:w="211"/>
        <w:gridCol w:w="211"/>
        <w:gridCol w:w="109"/>
        <w:gridCol w:w="109"/>
        <w:gridCol w:w="109"/>
        <w:gridCol w:w="207"/>
        <w:gridCol w:w="428"/>
        <w:gridCol w:w="116"/>
        <w:gridCol w:w="109"/>
        <w:gridCol w:w="109"/>
        <w:gridCol w:w="109"/>
        <w:gridCol w:w="211"/>
        <w:gridCol w:w="601"/>
        <w:gridCol w:w="119"/>
        <w:gridCol w:w="109"/>
        <w:gridCol w:w="109"/>
        <w:gridCol w:w="109"/>
        <w:gridCol w:w="251"/>
        <w:gridCol w:w="733"/>
        <w:gridCol w:w="142"/>
        <w:gridCol w:w="109"/>
        <w:gridCol w:w="109"/>
        <w:gridCol w:w="109"/>
        <w:gridCol w:w="402"/>
        <w:gridCol w:w="679"/>
        <w:gridCol w:w="225"/>
        <w:gridCol w:w="109"/>
        <w:gridCol w:w="109"/>
        <w:gridCol w:w="109"/>
        <w:gridCol w:w="223"/>
        <w:gridCol w:w="463"/>
        <w:gridCol w:w="125"/>
        <w:gridCol w:w="109"/>
        <w:gridCol w:w="109"/>
        <w:gridCol w:w="109"/>
        <w:gridCol w:w="340"/>
        <w:gridCol w:w="731"/>
        <w:gridCol w:w="190"/>
        <w:gridCol w:w="109"/>
        <w:gridCol w:w="109"/>
        <w:gridCol w:w="109"/>
        <w:gridCol w:w="263"/>
        <w:gridCol w:w="746"/>
        <w:gridCol w:w="207"/>
      </w:tblGrid>
      <w:tr>
        <w:trPr/>
        <w:tc>
          <w:tcPr>
            <w:tcW w:w="75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8"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Caesars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Preferred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6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Stockholders’ Equity</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December 31, 2025</w:t>
            </w:r>
          </w:p>
        </w:tc>
        <w:tc>
          <w:tcPr>
            <w:tcW w:w="4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6,709 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(3,303)</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3,686 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20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w:t>
            </w:r>
          </w:p>
        </w:tc>
        <w:tc>
          <w:tcPr>
            <w:tcW w:w="20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 net of tax</w:t>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20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Shares withheld related to net share settlement of stock awards</w:t>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20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Transactions with noncontrolling interests</w:t>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March 31, 2026</w:t>
            </w:r>
          </w:p>
        </w:tc>
        <w:tc>
          <w:tcPr>
            <w:tcW w:w="4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6,721 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(3,401)</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3,597 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w:t>
            </w:r>
          </w:p>
        </w:tc>
        <w:tc>
          <w:tcPr>
            <w:tcW w:w="20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 net of tax</w:t>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20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Shares withheld related to net share settlement of stock awards</w:t>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Transactions with noncontrolling interests</w:t>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June 30, 2026</w:t>
            </w:r>
          </w:p>
        </w:tc>
        <w:tc>
          <w:tcPr>
            <w:tcW w:w="4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6,743 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(3,463)</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3,552 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04165"/>
                <wp:effectExtent l="0" t="0" r="0" b="0"/>
                <wp:wrapNone/>
                <wp:docPr id="6" name="Frame6"/>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25bc4ccd358f439aa099948f0102ebf8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25bc4ccd358f439aa099948f0102ebf8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180" w:after="283"/>
        <w:jc w:val="left"/>
        <w:rPr/>
      </w:pPr>
      <w:r>
        <w:rPr/>
      </w:r>
    </w:p>
    <w:tbl>
      <w:tblPr>
        <w:tblW w:w="13545" w:type="dxa"/>
        <w:jc w:val="left"/>
        <w:tblInd w:w="0" w:type="dxa"/>
        <w:tblLayout w:type="fixed"/>
        <w:tblCellMar>
          <w:top w:w="28" w:type="dxa"/>
          <w:left w:w="28" w:type="dxa"/>
          <w:bottom w:w="28" w:type="dxa"/>
          <w:right w:w="28" w:type="dxa"/>
        </w:tblCellMar>
      </w:tblPr>
      <w:tblGrid>
        <w:gridCol w:w="755"/>
        <w:gridCol w:w="215"/>
        <w:gridCol w:w="216"/>
        <w:gridCol w:w="210"/>
        <w:gridCol w:w="210"/>
        <w:gridCol w:w="211"/>
        <w:gridCol w:w="109"/>
        <w:gridCol w:w="109"/>
        <w:gridCol w:w="109"/>
        <w:gridCol w:w="207"/>
        <w:gridCol w:w="428"/>
        <w:gridCol w:w="116"/>
        <w:gridCol w:w="109"/>
        <w:gridCol w:w="109"/>
        <w:gridCol w:w="109"/>
        <w:gridCol w:w="210"/>
        <w:gridCol w:w="211"/>
        <w:gridCol w:w="211"/>
        <w:gridCol w:w="109"/>
        <w:gridCol w:w="109"/>
        <w:gridCol w:w="109"/>
        <w:gridCol w:w="207"/>
        <w:gridCol w:w="428"/>
        <w:gridCol w:w="116"/>
        <w:gridCol w:w="109"/>
        <w:gridCol w:w="109"/>
        <w:gridCol w:w="109"/>
        <w:gridCol w:w="211"/>
        <w:gridCol w:w="601"/>
        <w:gridCol w:w="119"/>
        <w:gridCol w:w="109"/>
        <w:gridCol w:w="109"/>
        <w:gridCol w:w="109"/>
        <w:gridCol w:w="251"/>
        <w:gridCol w:w="733"/>
        <w:gridCol w:w="142"/>
        <w:gridCol w:w="109"/>
        <w:gridCol w:w="109"/>
        <w:gridCol w:w="109"/>
        <w:gridCol w:w="402"/>
        <w:gridCol w:w="679"/>
        <w:gridCol w:w="225"/>
        <w:gridCol w:w="109"/>
        <w:gridCol w:w="109"/>
        <w:gridCol w:w="109"/>
        <w:gridCol w:w="223"/>
        <w:gridCol w:w="463"/>
        <w:gridCol w:w="125"/>
        <w:gridCol w:w="109"/>
        <w:gridCol w:w="109"/>
        <w:gridCol w:w="109"/>
        <w:gridCol w:w="340"/>
        <w:gridCol w:w="731"/>
        <w:gridCol w:w="190"/>
        <w:gridCol w:w="109"/>
        <w:gridCol w:w="109"/>
        <w:gridCol w:w="109"/>
        <w:gridCol w:w="263"/>
        <w:gridCol w:w="746"/>
        <w:gridCol w:w="207"/>
      </w:tblGrid>
      <w:tr>
        <w:trPr/>
        <w:tc>
          <w:tcPr>
            <w:tcW w:w="75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8"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Caesars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Preferred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6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Stockholders’ Equity</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December 31, 2024</w:t>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6,862 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(2,801)</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4,376 </w:t>
            </w:r>
          </w:p>
        </w:tc>
        <w:tc>
          <w:tcPr>
            <w:tcW w:w="20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20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Shares withheld related to net share settlement of stock awards </w:t>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20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Transactions with noncontrolling interests</w:t>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March 31, 2025</w:t>
            </w:r>
          </w:p>
        </w:tc>
        <w:tc>
          <w:tcPr>
            <w:tcW w:w="4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6,873 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(2,916)</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4,279 </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20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w:t>
            </w:r>
          </w:p>
        </w:tc>
        <w:tc>
          <w:tcPr>
            <w:tcW w:w="20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net of tax</w:t>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20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Shares withheld related to net share settlement of stock awards</w:t>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of common stock</w:t>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20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Transactions with noncontrolling interests</w:t>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June 30, 2025</w:t>
            </w:r>
          </w:p>
        </w:tc>
        <w:tc>
          <w:tcPr>
            <w:tcW w:w="42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6,796 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(2,998)</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223 </w:t>
            </w:r>
          </w:p>
        </w:tc>
        <w:tc>
          <w:tcPr>
            <w:tcW w:w="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4,119 </w:t>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04165"/>
                <wp:effectExtent l="0" t="0" r="0" b="0"/>
                <wp:wrapNone/>
                <wp:docPr id="7" name="Frame7"/>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25bc4ccd358f439aa099948f0102ebf8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25bc4ccd358f439aa099948f0102ebf8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180" w:after="283"/>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CAESARS ENTERTAINMENT,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CONDENSED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7839" w:type="dxa"/>
        <w:jc w:val="center"/>
        <w:tblInd w:w="0" w:type="dxa"/>
        <w:tblLayout w:type="fixed"/>
        <w:tblCellMar>
          <w:top w:w="28" w:type="dxa"/>
          <w:left w:w="28" w:type="dxa"/>
          <w:bottom w:w="28" w:type="dxa"/>
          <w:right w:w="28" w:type="dxa"/>
        </w:tblCellMar>
      </w:tblPr>
      <w:tblGrid>
        <w:gridCol w:w="2012"/>
        <w:gridCol w:w="1766"/>
        <w:gridCol w:w="1786"/>
        <w:gridCol w:w="213"/>
        <w:gridCol w:w="605"/>
        <w:gridCol w:w="118"/>
        <w:gridCol w:w="118"/>
        <w:gridCol w:w="118"/>
        <w:gridCol w:w="118"/>
        <w:gridCol w:w="213"/>
        <w:gridCol w:w="605"/>
        <w:gridCol w:w="167"/>
      </w:tblGrid>
      <w:tr>
        <w:trPr/>
        <w:tc>
          <w:tcPr>
            <w:tcW w:w="2012" w:type="dxa"/>
            <w:tcBorders/>
            <w:vAlign w:val="center"/>
          </w:tcPr>
          <w:p>
            <w:pPr>
              <w:pStyle w:val="TableContents"/>
              <w:bidi w:val="0"/>
              <w:spacing w:before="0" w:after="283"/>
              <w:jc w:val="left"/>
              <w:rPr>
                <w:sz w:val="4"/>
                <w:szCs w:val="4"/>
              </w:rPr>
            </w:pPr>
            <w:r>
              <w:rPr>
                <w:sz w:val="4"/>
                <w:szCs w:val="4"/>
              </w:rPr>
            </w:r>
          </w:p>
        </w:tc>
        <w:tc>
          <w:tcPr>
            <w:tcW w:w="176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5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OPERATING ACTIVITIES: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loss to net cash provided by operating activities: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deferred financing costs and discounts</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Provision for credit losses</w:t>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556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lease amortization</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loss on investments</w:t>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(Gain) loss on sale or disposal of property and equipment</w:t>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non-cash adjustments to net loss</w:t>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operating assets and liabilities: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assets</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 receivable and payable, net</w:t>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accrued expenses and other liabilities</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8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675 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680 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INVESTING ACTIVITIES: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property and equipment</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asset acquisitions</w:t>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556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Proceeds from sale of property and equipment</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 of investments</w:t>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 in unconsolidated affiliate</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Distributions from unconsolidated affiliate</w:t>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Other </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8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(411)</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FINANCING ACTIVITIES: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long-term debt and revolving credit facilities</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of long-term debt and revolving credit facilities</w:t>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(983)</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(612)</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Repurchase of common stock</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obligation payments</w:t>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556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556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Distributions to noncontrolling interest owners</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Taxes paid related to net share settlement of equity awards</w:t>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financing activities</w:t>
            </w:r>
          </w:p>
        </w:tc>
        <w:tc>
          <w:tcPr>
            <w:tcW w:w="8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556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556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556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556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556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556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in cash, cash equivalents and restricted cash</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beginning of period</w:t>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end of period</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1,077 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1,086 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04165"/>
                <wp:effectExtent l="0" t="0" r="0" b="0"/>
                <wp:wrapNone/>
                <wp:docPr id="8" name="Frame8"/>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25bc4ccd358f439aa099948f0102ebf8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25bc4ccd358f439aa099948f0102ebf8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180" w:after="283"/>
        <w:jc w:val="left"/>
        <w:rPr/>
      </w:pPr>
      <w:r>
        <w:rPr/>
      </w:r>
    </w:p>
    <w:tbl>
      <w:tblPr>
        <w:tblW w:w="10205" w:type="dxa"/>
        <w:jc w:val="center"/>
        <w:tblInd w:w="0" w:type="dxa"/>
        <w:tblLayout w:type="fixed"/>
        <w:tblCellMar>
          <w:top w:w="28" w:type="dxa"/>
          <w:left w:w="28" w:type="dxa"/>
          <w:bottom w:w="28" w:type="dxa"/>
          <w:right w:w="28" w:type="dxa"/>
        </w:tblCellMar>
      </w:tblPr>
      <w:tblGrid>
        <w:gridCol w:w="2904"/>
        <w:gridCol w:w="2549"/>
        <w:gridCol w:w="2564"/>
        <w:gridCol w:w="204"/>
        <w:gridCol w:w="581"/>
        <w:gridCol w:w="113"/>
        <w:gridCol w:w="113"/>
        <w:gridCol w:w="113"/>
        <w:gridCol w:w="113"/>
        <w:gridCol w:w="204"/>
        <w:gridCol w:w="581"/>
        <w:gridCol w:w="166"/>
      </w:tblGrid>
      <w:tr>
        <w:trPr/>
        <w:tc>
          <w:tcPr>
            <w:tcW w:w="2904" w:type="dxa"/>
            <w:tcBorders/>
            <w:vAlign w:val="center"/>
          </w:tcPr>
          <w:p>
            <w:pPr>
              <w:pStyle w:val="TableContents"/>
              <w:bidi w:val="0"/>
              <w:spacing w:before="0" w:after="283"/>
              <w:jc w:val="left"/>
              <w:rPr>
                <w:sz w:val="4"/>
                <w:szCs w:val="4"/>
              </w:rPr>
            </w:pPr>
            <w:r>
              <w:rPr>
                <w:sz w:val="4"/>
                <w:szCs w:val="4"/>
              </w:rPr>
            </w:r>
          </w:p>
        </w:tc>
        <w:tc>
          <w:tcPr>
            <w:tcW w:w="2549" w:type="dxa"/>
            <w:tcBorders/>
            <w:vAlign w:val="center"/>
          </w:tcPr>
          <w:p>
            <w:pPr>
              <w:pStyle w:val="TableContents"/>
              <w:bidi w:val="0"/>
              <w:spacing w:before="0" w:after="283"/>
              <w:jc w:val="left"/>
              <w:rPr>
                <w:sz w:val="4"/>
                <w:szCs w:val="4"/>
              </w:rPr>
            </w:pPr>
            <w:r>
              <w:rPr>
                <w:sz w:val="4"/>
                <w:szCs w:val="4"/>
              </w:rPr>
            </w:r>
          </w:p>
        </w:tc>
        <w:tc>
          <w:tcPr>
            <w:tcW w:w="256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8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80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8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80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RECONCILIATION OF CASH, CASH EQUIVALENTS AND RESTRICTED CASH TO AMOUNTS REPORTED WITHIN THE CONSOLIDATED CONDENSED BALANCE SHEETS:</w:t>
            </w:r>
          </w:p>
        </w:tc>
        <w:tc>
          <w:tcPr>
            <w:tcW w:w="8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w:t>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Restricted and escrow cash included in other long-term assets, net</w:t>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80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cash, cash equivalents and restricted cash</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1,077 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1,086 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SUPPLEMENTAL DISCLOSURE OF CASH FLOW INFORMATION:</w:t>
            </w:r>
          </w:p>
        </w:tc>
        <w:tc>
          <w:tcPr>
            <w:tcW w:w="8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interest paid for debt</w:t>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interest paid for rent related to GLPI and VICI Leases</w:t>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interest paid for other financing obligations</w:t>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 paid, net</w:t>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INVESTING AND FINANCING ACTIVITIES:</w:t>
            </w:r>
          </w:p>
        </w:tc>
        <w:tc>
          <w:tcPr>
            <w:tcW w:w="8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Payables for capital expenditures</w:t>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consideration</w:t>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Right-of-use asset obtained in exchange for lease liability</w:t>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801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04165"/>
                <wp:effectExtent l="0" t="0" r="0" b="0"/>
                <wp:wrapNone/>
                <wp:docPr id="9" name="Frame9"/>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25bc4ccd358f439aa099948f0102ebf8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25bc4ccd358f439aa099948f0102ebf8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CAESARS ENTERTAINMENT,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CONDENSED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The accompanying consolidated condensed financial statements include the accounts of Caesars Entertainment, Inc., a Delaware corporation, and its consolidated subsidiaries which may be referred to as the “Company,” “CEI,” “Caesars,” “we,” “our,” or “us” within these financial statements.</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This Form 10-Q should be read in conjunction with our Annual Report on Form 10-K for the year ended December 31, 2025 (the “2025 Annual Report”). Capitalized terms used but not defined in this Form 10-Q have the same meanings as in the 2025 Annual Report.</w:t>
      </w:r>
    </w:p>
    <w:p>
      <w:pPr>
        <w:pStyle w:val="TextBody"/>
        <w:bidi w:val="0"/>
        <w:spacing w:lineRule="auto" w:line="288" w:before="180" w:after="180"/>
        <w:jc w:val="both"/>
        <w:rPr>
          <w:rFonts w:ascii="Times New Roman;serif" w:hAnsi="Times New Roman;serif"/>
          <w:b w:val="false"/>
          <w:i/>
          <w:color w:val="000000"/>
          <w:sz w:val="20"/>
        </w:rPr>
      </w:pPr>
      <w:r>
        <w:rPr>
          <w:rFonts w:ascii="Times New Roman;serif" w:hAnsi="Times New Roman;serif"/>
          <w:b w:val="false"/>
          <w:i/>
          <w:color w:val="000000"/>
          <w:sz w:val="20"/>
        </w:rPr>
        <w:t>We also refer to (i) our Consolidated Condensed Financial Statements as our “Financial Statements,” (ii) our Consolidated Condensed Balance Sheets as our “Balance Sheets,” (iii) our Consolidated Condensed Statements of Operations and Consolidated Condensed Statements of Comprehensive Income (Loss) as our “Statements of Operations,” and (iv) our Consolidated Condensed Statements of Cash Flows as our “Statements of Cash Flows.”</w:t>
      </w:r>
    </w:p>
    <w:p>
      <w:pPr>
        <w:pStyle w:val="TextBody"/>
        <w:bidi w:val="0"/>
        <w:spacing w:lineRule="auto" w:line="288" w:before="0" w:after="0"/>
        <w:jc w:val="both"/>
        <w:rPr>
          <w:rFonts w:ascii="Times New Roman;serif" w:hAnsi="Times New Roman;serif"/>
          <w:b/>
          <w:color w:val="BF2115"/>
          <w:sz w:val="24"/>
        </w:rPr>
      </w:pPr>
      <w:r>
        <w:rPr>
          <w:rFonts w:ascii="Times New Roman;serif" w:hAnsi="Times New Roman;serif"/>
          <w:b/>
          <w:color w:val="BF2115"/>
          <w:sz w:val="24"/>
        </w:rPr>
        <w:t>Note 1. Organization and Description of Business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Organization</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Company is a geographically diversified gaming and hospitality company that was founded in 1973 by the Carano family with the opening of the Eldorado Hotel Casino in Reno, Nevada. Beginning in 2005, the Company grew through a series of acquisitions, including the acquisition of MTR Gaming Group, Inc. in 2014, Isle of Capri Casinos, Inc. in 2017, Tropicana Entertainment, Inc. in 2018, Caesars Entertainment Corporation in 2020 and William Hill PLC in 2021. The Company’s ticker symbol on the NASDAQ Stock Market is “CZR.”</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Proposed Merger of Caesars Entertainment, Inc. with Fertitta Entertainment, Inc.</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On May 27, 2026, Caesars, Fertitta Gaming Holdco, LLC, a Texas limited liability company (“Fertitta Gaming”), Empire Merger Sub, Inc., a Delaware corporation and direct wholly owned subsidiary of Fertitta Gaming (“Merger Sub”), Landry’s Fertitta, LLC, a Texas limited liability company solely for the purposes of Section 9.14 of the Merger Agreement (as defined below), and Hospitality Headquarters, Inc., a Texas corporation, solely for the purposes of Section 9.14(j) therein, entered into an Agreement and Plan of Merger (the “Merger Agreement”), pursuant to which Merger Sub will merge with and into the Company, with the Company continuing as the surviving corporation and direct wholly owned subsidiary of Fertitta Gaming (the “Merger”).</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board of directors of the Company (the “Board”) has (a) determined that it is fair to, and in the best interests of, the Company and its stockholders, and declared it advisable to, enter into the Merger Agreement, (b) approved the execution, delivery and performance by the Company of the Merger Agreement and the consummation of the transactions contemplated thereby, including the Merger (collectively, the “Transaction”) and (c) resolved to recommend the adoption of the Merger Agreement by the stockholders of the Company (“Company Stockholders”) and to submit the Merger Agreement to the Company Stockholders for adoption. Capitalized terms used herein but not otherwise defined have the meaning set forth in the Merger Agreement.</w:t>
      </w:r>
    </w:p>
    <w:p>
      <w:pPr>
        <w:pStyle w:val="TextBody"/>
        <w:bidi w:val="0"/>
        <w:spacing w:lineRule="auto" w:line="288" w:before="18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Merger Consideration</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Subject to the terms and conditions of the Merger Agreement, at the effective time of the Merger (“Effective Time”), each share of common stock, par value $0.00001 per share (“Company Common Stock”) issued and outstanding immediately prior to the Effective Time, other than any “Excluded Shares”, “Parent Rollover Shares” or “Dissenting Shares”, each, as defined by the Merger Agreement, will be converted automatically into the right to receive an amount in cash equal to the sum of (i) $31.00 and (ii) if the Closing Date has not occurred as of June 26, 2027 (the “Ticking Fee Date”), an amount equal to (A) $0.007150 multiplied by (B) the number of days during the period beginning on (and including) the first calendar day of the month following the Ticking Fee Date and ending on (and including) the day immediately prior to the Closing Date (such sum, the “Merger Consideration”), in each case without interest thereon and subject to any applicable withholding tax in accordance with the Merger Agreement. The Parent Rollover Shares will be automatically converted into shares of common stock of the surviving corporation.</w:t>
      </w:r>
    </w:p>
    <w:p>
      <w:pPr>
        <w:pStyle w:val="TextBody"/>
        <w:bidi w:val="0"/>
        <w:spacing w:lineRule="auto" w:line="288" w:before="18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Treatment of Equity Awards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Each restricted stock unit award granted under the Company’s stock plan (subject to specifications in the Merger Agreement), including restricted stock units subject to performance or market-based conditions, whether vested or unvested, that is outstanding immediately prior to the Effective Time, will be fully cancelled and converted into the right to receive an amount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04165"/>
                <wp:effectExtent l="0" t="0" r="0" b="0"/>
                <wp:wrapNone/>
                <wp:docPr id="10" name="Frame10"/>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25bc4ccd358f439aa099948f0102ebf8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25bc4ccd358f439aa099948f0102ebf8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CAESARS ENTERTAINMENT,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CONDENSED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cash, without interest, equal to the product of (a) the aggregate number of shares of Company Common Stock subject to such Company Equity Award, multiplied by (b) the Merger Consideration.</w:t>
      </w:r>
    </w:p>
    <w:p>
      <w:pPr>
        <w:pStyle w:val="TextBody"/>
        <w:bidi w:val="0"/>
        <w:spacing w:lineRule="auto" w:line="288" w:before="18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Representations and Warranties; Covenants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Merger Agreement contains customary representations, warranties and covenants from each of the Company and Fertitta Gaming, including representations and warranties from the Company regarding organization and standing, capitalization, authority, regulatory approvals, financial statements, absence of certain changes, litigation, compliance with laws, material contracts, real property, environmental matters, employee benefit plans and labor matters, taxes, takeover laws, intellectual property, insurance, and internal controls and its present debt financing and covenants obligating the Company to use commercially reasonable efforts to conduct its business in all material respects in the ordinary course of business and to use reasonable best efforts to cooperate in seeking regulatory approvals and to not engage in certain specified activities without Fertitta Gaming’s prior consent.</w:t>
      </w:r>
    </w:p>
    <w:p>
      <w:pPr>
        <w:pStyle w:val="TextBody"/>
        <w:bidi w:val="0"/>
        <w:spacing w:lineRule="auto" w:line="288" w:before="18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Non-Solicitation and No-Shop</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From and after July 11, 2026 (the “No Shop Period Start Date”) until the earlier of the Effective Time or termination of the Merger Agreement, the Merger Agreement prohibits the Company from soliciting competing acquisition proposals. However, subject to customary exceptions and limitations, prior to receiving stockholder approval, the Company may furnish non-public information to, and engage in discussions or negotiations with, a third party that makes a bona fide, unsolicited written Alternative Proposal if the Board determines in good faith (after consultation with its outside financial advisors and outside legal counsel) that such Alternative Proposal constitutes, or would reasonably be expected to lead to, a Superior Proposal, and that the failure to take such action would be reasonably likely to be inconsistent with the Board’s fiduciary duties under applicable law.</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Pursuant to the terms of the Merger Agreement, the Company has agreed to prepare and file a proxy statement with the U.S. Securities and Exchange Commission (the “SEC”) and, subject to certain exceptions, the Board will recommend that the Merger Agreement and the Merger be adopted and approved by the Company’s stockholders at a special meeting of the Company’s stockholders.</w:t>
      </w:r>
    </w:p>
    <w:p>
      <w:pPr>
        <w:pStyle w:val="TextBody"/>
        <w:bidi w:val="0"/>
        <w:spacing w:lineRule="auto" w:line="288" w:before="18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Conditions to the Transaction</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Each of the Company and Fertitta Gaming’s obligation to consummate the Merger is subject to the satisfaction or waiver of certain conditions, including, among others, approval of the Merger by the holders of at least a majority of all of the outstanding shares of Company Common Stock, the expiration or termination of any applicable waiting period under the HSR Act, and the receipt of certain gaming regulatory approvals.</w:t>
      </w:r>
    </w:p>
    <w:p>
      <w:pPr>
        <w:pStyle w:val="TextBody"/>
        <w:bidi w:val="0"/>
        <w:spacing w:lineRule="auto" w:line="288" w:before="18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Termination Fees; End Date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Merger Agreement contains customary termination rights, including the right of any party to terminate if the Effective Time has not occurred by May 27, 2027 (the “Initial End Date”); provided that the Initial End Date will be automatically extended to August 27, 2027 (the “First Extended End Date”) and the First Extended End Date shall be automatically extended to November 27, 2027 if, as of the Initial End Date and First Extended End Date, as applicable, all conditions precedent, other than the expiration of the waiting period under the HSR Act and/or receipt of certain required gaming approvals, have been satisfied or are capable of being satisfied.</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Upon termination of the Merger Agreement under certain circumstances, including if the Merger Agreement is terminated and prior to such termination, an Alternative Proposal has been made to the Company or publicly announced and not publicly withdrawn and, within twelve (12) months after the date of such termination, the Company or any of its subsidiaries (a) consummates a transaction that is an Alternative Proposal, (b) enters into a definitive agreement with a Third Party with respect to a transaction that is an Alternative Proposal, or (c) the board of directors of the Company approves or recommends any Alternative Proposal to Company Stockholders and the transaction contemplated under such definitive agreement with respect to such Alternative Proposal is subsequently consummated (regardless of whether the consummation occurs within such twelve (12) month period), the Company will be required to pay Fertitta Gaming a termination fee of $200 million.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 addition, Fertitta Gaming will be required to pay the Company a reverse termination fee of $450 million under certain circumstances, including if either Fertitta Gaming or the Company terminates the Merger Agreement due to (a) there being any Law relating to Antitrust Law or Gaming Law prohibiting, permanently restraining, permanently enjoining or rendering unlawful the consummation of the Merger or (b) the End Date occurring and at such time all conditions except the regulatory approval conditions having been satisfied (or capable of being satisfied).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04165"/>
                <wp:effectExtent l="0" t="0" r="0" b="0"/>
                <wp:wrapNone/>
                <wp:docPr id="11" name="Frame11"/>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25bc4ccd358f439aa099948f0102ebf8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25bc4ccd358f439aa099948f0102ebf8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CAESARS ENTERTAINMENT,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CONDENSED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foregoing description of the Merger Agreement does not purport to be complete and is qualified in its entirety by reference to the full text of the Merger Agreement. A copy of the Merger Agreement is available as exhibit 2.1 to our current report on Form 8-K as filed on May 28, 2026. </w:t>
      </w:r>
    </w:p>
    <w:p>
      <w:pPr>
        <w:pStyle w:val="TextBody"/>
        <w:bidi w:val="0"/>
        <w:spacing w:lineRule="auto" w:line="288" w:before="18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Nasdaq Delisting</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If the Merger is consummated, the Company intends to delist its Company Common Stock from Nasdaq and deregister the Company Common Stock under the Exchange Act, as promptly as practicable following the Effective Time.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2026, transaction costs related to the pending Merger were $10 million.</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Description of Business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Company owns, leases, brands or manages an aggregate of 54 properties in 20 jurisdictions in North America with approximately 53,800 slot machines, video lottery terminals and e-tables, approximately 2,800 table games and approximately 46,300 hotel rooms as of June 30, 2026. In addition, the Company has other properties in North America that are authorized to use the brands and marks of Caesars Entertainment, Inc., as well as other non-gaming properties. The Company’s primary source of revenue is generated by its gaming operations, which includes its casino properties, retail and online sports betting, and online gaming. Additionally, the Company utilizes its hotels, restaurants, bars, entertainment, racing, retail shops and other services to attract customers to its properties.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operations for retail and online sports betting, iGaming, horse racing and online poker are included under the Caesars Digital segment. The Company operates retail and online sports wagering across 34 jurisdictions in North America, 27 of which offer online sports betting, and operates iGaming in five jurisdictions in North America as of June 30, 2026. The Company operates the Caesars Sportsbook app, the Caesars Racebook app, the Caesars Palace Online Casino app and the Horseshoe Online Casino app. The Company also expects to continue to grow its operations in the Caesars Digital segment as new jurisdictions legalize retail and online sports betting and iGaming. </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Asset Purchases</w:t>
      </w:r>
    </w:p>
    <w:p>
      <w:pPr>
        <w:pStyle w:val="TextBody"/>
        <w:bidi w:val="0"/>
        <w:spacing w:lineRule="auto" w:line="288" w:before="18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Caesars Windsor</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On March 3, 2026, the Company assumed responsibility for the operations of Caesars Windsor on behalf of the Ontario Lottery and Gaming Corporation (“OLG”) under a 20-year operating agreement. Upon signing the operating and asset purchase agreements, our previous management agreement was terminated. The Company purchased the net assets of Caesars Windsor which included approximately $42 million of furniture and equipment and approximately $12 million in net working capital. In addition, the Company entered into a 20-year lease agreement with the OLG for the buildings and land of Caesars Windsor. The initial term of the lease expires on March 2, 2046 with annual minimum rent expense of approximately $19 million. Caesars Windsor’s management fee was previously reported within the Managed and Branded segment. Beginning March 3, 2026, the property’s operations are reported within the Regional segment.</w:t>
      </w:r>
    </w:p>
    <w:p>
      <w:pPr>
        <w:pStyle w:val="TextBody"/>
        <w:bidi w:val="0"/>
        <w:spacing w:lineRule="auto" w:line="288" w:before="18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Grand Bazaar</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Company previously held a minority interest of approximately 8% in JGB Vegas Retail, LLC (“Grand Bazaar”) and leased certain land, buildings and improvements to Grand Bazaar which operated an indoor/outdoor shopping and entertainment district on the Las Vegas Strip adjacent to the Company’s operations. On May 1, 2026, the Company acquired the remaining outstanding membership interest of Grand Bazaar for total consideration of approximately $66 million, inclusive of $10 million of deferred consideration. The transaction was accounted for as an asset purchase of intangible assets, property and equipment, and working capital.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BF2115"/>
          <w:sz w:val="24"/>
        </w:rPr>
      </w:pPr>
      <w:r>
        <w:rPr>
          <w:rFonts w:ascii="Times New Roman;serif" w:hAnsi="Times New Roman;serif"/>
          <w:b/>
          <w:color w:val="BF2115"/>
          <w:sz w:val="24"/>
        </w:rPr>
        <w:t>Note 2. Basis of Presentation and Significant Accounting Policies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accompanying unaudited Financial Statements of the Company have been prepared in accordance with accounting principles generally accepted in the United States (“GAAP”) for interim financial information with the instructions for Form 10-Q and Article 10 of Regulation S-X. Accordingly, they do not include all of the information and notes required by GAAP for complete financial statements. In the opinion of management, the accompanying unaudited Financial Statements contain all adjustments, all of which are normal and recurring, considered necessary for a fair presentation. The results of operations for these interim periods are not necessarily indicative of the operating results for other quarters, for the full year or any future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04165"/>
                <wp:effectExtent l="0" t="0" r="0" b="0"/>
                <wp:wrapNone/>
                <wp:docPr id="12" name="Frame12"/>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25bc4ccd358f439aa099948f0102ebf8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25bc4ccd358f439aa099948f0102ebf8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CAESARS ENTERTAINMENT,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CONDENSED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presentation of financial information herein for the periods after the asset purchases previously described is not fully comparable to the periods prior to such asset purchases.</w:t>
      </w:r>
    </w:p>
    <w:p>
      <w:pPr>
        <w:pStyle w:val="TextBody"/>
        <w:bidi w:val="0"/>
        <w:spacing w:lineRule="auto" w:line="288" w:before="180" w:after="283"/>
        <w:jc w:val="both"/>
        <w:rPr/>
      </w:pPr>
      <w:r>
        <w:rPr>
          <w:rFonts w:ascii="Times New Roman;serif" w:hAnsi="Times New Roman;serif"/>
          <w:b w:val="false"/>
          <w:color w:val="000000"/>
          <w:sz w:val="20"/>
        </w:rPr>
        <w:t xml:space="preserve">Our Financial Statements include the accounts of Caesars Entertainment, Inc. and its subsidiaries after elimination of all intercompany accounts and transactions. See </w:t>
      </w:r>
      <w:hyperlink w:anchor="i25bc4ccd358f439aa099948f0102ebf8_76">
        <w:r>
          <w:rPr>
            <w:rStyle w:val="InternetLink"/>
            <w:rFonts w:ascii="Times New Roman;serif" w:hAnsi="Times New Roman;serif"/>
            <w:b w:val="false"/>
            <w:color w:val="0000FF"/>
            <w:sz w:val="20"/>
            <w:u w:val="single"/>
          </w:rPr>
          <w:t>Note 12</w:t>
        </w:r>
      </w:hyperlink>
      <w:r>
        <w:rPr>
          <w:color w:val="000000"/>
        </w:rPr>
        <w:t xml:space="preserve"> </w:t>
      </w:r>
      <w:r>
        <w:rPr>
          <w:rFonts w:ascii="Times New Roman;serif" w:hAnsi="Times New Roman;serif"/>
          <w:b w:val="false"/>
          <w:color w:val="000000"/>
          <w:sz w:val="20"/>
        </w:rPr>
        <w:t>for segment information.</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Consolidation of Subsidiaries and Variable Interest Entities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consolidate all subsidiaries in which we have a controlling financial interest and variable interest entities (“VIEs”) for which we or one of our consolidated subsidiaries is the primary beneficiary. Control generally equates to ownership percentage, whereby (i) affiliates that are more than 50% owned are consolidated; (ii) investments in affiliates of 50% or less but greater than 20% are generally accounted for using the equity method where we have determined that we have significant influence over the entities; and (iii) investments in affiliates of 20% or less are generally accounted for as investments in equity securities.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consider ourselves the primary beneficiary of a VIE when we have both the power to direct the activities that most significantly impact the economic performance of the VIE and the right to receive benefits or the obligation to absorb losses that could be potentially significant to the VIE. We review investments, if a reconsideration event occurs, to determine if the investment qualifies, or continues to qualify, as a VIE. If we determine an investment qualifies, or no longer qualifies, as a VIE, there may be a material effect to our Financial Statements.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Fair Value Measurements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Company measures certain of its financial assets and liabilities at fair value, on a recurring basis, which is the price that would be received to sell an asset or paid to transfer a liability in an orderly transaction between market participants. Levels of the hierarchy prioritize the inputs used to measure fair value and include:</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Level 1: Observable inputs such as quoted prices in active markets.</w:t>
      </w:r>
    </w:p>
    <w:p>
      <w:pPr>
        <w:pStyle w:val="TextBody"/>
        <w:bidi w:val="0"/>
        <w:spacing w:lineRule="auto" w:line="288" w:before="60" w:after="283"/>
        <w:ind w:left="0" w:right="0" w:hanging="360"/>
        <w:jc w:val="both"/>
        <w:rPr/>
      </w:pPr>
      <w:r>
        <w:rPr>
          <w:color w:val="212529"/>
        </w:rPr>
        <w:t>•</w:t>
      </w:r>
      <w:r>
        <w:rPr>
          <w:rFonts w:ascii="Times New Roman;serif" w:hAnsi="Times New Roman;serif"/>
          <w:b w:val="false"/>
          <w:color w:val="000000"/>
          <w:sz w:val="20"/>
        </w:rPr>
        <w:t>Level 2: Inputs other than quoted prices in active markets that are either directly or indirectly observable.</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Level 3: Unobservable inputs that reflect the Company’s own assumptions, as there is little, if any, related market activity.</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Cash and Cash Equivalents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Cash equivalents include investments in money market funds that can be redeemed immediately at the current net asset value per share. A money market fund is a mutual fund whose investments are primarily in short-term debt securities designed to maximize current income with liquidity and capital preservation, usually maintaining per share net asset value at a constant amount, such as one dollar. The carrying amounts approximate the fair value because of the short maturity of those instruments (Level 1). Cash and cash equivalents also include cash maintained for gaming operations.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Restricted Cash</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Restricted cash includes cash or cash equivalents held in certificates of deposit accounts or money market type funds, that are not subject to remeasurement on a recurring basis, which are restricted under certain operating agreements or restricted for future capital expenditures in the normal course of business.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Marketable Securities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Marketable securities consist primarily of trading securities held by the Company’s deferred compensation plans. The estimated fair values of the Company’s marketable securities are determined on an individual asset basis based upon quoted prices of identical assets available in active markets (Level 1) and represent the amounts the Company would expect to receive if the Company sold these marketable securities. As of June 30, 2026 and December 31, 2025, the Company held $2 million in marketable securities.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Derivative Instruments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Company may enter into derivative instruments to hedge the risk of fluctuations in interest rates, foreign exchange rates or pricing for other commodities. These agreements are designated as cash flow hedges. As of June 30, 2026 and December 31, 2025, the Company did not hold any cash flow hedges or any derivative financial instruments for trading purposes.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04165"/>
                <wp:effectExtent l="0" t="0" r="0" b="0"/>
                <wp:wrapNone/>
                <wp:docPr id="13" name="Frame13"/>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25bc4ccd358f439aa099948f0102ebf8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25bc4ccd358f439aa099948f0102ebf8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CAESARS ENTERTAINMENT,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CONDENSED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preparation of consolidated financial statements in conformity with GAAP requires management to make estimates and assumptions that affect the reported amounts of assets and liabilities and disclosure of contingent assets and liabilities as of the date of the financial statements and the reported amounts of revenues and expenses during the reporting period. Actual results could differ from those estimates.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Advertising</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Advertising costs are expensed in the period the advertising first occurs. Advertising costs were $51 million and $49 million for the three months ended June 30, 2026 and 2025, respectively, and $105 million and $109 million for the six months ended June 30, 2026 and 2025, respectively, and are primarily included within Casino expense where directly attributable to gaming activities or General and administrative expense for other indirect advertising.</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Interest Expense, Net</w:t>
      </w:r>
    </w:p>
    <w:tbl>
      <w:tblPr>
        <w:tblW w:w="6990" w:type="dxa"/>
        <w:jc w:val="left"/>
        <w:tblInd w:w="0" w:type="dxa"/>
        <w:tblLayout w:type="fixed"/>
        <w:tblCellMar>
          <w:top w:w="28" w:type="dxa"/>
          <w:left w:w="28" w:type="dxa"/>
          <w:bottom w:w="28" w:type="dxa"/>
          <w:right w:w="28" w:type="dxa"/>
        </w:tblCellMar>
      </w:tblPr>
      <w:tblGrid>
        <w:gridCol w:w="707"/>
        <w:gridCol w:w="620"/>
        <w:gridCol w:w="622"/>
        <w:gridCol w:w="269"/>
        <w:gridCol w:w="578"/>
        <w:gridCol w:w="149"/>
        <w:gridCol w:w="149"/>
        <w:gridCol w:w="149"/>
        <w:gridCol w:w="149"/>
        <w:gridCol w:w="269"/>
        <w:gridCol w:w="578"/>
        <w:gridCol w:w="149"/>
        <w:gridCol w:w="109"/>
        <w:gridCol w:w="109"/>
        <w:gridCol w:w="109"/>
        <w:gridCol w:w="213"/>
        <w:gridCol w:w="605"/>
        <w:gridCol w:w="118"/>
        <w:gridCol w:w="118"/>
        <w:gridCol w:w="118"/>
        <w:gridCol w:w="118"/>
        <w:gridCol w:w="213"/>
        <w:gridCol w:w="605"/>
        <w:gridCol w:w="167"/>
      </w:tblGrid>
      <w:tr>
        <w:trPr/>
        <w:tc>
          <w:tcPr>
            <w:tcW w:w="707"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577 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587 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1,149 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1,169 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Capitalized interest</w:t>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interest expense, net</w:t>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573 </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579 </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1,142 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1,153 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Recently Issued Accounting Pronouncements</w:t>
      </w:r>
    </w:p>
    <w:p>
      <w:pPr>
        <w:pStyle w:val="TextBody"/>
        <w:bidi w:val="0"/>
        <w:spacing w:lineRule="auto" w:line="288" w:before="18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Pronouncements to Be Implemented in Future Periods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 September 2025, the Financial Accounting Standards Board (“FASB”) issued Accounting Standards Update (“ASU”) 2025-06, “Intangibles-Goodwill and Other-Internal-Use Software: Targeted Improvements to the Accounting for Internal-Use Software.” Currently, entities are required to capitalize development costs incurred for internal-use software depending on the nature of the costs and project stage. The amendments in this update improve the operability of the guidance by removing all references to software development project stages so that guidance is neutral to different software development methods. Amendments in this update are effective for all entities for annual periods beginning after December 15, 2027. An entity may apply the new guidance: i) prospectively, ii) using a modified transition approach based on the status of a project, or iii) retrospectively. We do not expect the amendments in this update to have a material impact on our Financial Statements.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 November 2024 (as clarified in January 2025 by ASU 2025-01), FASB issued ASU 2024-03, “Income Statement-Reporting Comprehensive Income-Expense Disaggregation Disclosures,” which requires additional disclosure about specific expense categories in the notes to financial statements which is generally not presented in financial statements today. This update applies to all public business entities and will be effective for annual reporting periods beginning after December 15, 2026, and interim reporting periods within annual reporting periods beginning after December 15, 2027. Early adoption is permitted. We do not expect the amendments in this update to have a material impact on our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BF2115"/>
          <w:sz w:val="24"/>
        </w:rPr>
      </w:pPr>
      <w:r>
        <w:rPr>
          <w:rFonts w:ascii="Times New Roman;serif" w:hAnsi="Times New Roman;serif"/>
          <w:b/>
          <w:color w:val="BF2115"/>
          <w:sz w:val="24"/>
        </w:rPr>
        <w:t>Note 3. Property and Equipment, net</w:t>
      </w:r>
    </w:p>
    <w:tbl>
      <w:tblPr>
        <w:tblW w:w="7421" w:type="dxa"/>
        <w:jc w:val="left"/>
        <w:tblInd w:w="0" w:type="dxa"/>
        <w:tblLayout w:type="fixed"/>
        <w:tblCellMar>
          <w:top w:w="28" w:type="dxa"/>
          <w:left w:w="28" w:type="dxa"/>
          <w:bottom w:w="28" w:type="dxa"/>
          <w:right w:w="28" w:type="dxa"/>
        </w:tblCellMar>
      </w:tblPr>
      <w:tblGrid>
        <w:gridCol w:w="1576"/>
        <w:gridCol w:w="1383"/>
        <w:gridCol w:w="1391"/>
        <w:gridCol w:w="238"/>
        <w:gridCol w:w="785"/>
        <w:gridCol w:w="132"/>
        <w:gridCol w:w="109"/>
        <w:gridCol w:w="109"/>
        <w:gridCol w:w="109"/>
        <w:gridCol w:w="313"/>
        <w:gridCol w:w="1031"/>
        <w:gridCol w:w="245"/>
      </w:tblGrid>
      <w:tr>
        <w:trPr/>
        <w:tc>
          <w:tcPr>
            <w:tcW w:w="1576"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115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Land</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2,049 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2,057 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Buildings, riverboats, and leasehold and land improvements</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15,373 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15,295 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Furniture, fixtures, and equipment</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3,174 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Construction in progress</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property and equipment</w:t>
            </w:r>
          </w:p>
        </w:tc>
        <w:tc>
          <w:tcPr>
            <w:tcW w:w="10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20,964 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20,679 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accumulated depreciation</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(6,839)</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(6,321)</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property and equipment, net</w:t>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14,125 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14,358 </w:t>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 portion of our property and equipment is subject to various operating leases for which we are the lessor. Leased property includes our hotel rooms, convention space and retail space through various short-term and long-term operating leases.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04165"/>
                <wp:effectExtent l="0" t="0" r="0" b="0"/>
                <wp:wrapNone/>
                <wp:docPr id="14" name="Frame14"/>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25bc4ccd358f439aa099948f0102ebf8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25bc4ccd358f439aa099948f0102ebf8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CAESARS ENTERTAINMENT,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CONDENSED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7402" w:type="dxa"/>
        <w:jc w:val="left"/>
        <w:tblInd w:w="0" w:type="dxa"/>
        <w:tblLayout w:type="fixed"/>
        <w:tblCellMar>
          <w:top w:w="28" w:type="dxa"/>
          <w:left w:w="28" w:type="dxa"/>
          <w:bottom w:w="28" w:type="dxa"/>
          <w:right w:w="28" w:type="dxa"/>
        </w:tblCellMar>
      </w:tblPr>
      <w:tblGrid>
        <w:gridCol w:w="695"/>
        <w:gridCol w:w="611"/>
        <w:gridCol w:w="614"/>
        <w:gridCol w:w="269"/>
        <w:gridCol w:w="578"/>
        <w:gridCol w:w="149"/>
        <w:gridCol w:w="149"/>
        <w:gridCol w:w="149"/>
        <w:gridCol w:w="149"/>
        <w:gridCol w:w="269"/>
        <w:gridCol w:w="578"/>
        <w:gridCol w:w="149"/>
        <w:gridCol w:w="109"/>
        <w:gridCol w:w="109"/>
        <w:gridCol w:w="109"/>
        <w:gridCol w:w="246"/>
        <w:gridCol w:w="529"/>
        <w:gridCol w:w="137"/>
        <w:gridCol w:w="137"/>
        <w:gridCol w:w="137"/>
        <w:gridCol w:w="137"/>
        <w:gridCol w:w="246"/>
        <w:gridCol w:w="529"/>
        <w:gridCol w:w="137"/>
        <w:gridCol w:w="109"/>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Depreciation Expense</w:t>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expense</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635 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655 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Depreciation is calculated using the straight-line method over the shorter of the estimated useful life of the asset or the related lease.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BF2115"/>
          <w:sz w:val="24"/>
        </w:rPr>
      </w:pPr>
      <w:r>
        <w:rPr>
          <w:rFonts w:ascii="Times New Roman;serif" w:hAnsi="Times New Roman;serif"/>
          <w:b/>
          <w:color w:val="BF2115"/>
          <w:sz w:val="24"/>
        </w:rPr>
        <w:t>Note 4. Goodwill and Intangible Assets, net</w:t>
      </w:r>
    </w:p>
    <w:tbl>
      <w:tblPr>
        <w:tblW w:w="10205" w:type="dxa"/>
        <w:jc w:val="left"/>
        <w:tblInd w:w="0" w:type="dxa"/>
        <w:tblLayout w:type="fixed"/>
        <w:tblCellMar>
          <w:top w:w="28" w:type="dxa"/>
          <w:left w:w="28" w:type="dxa"/>
          <w:bottom w:w="28" w:type="dxa"/>
          <w:right w:w="28" w:type="dxa"/>
        </w:tblCellMar>
      </w:tblPr>
      <w:tblGrid>
        <w:gridCol w:w="1830"/>
        <w:gridCol w:w="1595"/>
        <w:gridCol w:w="1600"/>
        <w:gridCol w:w="579"/>
        <w:gridCol w:w="1246"/>
        <w:gridCol w:w="326"/>
        <w:gridCol w:w="109"/>
        <w:gridCol w:w="109"/>
        <w:gridCol w:w="109"/>
        <w:gridCol w:w="242"/>
        <w:gridCol w:w="798"/>
        <w:gridCol w:w="134"/>
        <w:gridCol w:w="134"/>
        <w:gridCol w:w="134"/>
        <w:gridCol w:w="134"/>
        <w:gridCol w:w="242"/>
        <w:gridCol w:w="687"/>
        <w:gridCol w:w="197"/>
      </w:tblGrid>
      <w:tr>
        <w:trPr/>
        <w:tc>
          <w:tcPr>
            <w:tcW w:w="1830" w:type="dxa"/>
            <w:tcBorders/>
            <w:vAlign w:val="center"/>
          </w:tcPr>
          <w:p>
            <w:pPr>
              <w:pStyle w:val="TableContents"/>
              <w:bidi w:val="0"/>
              <w:spacing w:before="0" w:after="283"/>
              <w:jc w:val="left"/>
              <w:rPr>
                <w:sz w:val="4"/>
                <w:szCs w:val="4"/>
              </w:rPr>
            </w:pPr>
            <w:r>
              <w:rPr>
                <w:sz w:val="4"/>
                <w:szCs w:val="4"/>
              </w:rPr>
            </w:r>
          </w:p>
        </w:tc>
        <w:tc>
          <w:tcPr>
            <w:tcW w:w="1595"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Changes in Carrying Value of Goodwill and Other Intangible Assets</w:t>
            </w:r>
          </w:p>
        </w:tc>
        <w:tc>
          <w:tcPr>
            <w:tcW w:w="2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Non-Amortizing Intangible Assets</w:t>
            </w:r>
          </w:p>
        </w:tc>
      </w:tr>
      <w:tr>
        <w:trPr/>
        <w:tc>
          <w:tcPr>
            <w:tcW w:w="5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21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Amortizing Intangible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Goodwill</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Other</w:t>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Balances as of December 31, 2025</w:t>
            </w:r>
          </w:p>
        </w:tc>
        <w:tc>
          <w:tcPr>
            <w:tcW w:w="5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730 </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10,441 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3,255 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vAlign w:val="center"/>
          </w:tcPr>
          <w:p>
            <w:pPr>
              <w:pStyle w:val="TableContents"/>
              <w:bidi w:val="0"/>
              <w:spacing w:before="0" w:after="283"/>
              <w:jc w:val="left"/>
              <w:rPr>
                <w:sz w:val="4"/>
                <w:szCs w:val="4"/>
              </w:rPr>
            </w:pPr>
            <w:r>
              <w:rPr>
                <w:sz w:val="4"/>
                <w:szCs w:val="4"/>
              </w:rPr>
            </w:r>
          </w:p>
        </w:tc>
        <w:tc>
          <w:tcPr>
            <w:tcW w:w="2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expense</w:t>
            </w:r>
          </w:p>
        </w:tc>
        <w:tc>
          <w:tcPr>
            <w:tcW w:w="1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In-place leases</w:t>
            </w:r>
          </w:p>
        </w:tc>
        <w:tc>
          <w:tcPr>
            <w:tcW w:w="1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vAlign w:val="center"/>
          </w:tcPr>
          <w:p>
            <w:pPr>
              <w:pStyle w:val="TableContents"/>
              <w:bidi w:val="0"/>
              <w:spacing w:before="0" w:after="283"/>
              <w:jc w:val="left"/>
              <w:rPr>
                <w:sz w:val="4"/>
                <w:szCs w:val="4"/>
              </w:rPr>
            </w:pPr>
            <w:r>
              <w:rPr>
                <w:sz w:val="4"/>
                <w:szCs w:val="4"/>
              </w:rPr>
            </w:r>
          </w:p>
        </w:tc>
        <w:tc>
          <w:tcPr>
            <w:tcW w:w="2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Balances as of June 30, 2026</w:t>
            </w:r>
          </w:p>
        </w:tc>
        <w:tc>
          <w:tcPr>
            <w:tcW w:w="5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704 </w:t>
            </w:r>
          </w:p>
        </w:tc>
        <w:tc>
          <w:tcPr>
            <w:tcW w:w="3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10,441 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3,255 </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0"/>
        <w:gridCol w:w="269"/>
        <w:gridCol w:w="270"/>
        <w:gridCol w:w="215"/>
        <w:gridCol w:w="215"/>
        <w:gridCol w:w="216"/>
        <w:gridCol w:w="111"/>
        <w:gridCol w:w="111"/>
        <w:gridCol w:w="111"/>
        <w:gridCol w:w="223"/>
        <w:gridCol w:w="634"/>
        <w:gridCol w:w="124"/>
        <w:gridCol w:w="111"/>
        <w:gridCol w:w="111"/>
        <w:gridCol w:w="111"/>
        <w:gridCol w:w="327"/>
        <w:gridCol w:w="729"/>
        <w:gridCol w:w="183"/>
        <w:gridCol w:w="111"/>
        <w:gridCol w:w="111"/>
        <w:gridCol w:w="111"/>
        <w:gridCol w:w="219"/>
        <w:gridCol w:w="622"/>
        <w:gridCol w:w="121"/>
        <w:gridCol w:w="111"/>
        <w:gridCol w:w="111"/>
        <w:gridCol w:w="111"/>
        <w:gridCol w:w="223"/>
        <w:gridCol w:w="634"/>
        <w:gridCol w:w="124"/>
        <w:gridCol w:w="111"/>
        <w:gridCol w:w="111"/>
        <w:gridCol w:w="111"/>
        <w:gridCol w:w="327"/>
        <w:gridCol w:w="729"/>
        <w:gridCol w:w="183"/>
        <w:gridCol w:w="109"/>
        <w:gridCol w:w="109"/>
        <w:gridCol w:w="109"/>
        <w:gridCol w:w="218"/>
        <w:gridCol w:w="618"/>
        <w:gridCol w:w="190"/>
      </w:tblGrid>
      <w:tr>
        <w:trPr/>
        <w:tc>
          <w:tcPr>
            <w:tcW w:w="600"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8852" w:type="dxa"/>
            <w:gridSpan w:val="3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Gross Carrying Value and Accumulated Amortization of Intangible Assets Other Than Goodwill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(Dollars in millions)</w:t>
            </w:r>
          </w:p>
        </w:tc>
        <w:tc>
          <w:tcPr>
            <w:tcW w:w="6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Useful Life</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 Carrying Amount</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Amortization</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 Carrying Amount</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 Carrying Amount</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 Carrying Amount</w:t>
            </w:r>
          </w:p>
        </w:tc>
      </w:tr>
      <w:tr>
        <w:trPr/>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Amortizing intangible assets</w:t>
            </w:r>
          </w:p>
        </w:tc>
        <w:tc>
          <w:tcPr>
            <w:tcW w:w="6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relationships</w:t>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1 - 7 years</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(529)</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(495)</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Gaming rights and other</w:t>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10 - 34 years</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Trademarks</w:t>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15 years</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Reacquired rights</w:t>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24 years</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Technology</w:t>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3 - 6 years</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In-place leases</w:t>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3 - 15 years</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1,591 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(887)</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704 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1,554 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(824)</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730 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9"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Non-amortizing intangible assets other than Goodwill</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Trademarks</w:t>
            </w:r>
          </w:p>
        </w:tc>
        <w:tc>
          <w:tcPr>
            <w:tcW w:w="6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1,749 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Gaming rights</w:t>
            </w:r>
          </w:p>
        </w:tc>
        <w:tc>
          <w:tcPr>
            <w:tcW w:w="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983 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Caesars Rewards</w:t>
            </w:r>
          </w:p>
        </w:tc>
        <w:tc>
          <w:tcPr>
            <w:tcW w:w="6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523 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r>
      <w:tr>
        <w:trPr/>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3,255 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3,255 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1" w:type="dxa"/>
            <w:gridSpan w:val="18"/>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amortizing and non-amortizing intangible assets other than Goodwill, net</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3,959 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3,985 </w:t>
            </w:r>
          </w:p>
        </w:tc>
        <w:tc>
          <w:tcPr>
            <w:tcW w:w="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Amortization expense with respect to intangible assets for both the three months ended June 30, 2026 and 2025 totaled $33 million, and for the six months ended June 30, 2026 and 2025 totaled $67 million and $66 million, respectively, which is included in Depreciation and amortization in the Statements of Operations.</w:t>
      </w:r>
    </w:p>
    <w:tbl>
      <w:tblPr>
        <w:tblW w:w="9088" w:type="dxa"/>
        <w:jc w:val="left"/>
        <w:tblInd w:w="0" w:type="dxa"/>
        <w:tblLayout w:type="fixed"/>
        <w:tblCellMar>
          <w:top w:w="28" w:type="dxa"/>
          <w:left w:w="28" w:type="dxa"/>
          <w:bottom w:w="28" w:type="dxa"/>
          <w:right w:w="28" w:type="dxa"/>
        </w:tblCellMar>
      </w:tblPr>
      <w:tblGrid>
        <w:gridCol w:w="1044"/>
        <w:gridCol w:w="915"/>
        <w:gridCol w:w="920"/>
        <w:gridCol w:w="415"/>
        <w:gridCol w:w="702"/>
        <w:gridCol w:w="232"/>
        <w:gridCol w:w="109"/>
        <w:gridCol w:w="109"/>
        <w:gridCol w:w="109"/>
        <w:gridCol w:w="196"/>
        <w:gridCol w:w="331"/>
        <w:gridCol w:w="109"/>
        <w:gridCol w:w="109"/>
        <w:gridCol w:w="109"/>
        <w:gridCol w:w="109"/>
        <w:gridCol w:w="196"/>
        <w:gridCol w:w="331"/>
        <w:gridCol w:w="109"/>
        <w:gridCol w:w="109"/>
        <w:gridCol w:w="109"/>
        <w:gridCol w:w="109"/>
        <w:gridCol w:w="196"/>
        <w:gridCol w:w="331"/>
        <w:gridCol w:w="109"/>
        <w:gridCol w:w="109"/>
        <w:gridCol w:w="109"/>
        <w:gridCol w:w="109"/>
        <w:gridCol w:w="196"/>
        <w:gridCol w:w="331"/>
        <w:gridCol w:w="109"/>
        <w:gridCol w:w="109"/>
        <w:gridCol w:w="109"/>
        <w:gridCol w:w="109"/>
        <w:gridCol w:w="196"/>
        <w:gridCol w:w="331"/>
        <w:gridCol w:w="154"/>
      </w:tblGrid>
      <w:tr>
        <w:trPr/>
        <w:tc>
          <w:tcPr>
            <w:tcW w:w="1044"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Estimated Five-Year Amortization</w:t>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Remaining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Years Ended December 31,</w:t>
            </w:r>
          </w:p>
        </w:tc>
      </w:tr>
      <w:tr>
        <w:trPr/>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134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2027</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2028</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2029</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2031</w:t>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Estimated amortization expense</w:t>
            </w:r>
          </w:p>
        </w:tc>
        <w:tc>
          <w:tcPr>
            <w:tcW w:w="4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04165"/>
                <wp:effectExtent l="0" t="0" r="0" b="0"/>
                <wp:wrapNone/>
                <wp:docPr id="15" name="Frame15"/>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25bc4ccd358f439aa099948f0102ebf8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25bc4ccd358f439aa099948f0102ebf8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CAESARS ENTERTAINMENT,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CONDENSED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80" w:after="283"/>
        <w:jc w:val="left"/>
        <w:rPr>
          <w:rFonts w:ascii="Times New Roman;serif" w:hAnsi="Times New Roman;serif"/>
          <w:b/>
          <w:color w:val="BF2115"/>
          <w:sz w:val="24"/>
        </w:rPr>
      </w:pPr>
      <w:r>
        <w:rPr>
          <w:rFonts w:ascii="Times New Roman;serif" w:hAnsi="Times New Roman;serif"/>
          <w:b/>
          <w:color w:val="BF2115"/>
          <w:sz w:val="24"/>
        </w:rPr>
        <w:t xml:space="preserve">Note 5. Litigation, Commitments and Contingencies </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Litigation</w:t>
      </w:r>
    </w:p>
    <w:p>
      <w:pPr>
        <w:pStyle w:val="TextBody"/>
        <w:bidi w:val="0"/>
        <w:spacing w:lineRule="auto" w:line="288" w:before="18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General</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are party to various legal proceedings, which have arisen in the normal course of our business. Such proceedings can be costly, time consuming, unpredictable and, therefore, no assurance can be given that the final outcome of such proceedings will not materially impact our consolidated financial condition or results of operations. Estimated losses are accrued for these proceedings when the loss is probable and can be estimated. While we maintain insurance coverage that we believe is adequate to mitigate certain risks of such proceedings, no assurance can be given that the amount or scope of existing insurance coverage will be sufficient to cover losses arising from such matters. The current liability for the estimated losses associated with these proceedings is not material to our consolidated financial condition and changes in such estimates are not expected to have a material impact on our results of operations.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Contractual Commitments</w:t>
      </w:r>
    </w:p>
    <w:p>
      <w:pPr>
        <w:pStyle w:val="TextBody"/>
        <w:bidi w:val="0"/>
        <w:spacing w:lineRule="auto" w:line="288" w:before="18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Sports Sponsorship/Partnership Obligations</w:t>
      </w:r>
    </w:p>
    <w:p>
      <w:pPr>
        <w:pStyle w:val="TextBody"/>
        <w:bidi w:val="0"/>
        <w:spacing w:lineRule="auto" w:line="288" w:before="180" w:after="283"/>
        <w:jc w:val="both"/>
        <w:rPr/>
      </w:pPr>
      <w:r>
        <w:rPr>
          <w:rFonts w:ascii="Times New Roman;serif" w:hAnsi="Times New Roman;serif"/>
          <w:b w:val="false"/>
          <w:color w:val="222222"/>
          <w:sz w:val="20"/>
        </w:rPr>
        <w:t xml:space="preserve">The Company has agreements with certain sporting event facilities and professional sports teams primarily for tickets, suites, advertising, marketing, promotional and sponsorship opportunities. The agreements include leasing of event suites that are generally considered short-term leases for which the Company does not record a right-of-use asset or lease liability and recognizes expenses in the period services are received. As of </w:t>
      </w:r>
      <w:r>
        <w:rPr>
          <w:rFonts w:ascii="Times New Roman;serif" w:hAnsi="Times New Roman;serif"/>
          <w:b w:val="false"/>
          <w:color w:val="000000"/>
          <w:sz w:val="20"/>
        </w:rPr>
        <w:t>June 30, 2026 and December 31, 2025</w:t>
      </w:r>
      <w:r>
        <w:rPr>
          <w:rFonts w:ascii="Times New Roman;serif" w:hAnsi="Times New Roman;serif"/>
          <w:b w:val="false"/>
          <w:color w:val="222222"/>
          <w:sz w:val="20"/>
        </w:rPr>
        <w:t xml:space="preserve">, obligations related to these agreements were $309 million and $318 million, respectively, with contracts extending through 2040. </w:t>
      </w:r>
    </w:p>
    <w:tbl>
      <w:tblPr>
        <w:tblW w:w="7280" w:type="dxa"/>
        <w:jc w:val="left"/>
        <w:tblInd w:w="0" w:type="dxa"/>
        <w:tblLayout w:type="fixed"/>
        <w:tblCellMar>
          <w:top w:w="28" w:type="dxa"/>
          <w:left w:w="28" w:type="dxa"/>
          <w:bottom w:w="28" w:type="dxa"/>
          <w:right w:w="28" w:type="dxa"/>
        </w:tblCellMar>
      </w:tblPr>
      <w:tblGrid>
        <w:gridCol w:w="2358"/>
        <w:gridCol w:w="2070"/>
        <w:gridCol w:w="2081"/>
        <w:gridCol w:w="196"/>
        <w:gridCol w:w="421"/>
        <w:gridCol w:w="154"/>
      </w:tblGrid>
      <w:tr>
        <w:trPr/>
        <w:tc>
          <w:tcPr>
            <w:tcW w:w="2358" w:type="dxa"/>
            <w:tcBorders/>
            <w:vAlign w:val="center"/>
          </w:tcPr>
          <w:p>
            <w:pPr>
              <w:pStyle w:val="TableContents"/>
              <w:bidi w:val="0"/>
              <w:spacing w:before="0" w:after="283"/>
              <w:jc w:val="left"/>
              <w:rPr>
                <w:sz w:val="4"/>
                <w:szCs w:val="4"/>
              </w:rPr>
            </w:pPr>
            <w:r>
              <w:rPr>
                <w:sz w:val="4"/>
                <w:szCs w:val="4"/>
              </w:rPr>
            </w:r>
          </w:p>
        </w:tc>
        <w:tc>
          <w:tcPr>
            <w:tcW w:w="2070" w:type="dxa"/>
            <w:tcBorders/>
            <w:vAlign w:val="center"/>
          </w:tcPr>
          <w:p>
            <w:pPr>
              <w:pStyle w:val="TableContents"/>
              <w:bidi w:val="0"/>
              <w:spacing w:before="0" w:after="283"/>
              <w:jc w:val="left"/>
              <w:rPr>
                <w:sz w:val="4"/>
                <w:szCs w:val="4"/>
              </w:rPr>
            </w:pPr>
            <w:r>
              <w:rPr>
                <w:sz w:val="4"/>
                <w:szCs w:val="4"/>
              </w:rPr>
            </w:r>
          </w:p>
        </w:tc>
        <w:tc>
          <w:tcPr>
            <w:tcW w:w="20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09"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Maturities of Sports Sponsorship/Partnership Obligations as of June 30, 2026</w:t>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Remaining 2026</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2030</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Thereafter</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Self-Insurance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Company is self-insured for workers compensation and other risk insurance, as well as health insurance and general liability. The Company’s total estimated self-insurance liability was $235 million and $212 million as of June 30, 2026 and December 31, 2025, respectively, which is included in Accrued other liabilities in our Balance Sheets.</w:t>
      </w:r>
    </w:p>
    <w:p>
      <w:pPr>
        <w:pStyle w:val="TextBody"/>
        <w:bidi w:val="0"/>
        <w:spacing w:lineRule="auto" w:line="288" w:before="180" w:after="283"/>
        <w:jc w:val="both"/>
        <w:rPr>
          <w:rFonts w:ascii="Times New Roman;serif" w:hAnsi="Times New Roman;serif"/>
          <w:b w:val="false"/>
          <w:color w:val="222222"/>
          <w:sz w:val="20"/>
        </w:rPr>
      </w:pPr>
      <w:r>
        <w:rPr>
          <w:rFonts w:ascii="Times New Roman;serif" w:hAnsi="Times New Roman;serif"/>
          <w:b w:val="false"/>
          <w:color w:val="222222"/>
          <w:sz w:val="20"/>
        </w:rPr>
        <w:t>The assumptions utilized by our actuaries are subject to significant uncertainty and if outcomes differ from these assumptions or events develop or progress in a negative manner, the Company could experience a material adverse effect and additional liabilities may be recorded in the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04165"/>
                <wp:effectExtent l="0" t="0" r="0" b="0"/>
                <wp:wrapNone/>
                <wp:docPr id="16" name="Frame16"/>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25bc4ccd358f439aa099948f0102ebf8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25bc4ccd358f439aa099948f0102ebf8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CAESARS ENTERTAINMENT,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CONDENSED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80" w:after="283"/>
        <w:jc w:val="both"/>
        <w:rPr>
          <w:rFonts w:ascii="Times New Roman;serif" w:hAnsi="Times New Roman;serif"/>
          <w:b/>
          <w:color w:val="BF2115"/>
          <w:sz w:val="24"/>
        </w:rPr>
      </w:pPr>
      <w:r>
        <w:rPr>
          <w:rFonts w:ascii="Times New Roman;serif" w:hAnsi="Times New Roman;serif"/>
          <w:b/>
          <w:color w:val="BF2115"/>
          <w:sz w:val="24"/>
        </w:rPr>
        <w:t>Note 6. Long-Term Debt</w:t>
      </w:r>
    </w:p>
    <w:tbl>
      <w:tblPr>
        <w:tblW w:w="9951" w:type="dxa"/>
        <w:jc w:val="left"/>
        <w:tblInd w:w="0" w:type="dxa"/>
        <w:tblLayout w:type="fixed"/>
        <w:tblCellMar>
          <w:top w:w="28" w:type="dxa"/>
          <w:left w:w="28" w:type="dxa"/>
          <w:bottom w:w="28" w:type="dxa"/>
          <w:right w:w="28" w:type="dxa"/>
        </w:tblCellMar>
      </w:tblPr>
      <w:tblGrid>
        <w:gridCol w:w="1078"/>
        <w:gridCol w:w="950"/>
        <w:gridCol w:w="953"/>
        <w:gridCol w:w="451"/>
        <w:gridCol w:w="451"/>
        <w:gridCol w:w="454"/>
        <w:gridCol w:w="120"/>
        <w:gridCol w:w="120"/>
        <w:gridCol w:w="120"/>
        <w:gridCol w:w="241"/>
        <w:gridCol w:w="241"/>
        <w:gridCol w:w="246"/>
        <w:gridCol w:w="109"/>
        <w:gridCol w:w="109"/>
        <w:gridCol w:w="109"/>
        <w:gridCol w:w="196"/>
        <w:gridCol w:w="646"/>
        <w:gridCol w:w="109"/>
        <w:gridCol w:w="109"/>
        <w:gridCol w:w="109"/>
        <w:gridCol w:w="109"/>
        <w:gridCol w:w="207"/>
        <w:gridCol w:w="683"/>
        <w:gridCol w:w="115"/>
        <w:gridCol w:w="109"/>
        <w:gridCol w:w="109"/>
        <w:gridCol w:w="109"/>
        <w:gridCol w:w="313"/>
        <w:gridCol w:w="1031"/>
        <w:gridCol w:w="245"/>
      </w:tblGrid>
      <w:tr>
        <w:trPr/>
        <w:tc>
          <w:tcPr>
            <w:tcW w:w="1078"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2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29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(Dollars in millions)</w:t>
            </w:r>
          </w:p>
        </w:tc>
        <w:tc>
          <w:tcPr>
            <w:tcW w:w="13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Final Maturity</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Face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Book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Book Value</w:t>
            </w:r>
          </w:p>
        </w:tc>
      </w:tr>
      <w:tr>
        <w:trPr/>
        <w:tc>
          <w:tcPr>
            <w:tcW w:w="2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Secured Debt</w:t>
            </w:r>
          </w:p>
        </w:tc>
        <w:tc>
          <w:tcPr>
            <w:tcW w:w="13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CEI Revolving Credit Facility</w:t>
            </w:r>
          </w:p>
        </w:tc>
        <w:tc>
          <w:tcPr>
            <w:tcW w:w="13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2028</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variable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CEI Term Loan A</w:t>
            </w:r>
          </w:p>
        </w:tc>
        <w:tc>
          <w:tcPr>
            <w:tcW w:w="13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2028</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variable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636 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CVA Revolving Credit Facility</w:t>
            </w:r>
          </w:p>
        </w:tc>
        <w:tc>
          <w:tcPr>
            <w:tcW w:w="13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2029</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variable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CVA Delayed Draw Term Loan</w:t>
            </w:r>
          </w:p>
        </w:tc>
        <w:tc>
          <w:tcPr>
            <w:tcW w:w="13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2029</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variable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CEI Term Loan B</w:t>
            </w:r>
          </w:p>
        </w:tc>
        <w:tc>
          <w:tcPr>
            <w:tcW w:w="13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2030</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variable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2,002 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CEI Term Loan B-1</w:t>
            </w:r>
          </w:p>
        </w:tc>
        <w:tc>
          <w:tcPr>
            <w:tcW w:w="13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2031</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variable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2,820 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CEI Senior Secured Notes due 2030</w:t>
            </w:r>
          </w:p>
        </w:tc>
        <w:tc>
          <w:tcPr>
            <w:tcW w:w="13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2030</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1,986 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CEI Senior Secured Notes due 2032</w:t>
            </w:r>
          </w:p>
        </w:tc>
        <w:tc>
          <w:tcPr>
            <w:tcW w:w="13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2032</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1,486 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Unsecured Debt</w:t>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CEI Senior Notes due 2029</w:t>
            </w:r>
          </w:p>
        </w:tc>
        <w:tc>
          <w:tcPr>
            <w:tcW w:w="13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2029</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4.625%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1,192 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CEI Senior Notes due 2032</w:t>
            </w:r>
          </w:p>
        </w:tc>
        <w:tc>
          <w:tcPr>
            <w:tcW w:w="13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2032</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1,087 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Special Improvement District Bonds</w:t>
            </w:r>
          </w:p>
        </w:tc>
        <w:tc>
          <w:tcPr>
            <w:tcW w:w="13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2037</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notes and other payables</w:t>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5"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11,705 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11,792 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5"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w:t>
            </w:r>
          </w:p>
        </w:tc>
        <w:tc>
          <w:tcPr>
            <w:tcW w:w="24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25"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finance charges associated with the CEI Revolving Credit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5"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11,585 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11,670 </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5" w:type="dxa"/>
            <w:gridSpan w:val="12"/>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5"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Unamortized discounts and deferred finance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5"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776"/>
        <w:gridCol w:w="652"/>
        <w:gridCol w:w="647"/>
        <w:gridCol w:w="255"/>
        <w:gridCol w:w="548"/>
        <w:gridCol w:w="143"/>
        <w:gridCol w:w="109"/>
        <w:gridCol w:w="109"/>
        <w:gridCol w:w="109"/>
        <w:gridCol w:w="196"/>
        <w:gridCol w:w="421"/>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208"/>
        <w:gridCol w:w="591"/>
        <w:gridCol w:w="117"/>
        <w:gridCol w:w="109"/>
        <w:gridCol w:w="109"/>
        <w:gridCol w:w="109"/>
        <w:gridCol w:w="196"/>
        <w:gridCol w:w="646"/>
        <w:gridCol w:w="155"/>
      </w:tblGrid>
      <w:tr>
        <w:trPr/>
        <w:tc>
          <w:tcPr>
            <w:tcW w:w="776"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638" w:type="dxa"/>
            <w:gridSpan w:val="30"/>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Annual Estimated Debt Service Requirements 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Remaining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9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2027</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2028</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2029</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Thereafter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Annual maturities of long-term debt</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5,335 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11,807 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Estimated interest payments</w:t>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Total debt service obligation </w:t>
            </w:r>
            <w:r>
              <w:rPr>
                <w:rFonts w:ascii="Times New Roman;serif" w:hAnsi="Times New Roman;serif"/>
                <w:b w:val="false"/>
                <w:i/>
                <w:color w:val="000000"/>
                <w:sz w:val="12"/>
              </w:rPr>
              <w:t>(a)</w:t>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5,635 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14,977 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____________________</w:t>
      </w:r>
    </w:p>
    <w:p>
      <w:pPr>
        <w:pStyle w:val="TextBody"/>
        <w:bidi w:val="0"/>
        <w:spacing w:lineRule="auto" w:line="288" w:before="60" w:after="283"/>
        <w:ind w:left="0" w:right="0" w:hanging="360"/>
        <w:jc w:val="both"/>
        <w:rPr/>
      </w:pPr>
      <w:r>
        <w:rPr>
          <w:rFonts w:ascii="Times New Roman;serif" w:hAnsi="Times New Roman;serif"/>
          <w:b w:val="false"/>
          <w:i/>
          <w:color w:val="000000"/>
          <w:sz w:val="10"/>
        </w:rPr>
        <w:t>(a)</w:t>
      </w:r>
      <w:r>
        <w:rPr>
          <w:rFonts w:ascii="Times New Roman;serif" w:hAnsi="Times New Roman;serif"/>
          <w:b w:val="false"/>
          <w:i/>
          <w:color w:val="000000"/>
          <w:sz w:val="16"/>
        </w:rPr>
        <w:t>Debt principal payments are estimated amounts based on contractual maturity and scheduled repayment dates. Interest payments are estimated based on forward-looking interest rate curves, where applicable. Actual payments may differ from these estimates.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Current Portion of Long-Term Debt</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current portion of long-term debt as of June 30, 2026 includes the principal payments on the term loans, special improvement district bonds, and other unsecured borrowings that are contractually due within 12 months. The Company may, from time to time, seek to repurchase or prepay its outstanding indebtedness. Any such purchases or repayments may be funded by existing cash balances or the incurrence of debt. The amount and timing of any repurchase will be based on business and market conditions, capital availability, compliance with debt covenants and other considerations.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Debt Discounts or Premiums and Deferred Finance Charges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Debt discounts or premiums and deferred finance charges incurred in connection with the issuance of debt are amortized to interest expense based on the related debt agreements primarily using the effective interest method. Unamortized discounts are written off and included in our gain or loss calculations to the extent we extinguish debt prior to the original maturity or scheduled payment dates.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Net amortization of the debt issuance costs and the discount and/or premium associated with the Company’s indebtedness totaled $7 million for both the three months ended June 30, 2026 and 2025 and $13 million for both the six months ended June 30, 2026 and 2025 and is included in Interest expense, net in the Statements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04165"/>
                <wp:effectExtent l="0" t="0" r="0" b="0"/>
                <wp:wrapNone/>
                <wp:docPr id="17" name="Frame17"/>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25bc4ccd358f439aa099948f0102ebf8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25bc4ccd358f439aa099948f0102ebf8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CAESARS ENTERTAINMENT,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CONDENSED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Fair Value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fair value of debt has been calculated primarily based on the borrowing rates available as of June 30, 2026 and based on market quotes of our publicly traded debt. We classify the fair value of debt within Level 1 and Level 2 in the fair value hierarchy.</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Terms of Outstanding Debt</w:t>
      </w:r>
    </w:p>
    <w:p>
      <w:pPr>
        <w:pStyle w:val="TextBody"/>
        <w:bidi w:val="0"/>
        <w:spacing w:lineRule="auto" w:line="288" w:before="18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CEI Term Loans and CEI Revolving Credit Facility</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CEI is party to a credit agreement, dated as of July 20, 2020, with JPMorgan Chase Bank, N.A., as administrative agent, U.S. Bank National Association, as collateral agent, and certain banks and other financial institutions and lenders party thereto (the “CEI Credit Agreement”), which, as amended, provides for the CEI Revolving Credit Facility in an aggregate principal amount of $2.25 billion (the “CEI Revolving Credit Facility”) and will mature on January 31, 2028. The CEI Revolving Credit Facility includes a letter of credit sub-facility of $388 million and contains reserves of $40 million which are available only for certain permitted uses.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On October 5, 2022, Caesars entered into an amendment to the CEI Credit Agreement pursuant to which the Company incurred a senior secured term loan in an aggregate principal amount of $750 million (the “CEI Term Loan A”) as a new term loan under the credit agreement and made certain other amendments to the CEI Credit Agreement. The CEI Term Loan A will mature on January 31, 2028. The CEI Term Loan A requires scheduled quarterly payments in amounts equal to 1.25% of the original aggregate principal amount of the CEI Term Loan A, with the balance payable at maturity.</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Borrowings under the CEI Revolving Credit Facility and the CEI Term Loan A bear interest, paid at least quarterly, at a rate equal to, at the Company’s option, either (a) a forward-looking term rate based on the Secured Overnight Financing Rate (“Term SOFR”) for the applicable interest period plus an adjustment of 0.10% per annum (the “Term SOFR Adjustment” and Term SOFR as so adjusted, “Adjusted Term SOFR”), subject to a floor of 0% or (b) a base rate (the “Base Rate”) determined by reference to the highest of (i) the rate of interest per annum last quoted by The Wall Street Journal as the “Prime Rate” in the United States, (ii) the federal funds rate plus 0.50% per annum and (iii) the one-month Term SOFR plus 1.00% per annum, plus, in the case of the CEI Revolving Credit Facility and the CEI Term Loan A only, the Term SOFR Adjustment, in each case, plus an applicable margin. Such applicable margin is 2.25% per annum in the case of any Adjusted Term SOFR loan and 1.25% per annum in the case of any Base Rate loan, subject to three 0.25% step-downs based on the Company’s net total leverage ratio. In addition, on a quarterly basis, the Company is required to pay each lender under the CEI Revolving Credit Facility a commitment fee in respect of any unused commitments under the CEI Revolving Credit Facility in the amount of 0.35% per annum of the principal amount of the unused commitments of such lender, subject to three 0.05% step-downs based on the Company’s net total leverage ratio.</w:t>
      </w:r>
    </w:p>
    <w:p>
      <w:pPr>
        <w:pStyle w:val="TextBody"/>
        <w:bidi w:val="0"/>
        <w:spacing w:lineRule="auto" w:line="288" w:before="180" w:after="283"/>
        <w:jc w:val="both"/>
        <w:rPr>
          <w:rFonts w:ascii="Times New Roman;serif" w:hAnsi="Times New Roman;serif"/>
          <w:b w:val="false"/>
          <w:color w:val="212529"/>
          <w:sz w:val="20"/>
        </w:rPr>
      </w:pPr>
      <w:r>
        <w:rPr>
          <w:rFonts w:ascii="Times New Roman;serif" w:hAnsi="Times New Roman;serif"/>
          <w:b w:val="false"/>
          <w:color w:val="212529"/>
          <w:sz w:val="20"/>
        </w:rPr>
        <w:t xml:space="preserve">On February 6, 2023, the Company entered into an Incremental Assumption Agreement No. 2 pursuant to which the Company incurred a new senior secured incremental term loan in an aggregate principal amount of $2.5 billion (the “CEI Term Loan B”) under the CEI Credit Agreement. The CEI Term Loan B requires scheduled quarterly principal payments in amounts equal to 0.25% of the original aggregate principal amount of the CEI Term Loan B, with the balance payable at maturity. Borrowings under the CEI Term Loan B, as amended, bear interest, paid at least quarterly, at a rate equal to, at the Company’s option, either (a) Term SOFR, subject to a floor of 0.50% or (b) the Base Rate, in each case, plus an applicable margin. Such applicable margin is 2.25% per annum in the case of any Term SOFR loan and 1.25% per annum in the case of any Base Rate loan. The CEI Term Loan B will mature on February 6, 2030. </w:t>
      </w:r>
    </w:p>
    <w:p>
      <w:pPr>
        <w:pStyle w:val="TextBody"/>
        <w:bidi w:val="0"/>
        <w:spacing w:lineRule="auto" w:line="288" w:before="180" w:after="283"/>
        <w:jc w:val="both"/>
        <w:rPr/>
      </w:pPr>
      <w:r>
        <w:rPr>
          <w:rFonts w:ascii="Times New Roman;serif" w:hAnsi="Times New Roman;serif"/>
          <w:b w:val="false"/>
          <w:color w:val="212529"/>
          <w:sz w:val="20"/>
        </w:rPr>
        <w:t>On February 6, 2024, the Company entered into an Incremental Assumption Agreement No. 3 pursuant to which the Company incurred a new senior secured incremental term loan in an aggregate principal amount of $2.9 billion (the “CEI Term Loan B-1”) under the CEI Credit Agreement. The CEI Term Loan B-1 requires quarterly principal payments in amounts equal to 0.25% of the original aggregate principal amount of the CEI Term Loan B-1, with the balance payable at maturity. Borrowings under the CEI Term Loan B-1, as amended, bear interest</w:t>
      </w:r>
      <w:r>
        <w:rPr>
          <w:rFonts w:ascii="Times New Roman;serif" w:hAnsi="Times New Roman;serif"/>
          <w:b w:val="false"/>
          <w:color w:val="000000"/>
          <w:sz w:val="20"/>
        </w:rPr>
        <w:t>, paid at least quarterly,</w:t>
      </w:r>
      <w:r>
        <w:rPr>
          <w:color w:val="212529"/>
        </w:rPr>
        <w:t xml:space="preserve"> </w:t>
      </w:r>
      <w:r>
        <w:rPr>
          <w:rFonts w:ascii="Times New Roman;serif" w:hAnsi="Times New Roman;serif"/>
          <w:b w:val="false"/>
          <w:color w:val="212529"/>
          <w:sz w:val="20"/>
        </w:rPr>
        <w:t>at a rate equal to, at the Company’s option, either (a) Term SOFR, subject to a floor of 0.50% or (b) the Base Rate, in each case, plus an applicable margin. Such applicable margin is 2.25% per annum in the case of any Term SOFR loan and 1.25% per annum in the case of any Base Rate loan. The CEI Term Loan B-1 will mature on February 6, 2031.</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the Company had $1.9 billion of available borrowing capacity under the CEI Revolving Credit Facility, after consideration of $96 million in outstanding letters of credit, $56 million committed for regulatory purposes, the outstanding amount, and the reserves described above.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04165"/>
                <wp:effectExtent l="0" t="0" r="0" b="0"/>
                <wp:wrapNone/>
                <wp:docPr id="18" name="Frame18"/>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25bc4ccd358f439aa099948f0102ebf8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25bc4ccd358f439aa099948f0102ebf8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CAESARS ENTERTAINMENT,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CONDENSED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8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Caesars Virginia Credit Facility due 2029</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On April 26, 2024, Caesars Virginia, LLC entered into a credit agreement with Wells Fargo Bank, N.A., as administrative agent and collateral agent, and certain banks and other financial institutions and lenders party thereto, which provides for a senior secured first lien multi-draw term loan facility up to an aggregate principal amount of $400 million (the “CVA Delayed Draw Term Loan”) and a senior secured first lien revolving credit facility in an aggregate principal amount of $25 million (the “CVA Revolving Credit Facility”), both maturing on April 26, 2029.</w:t>
      </w:r>
    </w:p>
    <w:p>
      <w:pPr>
        <w:pStyle w:val="TextBody"/>
        <w:bidi w:val="0"/>
        <w:spacing w:lineRule="auto" w:line="288" w:before="180" w:after="283"/>
        <w:jc w:val="both"/>
        <w:rPr/>
      </w:pPr>
      <w:r>
        <w:rPr>
          <w:rFonts w:ascii="Times New Roman;serif" w:hAnsi="Times New Roman;serif"/>
          <w:b w:val="false"/>
          <w:color w:val="212529"/>
          <w:sz w:val="20"/>
        </w:rPr>
        <w:t xml:space="preserve">The CVA Delayed Draw Term Loan requires quarterly principal payments which began on </w:t>
      </w:r>
      <w:r>
        <w:rPr>
          <w:rFonts w:ascii="Times New Roman;serif" w:hAnsi="Times New Roman;serif"/>
          <w:b w:val="false"/>
          <w:color w:val="000000"/>
          <w:sz w:val="20"/>
        </w:rPr>
        <w:t>June 30, 2025</w:t>
      </w:r>
      <w:r>
        <w:rPr>
          <w:rFonts w:ascii="Times New Roman;serif" w:hAnsi="Times New Roman;serif"/>
          <w:b w:val="false"/>
          <w:color w:val="212529"/>
          <w:sz w:val="20"/>
        </w:rPr>
        <w:t xml:space="preserve">. </w:t>
      </w:r>
      <w:r>
        <w:rPr>
          <w:rFonts w:ascii="Times New Roman;serif" w:hAnsi="Times New Roman;serif"/>
          <w:b w:val="false"/>
          <w:color w:val="000000"/>
          <w:sz w:val="20"/>
        </w:rPr>
        <w:t>The CVA Revolving Credit Facility and the CVA Delayed Draw Term Loan are subject to a variable rate of interest based on</w:t>
      </w:r>
      <w:r>
        <w:rPr>
          <w:color w:val="212529"/>
        </w:rPr>
        <w:t xml:space="preserve"> </w:t>
      </w:r>
      <w:r>
        <w:rPr>
          <w:rFonts w:ascii="Times New Roman;serif" w:hAnsi="Times New Roman;serif"/>
          <w:b w:val="false"/>
          <w:color w:val="212529"/>
          <w:sz w:val="20"/>
        </w:rPr>
        <w:t xml:space="preserve">Term SOFR plus an applicable margin. </w:t>
      </w:r>
      <w:r>
        <w:rPr>
          <w:rFonts w:ascii="Times New Roman;serif" w:hAnsi="Times New Roman;serif"/>
          <w:b w:val="false"/>
          <w:color w:val="000000"/>
          <w:sz w:val="20"/>
        </w:rPr>
        <w:t>The CVA Revolving Credit Facility includes a $10 million letter of credit sub-facility.</w:t>
      </w:r>
    </w:p>
    <w:p>
      <w:pPr>
        <w:pStyle w:val="TextBody"/>
        <w:bidi w:val="0"/>
        <w:spacing w:lineRule="auto" w:line="288" w:before="18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CEI Senior Secured Notes due 2030</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On February 6, 2023, the Company issued $2.0 billion in aggregate principal amount of 7.00% senior secured notes (the “CEI Senior Secured Notes due 2030”) pursuant to an indenture by and among the Company, the subsidiary guarantors party thereto from time to time, U.S. Bank Trust Company, National Association, as trustee, and U.S. Bank National Association, as collateral agent. The CEI Senior Secured Notes due 2030 rank equally with all existing and future first-priority lien obligations of the Company and the subsidiary guarantors. The CEI Senior Secured Notes due 2030 will mature on February 15, 2030, with interest payable semi-annually on February 15 and August 15 of each year.</w:t>
      </w:r>
    </w:p>
    <w:p>
      <w:pPr>
        <w:pStyle w:val="TextBody"/>
        <w:bidi w:val="0"/>
        <w:spacing w:lineRule="auto" w:line="288" w:before="18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CEI Senior Secured Notes due 2032</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On February 6, 2024, the Company issued $1.5 billion in aggregate principal amount of 6.50% senior secured notes due 2032 (the “CEI Senior Secured Notes due 2032”) pursuant to an indenture by and among the Company, the subsidiary guarantors party thereto, U.S. Bank Trust Company, National Association, as trustee, and U.S. Bank National Association, as collateral agent. The CEI Senior Secured Notes due 2032 rank equally with all existing and future first-priority lien obligations of the Company and the subsidiary guarantors. The CEI Senior Secured Notes due 2032 will mature on February 15, 2032, with interest payable semi-annually on February 15 and August 15 of each year.</w:t>
      </w:r>
    </w:p>
    <w:p>
      <w:pPr>
        <w:pStyle w:val="TextBody"/>
        <w:bidi w:val="0"/>
        <w:spacing w:lineRule="auto" w:line="288" w:before="18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CEI Senior Notes due 2029</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September 24, 2021, the Company issued $1.2 billion in aggregate principal amount of 4.625% Senior Notes due 2029 (the “CEI Senior Notes due 2029”) pursuant to an indenture dated as of September 24, 2021 between the Company and U.S. Bank National Association, as trustee. The CEI Senior Notes due 2029 rank equally with all existing and future senior unsecured indebtedness of the Company and the subsidiary guarantors. The CEI Senior Notes due 2029 will mature on October 15, 2029, with interest payable semi-annually on April 15 and October 15 of each year. </w:t>
      </w:r>
    </w:p>
    <w:p>
      <w:pPr>
        <w:pStyle w:val="TextBody"/>
        <w:bidi w:val="0"/>
        <w:spacing w:lineRule="auto" w:line="288" w:before="18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CEI Senior Notes due 2032</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On October 17, 2024, the Company issued $1.1 billion in aggregate principal amount of 6.00% Senior Notes due 2032 (the “CEI Senior Notes due 2032”) pursuant to an indenture dated as of October 17, 2024, by and among the Company, the subsidiary guarantors party thereto, and U.S. Bank Trust Company, National Association, as trustee. The CEI Senior Notes due 2032 rank equally with all existing and future senior unsecured indebtedness of the Company and the subsidiary guarantors. The CEI Senior Notes due 2032 will mature on October 15, 2032, with interest payable semi-annually on April 15 and October 15 of each year.</w:t>
      </w:r>
    </w:p>
    <w:p>
      <w:pPr>
        <w:pStyle w:val="TextBody"/>
        <w:bidi w:val="0"/>
        <w:spacing w:lineRule="auto" w:line="288" w:before="18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Debt Covenant Compliance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CEI Revolving Credit Facility, the CEI Term Loan A, the CEI Term Loan B, the CEI Term Loan B-1 and the indentures governing the CEI Senior Secured Notes due 2030, the CEI Senior Secured Notes due 2032, the CEI Senior Notes due 2029 and the CEI Senior Notes due 2032 contain covenants which are standard and customary for these types of agreements. These include negative covenants, which, subject to certain exceptions and baskets, limit the Company’s and its subsidiaries’ ability to (among other items) incur additional indebtedness, make investments, make restricted payments, including dividends, grant liens, sell assets and make acquisitions.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04165"/>
                <wp:effectExtent l="0" t="0" r="0" b="0"/>
                <wp:wrapNone/>
                <wp:docPr id="19" name="Frame19"/>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25bc4ccd358f439aa099948f0102ebf8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25bc4ccd358f439aa099948f0102ebf8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CAESARS ENTERTAINMENT,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CONDENSED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CEI Revolving Credit Facility and the CEI Term Loan A include a maximum net total leverage ratio financial covenant of 6.50:1. In addition, the CEI Revolving Credit Facility and the CEI Term Loan A include a minimum fixed charge coverage ratio financial covenant of 2.0:1. From and after the repayment of the CEI Term Loan A, the financial covenants applicable to the CEI Revolving Credit Facility will be tested solely to the extent that certain testing conditions are satisfied. Failure to comply with such covenants could result in an acceleration of the maturity of indebtedness outstanding under the relevant debt agreement.</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CVA Revolving Credit Facility and the CVA Delayed Draw Term Loan contain covenants which are standard and customary for this type of agreement, including a maximum net total leverage ratio financial covenant of 4:1 and a minimum fixed charge coverage ratio financial covenant of 1.05:1, applicable to the operations of Caesars Virginia.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2026, the Company was in compliance with all of the applicable financial covenants described above.</w:t>
      </w:r>
    </w:p>
    <w:p>
      <w:pPr>
        <w:pStyle w:val="TextBody"/>
        <w:bidi w:val="0"/>
        <w:spacing w:lineRule="auto" w:line="288" w:before="18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Guarantees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CEI Revolving Credit Facility, the CEI Term Loan A, the CEI Term Loan B, the CEI Term Loan B-1, the CEI Senior Secured Notes due 2030 and the CEI Senior Secured Notes due 2032 are guaranteed on a senior secured basis by each existing and future material wholly-owned domestic subsidiary of the Company and are secured by substantially all of the existing and future property and assets of the Company and its subsidiary guarantors (subject to certain exceptions). The CEI Senior Notes due 2029 and the CEI Senior Notes due 2032 are guaranteed on a senior unsecured basis by such subsidiaries.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CVA Revolving Credit Facility and the CVA Delayed Draw Term Loan are secured by substantially all material assets of Caesars Virginia, LLC and any newly formed wholly-owned subsidiary of Caesars Virginia, LLC. CEI does not provide a guarantee of these facilities.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BF2115"/>
          <w:sz w:val="24"/>
        </w:rPr>
      </w:pPr>
      <w:r>
        <w:rPr>
          <w:rFonts w:ascii="Times New Roman;serif" w:hAnsi="Times New Roman;serif"/>
          <w:b/>
          <w:color w:val="BF2115"/>
          <w:sz w:val="24"/>
        </w:rPr>
        <w:t>Note 7. Revenue Recognition</w:t>
      </w:r>
    </w:p>
    <w:p>
      <w:pPr>
        <w:pStyle w:val="TextBody"/>
        <w:bidi w:val="0"/>
        <w:spacing w:lineRule="auto" w:line="288" w:before="180" w:after="283"/>
        <w:jc w:val="both"/>
        <w:rPr/>
      </w:pPr>
      <w:r>
        <w:rPr>
          <w:rFonts w:ascii="Times New Roman;serif" w:hAnsi="Times New Roman;serif"/>
          <w:b w:val="false"/>
          <w:color w:val="000000"/>
          <w:sz w:val="20"/>
        </w:rPr>
        <w:t xml:space="preserve">The Company’s Statements of Operations present net revenue disaggregated by type or nature of the good or service. A summary of net revenues disaggregated by type of revenue and reportable segment is presented below. Refer to </w:t>
      </w:r>
      <w:hyperlink w:anchor="i25bc4ccd358f439aa099948f0102ebf8_76">
        <w:r>
          <w:rPr>
            <w:rStyle w:val="InternetLink"/>
            <w:rFonts w:ascii="Times New Roman;serif" w:hAnsi="Times New Roman;serif"/>
            <w:b w:val="false"/>
            <w:color w:val="0000FF"/>
            <w:sz w:val="20"/>
            <w:u w:val="single"/>
          </w:rPr>
          <w:t>Note 12</w:t>
        </w:r>
      </w:hyperlink>
      <w:r>
        <w:rPr>
          <w:color w:val="000000"/>
        </w:rPr>
        <w:t xml:space="preserve"> </w:t>
      </w:r>
      <w:r>
        <w:rPr>
          <w:rFonts w:ascii="Times New Roman;serif" w:hAnsi="Times New Roman;serif"/>
          <w:b w:val="false"/>
          <w:color w:val="000000"/>
          <w:sz w:val="20"/>
        </w:rPr>
        <w:t>for additional information on the Company’s reportable segments.</w:t>
      </w:r>
    </w:p>
    <w:tbl>
      <w:tblPr>
        <w:tblW w:w="10205" w:type="dxa"/>
        <w:jc w:val="left"/>
        <w:tblInd w:w="0" w:type="dxa"/>
        <w:tblLayout w:type="fixed"/>
        <w:tblCellMar>
          <w:top w:w="28" w:type="dxa"/>
          <w:left w:w="28" w:type="dxa"/>
          <w:bottom w:w="28" w:type="dxa"/>
          <w:right w:w="28" w:type="dxa"/>
        </w:tblCellMar>
      </w:tblPr>
      <w:tblGrid>
        <w:gridCol w:w="501"/>
        <w:gridCol w:w="430"/>
        <w:gridCol w:w="431"/>
        <w:gridCol w:w="203"/>
        <w:gridCol w:w="577"/>
        <w:gridCol w:w="113"/>
        <w:gridCol w:w="109"/>
        <w:gridCol w:w="109"/>
        <w:gridCol w:w="109"/>
        <w:gridCol w:w="196"/>
        <w:gridCol w:w="556"/>
        <w:gridCol w:w="109"/>
        <w:gridCol w:w="109"/>
        <w:gridCol w:w="109"/>
        <w:gridCol w:w="109"/>
        <w:gridCol w:w="322"/>
        <w:gridCol w:w="692"/>
        <w:gridCol w:w="178"/>
        <w:gridCol w:w="109"/>
        <w:gridCol w:w="109"/>
        <w:gridCol w:w="109"/>
        <w:gridCol w:w="476"/>
        <w:gridCol w:w="988"/>
        <w:gridCol w:w="268"/>
        <w:gridCol w:w="109"/>
        <w:gridCol w:w="109"/>
        <w:gridCol w:w="109"/>
        <w:gridCol w:w="563"/>
        <w:gridCol w:w="737"/>
        <w:gridCol w:w="315"/>
        <w:gridCol w:w="109"/>
        <w:gridCol w:w="109"/>
        <w:gridCol w:w="109"/>
        <w:gridCol w:w="196"/>
        <w:gridCol w:w="556"/>
        <w:gridCol w:w="163"/>
      </w:tblGrid>
      <w:tr>
        <w:trPr/>
        <w:tc>
          <w:tcPr>
            <w:tcW w:w="50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3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3"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 2026</w:t>
            </w:r>
          </w:p>
        </w:tc>
      </w:tr>
      <w:tr>
        <w:trPr/>
        <w:tc>
          <w:tcPr>
            <w:tcW w:w="13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8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Las Vegas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Regional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Caesars Digital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Managed and Branded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Corporate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3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Casino</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1,759 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Food and beverage</w:t>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Hotel</w:t>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2"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r>
      <w:tr>
        <w:trPr/>
        <w:tc>
          <w:tcPr>
            <w:tcW w:w="1362"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r>
      <w:tr>
        <w:trPr/>
        <w:tc>
          <w:tcPr>
            <w:tcW w:w="1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revenues</w:t>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1,017 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3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2,993 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01"/>
        <w:gridCol w:w="430"/>
        <w:gridCol w:w="431"/>
        <w:gridCol w:w="203"/>
        <w:gridCol w:w="577"/>
        <w:gridCol w:w="113"/>
        <w:gridCol w:w="109"/>
        <w:gridCol w:w="109"/>
        <w:gridCol w:w="109"/>
        <w:gridCol w:w="196"/>
        <w:gridCol w:w="556"/>
        <w:gridCol w:w="109"/>
        <w:gridCol w:w="109"/>
        <w:gridCol w:w="109"/>
        <w:gridCol w:w="109"/>
        <w:gridCol w:w="322"/>
        <w:gridCol w:w="692"/>
        <w:gridCol w:w="178"/>
        <w:gridCol w:w="109"/>
        <w:gridCol w:w="109"/>
        <w:gridCol w:w="109"/>
        <w:gridCol w:w="476"/>
        <w:gridCol w:w="988"/>
        <w:gridCol w:w="268"/>
        <w:gridCol w:w="109"/>
        <w:gridCol w:w="109"/>
        <w:gridCol w:w="109"/>
        <w:gridCol w:w="445"/>
        <w:gridCol w:w="922"/>
        <w:gridCol w:w="249"/>
        <w:gridCol w:w="109"/>
        <w:gridCol w:w="109"/>
        <w:gridCol w:w="109"/>
        <w:gridCol w:w="196"/>
        <w:gridCol w:w="556"/>
        <w:gridCol w:w="162"/>
      </w:tblGrid>
      <w:tr>
        <w:trPr/>
        <w:tc>
          <w:tcPr>
            <w:tcW w:w="50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3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3"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 2025</w:t>
            </w:r>
          </w:p>
        </w:tc>
      </w:tr>
      <w:tr>
        <w:trPr/>
        <w:tc>
          <w:tcPr>
            <w:tcW w:w="13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8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Las Vegas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Regional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Caesars Digital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Managed and Branded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Corporate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3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Casino</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1,668 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Food and beverage</w:t>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Hotel</w:t>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revenues</w:t>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1,054 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2,907 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01"/>
        <w:gridCol w:w="430"/>
        <w:gridCol w:w="431"/>
        <w:gridCol w:w="203"/>
        <w:gridCol w:w="577"/>
        <w:gridCol w:w="113"/>
        <w:gridCol w:w="109"/>
        <w:gridCol w:w="109"/>
        <w:gridCol w:w="109"/>
        <w:gridCol w:w="196"/>
        <w:gridCol w:w="556"/>
        <w:gridCol w:w="109"/>
        <w:gridCol w:w="109"/>
        <w:gridCol w:w="109"/>
        <w:gridCol w:w="109"/>
        <w:gridCol w:w="322"/>
        <w:gridCol w:w="692"/>
        <w:gridCol w:w="178"/>
        <w:gridCol w:w="109"/>
        <w:gridCol w:w="109"/>
        <w:gridCol w:w="109"/>
        <w:gridCol w:w="466"/>
        <w:gridCol w:w="1003"/>
        <w:gridCol w:w="264"/>
        <w:gridCol w:w="109"/>
        <w:gridCol w:w="109"/>
        <w:gridCol w:w="109"/>
        <w:gridCol w:w="563"/>
        <w:gridCol w:w="737"/>
        <w:gridCol w:w="315"/>
        <w:gridCol w:w="109"/>
        <w:gridCol w:w="109"/>
        <w:gridCol w:w="109"/>
        <w:gridCol w:w="196"/>
        <w:gridCol w:w="556"/>
        <w:gridCol w:w="162"/>
      </w:tblGrid>
      <w:tr>
        <w:trPr/>
        <w:tc>
          <w:tcPr>
            <w:tcW w:w="50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3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3"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 2026</w:t>
            </w:r>
          </w:p>
        </w:tc>
      </w:tr>
      <w:tr>
        <w:trPr/>
        <w:tc>
          <w:tcPr>
            <w:tcW w:w="13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8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Las Vegas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Regional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Caesars Digital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Managed and Branded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Corporate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3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Casino</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521 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705 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3,425 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Food and beverage</w:t>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Hotel</w:t>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2"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1362"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1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revenues</w:t>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2,020 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725 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123 </w:t>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3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5,863 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04165"/>
                <wp:effectExtent l="0" t="0" r="0" b="0"/>
                <wp:wrapNone/>
                <wp:docPr id="20" name="Frame20"/>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25bc4ccd358f439aa099948f0102ebf8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25bc4ccd358f439aa099948f0102ebf8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CAESARS ENTERTAINMENT,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CONDENSED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501"/>
        <w:gridCol w:w="430"/>
        <w:gridCol w:w="431"/>
        <w:gridCol w:w="203"/>
        <w:gridCol w:w="577"/>
        <w:gridCol w:w="113"/>
        <w:gridCol w:w="109"/>
        <w:gridCol w:w="109"/>
        <w:gridCol w:w="109"/>
        <w:gridCol w:w="196"/>
        <w:gridCol w:w="556"/>
        <w:gridCol w:w="109"/>
        <w:gridCol w:w="109"/>
        <w:gridCol w:w="109"/>
        <w:gridCol w:w="109"/>
        <w:gridCol w:w="322"/>
        <w:gridCol w:w="692"/>
        <w:gridCol w:w="178"/>
        <w:gridCol w:w="109"/>
        <w:gridCol w:w="109"/>
        <w:gridCol w:w="109"/>
        <w:gridCol w:w="466"/>
        <w:gridCol w:w="1003"/>
        <w:gridCol w:w="264"/>
        <w:gridCol w:w="109"/>
        <w:gridCol w:w="109"/>
        <w:gridCol w:w="109"/>
        <w:gridCol w:w="563"/>
        <w:gridCol w:w="737"/>
        <w:gridCol w:w="315"/>
        <w:gridCol w:w="109"/>
        <w:gridCol w:w="109"/>
        <w:gridCol w:w="109"/>
        <w:gridCol w:w="196"/>
        <w:gridCol w:w="556"/>
        <w:gridCol w:w="162"/>
      </w:tblGrid>
      <w:tr>
        <w:trPr/>
        <w:tc>
          <w:tcPr>
            <w:tcW w:w="50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3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3"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 2025</w:t>
            </w:r>
          </w:p>
        </w:tc>
      </w:tr>
      <w:tr>
        <w:trPr/>
        <w:tc>
          <w:tcPr>
            <w:tcW w:w="13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8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Las Vegas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Regional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Caesars Digital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Managed and Branded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Corporate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3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Casino</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535 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655 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3,262 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Food and beverage</w:t>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Hotel</w:t>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revenues</w:t>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2,057 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678 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141 </w:t>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3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5,701 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5231" w:type="dxa"/>
        <w:jc w:val="left"/>
        <w:tblInd w:w="0" w:type="dxa"/>
        <w:tblLayout w:type="fixed"/>
        <w:tblCellMar>
          <w:top w:w="28" w:type="dxa"/>
          <w:left w:w="28" w:type="dxa"/>
          <w:bottom w:w="28" w:type="dxa"/>
          <w:right w:w="28" w:type="dxa"/>
        </w:tblCellMar>
      </w:tblPr>
      <w:tblGrid>
        <w:gridCol w:w="782"/>
        <w:gridCol w:w="687"/>
        <w:gridCol w:w="691"/>
        <w:gridCol w:w="312"/>
        <w:gridCol w:w="670"/>
        <w:gridCol w:w="173"/>
        <w:gridCol w:w="109"/>
        <w:gridCol w:w="109"/>
        <w:gridCol w:w="109"/>
        <w:gridCol w:w="402"/>
        <w:gridCol w:w="868"/>
        <w:gridCol w:w="319"/>
      </w:tblGrid>
      <w:tr>
        <w:trPr/>
        <w:tc>
          <w:tcPr>
            <w:tcW w:w="782"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Accounts Receivable, net</w:t>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Casino</w:t>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221 </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Food and beverage and hotel</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3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485 </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476 </w:t>
            </w:r>
          </w:p>
        </w:tc>
        <w:tc>
          <w:tcPr>
            <w:tcW w:w="3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Contract and Contract Related Liabilities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Company records contract or contract related liabilities related to differences between the timing of cash receipts from the customer and the recognition of revenue. The Company generally has three types of liabilities related to contracts with customers: (1) outstanding chip liability, which represents the amounts owed in exchange for gaming chips held by customers, (2) Caesars Rewards player loyalty program obligations, which represent the deferred allocation of revenue relating to reward credits granted to Caesars Rewards members based on certain types of customer spend, including online and retail gaming, hotel, dining, retail shopping, and player loyalty program incentives earned, and (3) customer deposits and other deferred revenue, which primarily represents funds deposited by customers related to gaming play or advance payments received for goods and services yet to be provided (such as advance ticket sales, deposits on rooms and convention space, unpaid wagers, iGaming deposits, or future sports bets). These liabilities are generally expected to be recognized as revenue within one year of being purchased, earned, or deposited and are recorded within Accrued other liabilities on the Company’s Balance Sheets. Liabilities expected to be recognized as revenue beyond one year of being purchased, earned, or deposited are recorded within Other long-term liabilities on the Company’s Balance Sheets.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activity related to contract and contract related liabilities:</w:t>
      </w:r>
    </w:p>
    <w:tbl>
      <w:tblPr>
        <w:tblW w:w="9912" w:type="dxa"/>
        <w:jc w:val="left"/>
        <w:tblInd w:w="0" w:type="dxa"/>
        <w:tblLayout w:type="fixed"/>
        <w:tblCellMar>
          <w:top w:w="28" w:type="dxa"/>
          <w:left w:w="28" w:type="dxa"/>
          <w:bottom w:w="28" w:type="dxa"/>
          <w:right w:w="28" w:type="dxa"/>
        </w:tblCellMar>
      </w:tblPr>
      <w:tblGrid>
        <w:gridCol w:w="571"/>
        <w:gridCol w:w="501"/>
        <w:gridCol w:w="503"/>
        <w:gridCol w:w="270"/>
        <w:gridCol w:w="456"/>
        <w:gridCol w:w="150"/>
        <w:gridCol w:w="150"/>
        <w:gridCol w:w="150"/>
        <w:gridCol w:w="150"/>
        <w:gridCol w:w="270"/>
        <w:gridCol w:w="456"/>
        <w:gridCol w:w="150"/>
        <w:gridCol w:w="109"/>
        <w:gridCol w:w="109"/>
        <w:gridCol w:w="109"/>
        <w:gridCol w:w="196"/>
        <w:gridCol w:w="331"/>
        <w:gridCol w:w="109"/>
        <w:gridCol w:w="109"/>
        <w:gridCol w:w="109"/>
        <w:gridCol w:w="109"/>
        <w:gridCol w:w="196"/>
        <w:gridCol w:w="331"/>
        <w:gridCol w:w="109"/>
        <w:gridCol w:w="109"/>
        <w:gridCol w:w="109"/>
        <w:gridCol w:w="109"/>
        <w:gridCol w:w="417"/>
        <w:gridCol w:w="896"/>
        <w:gridCol w:w="232"/>
        <w:gridCol w:w="232"/>
        <w:gridCol w:w="232"/>
        <w:gridCol w:w="232"/>
        <w:gridCol w:w="417"/>
        <w:gridCol w:w="896"/>
        <w:gridCol w:w="328"/>
      </w:tblGrid>
      <w:tr>
        <w:trPr/>
        <w:tc>
          <w:tcPr>
            <w:tcW w:w="57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Outstanding Chip Liability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Caesars Rewards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Customer Deposits and Other Deferred Revenue</w:t>
            </w:r>
          </w:p>
        </w:tc>
      </w:tr>
      <w:tr>
        <w:trPr/>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157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January 1</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549 </w:t>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June 30</w:t>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545 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586 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 (decrease)</w:t>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3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Lease Revenue</w:t>
      </w:r>
    </w:p>
    <w:p>
      <w:pPr>
        <w:pStyle w:val="TextBody"/>
        <w:bidi w:val="0"/>
        <w:spacing w:lineRule="auto" w:line="288" w:before="18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Lodging Arrangements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Lodging arrangements are considered short-term and generally consist of lease and nonlease components. The lease component is the predominant component of the arrangement and consists of the fees charged for lodging. The nonlease components primarily consist of resort fees and other miscellaneous items. As the timing and pattern of transfer of both the lease and nonlease components are over the course of the lease term, we have elected to combine the revenue generated from lease and nonlease components into a single lease component based on the predominant component in the arrangement. During the three months ended June 30, 2026 and 2025, we recognized lease revenue of approximately $495 million and $509 million, respectively, and during the six months ended June 30, 2026 and 2025, we recognized approximately $982 million and $991 million, respectively, which is included in Hotel revenues in the Statements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04165"/>
                <wp:effectExtent l="0" t="0" r="0" b="0"/>
                <wp:wrapNone/>
                <wp:docPr id="21" name="Frame21"/>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25bc4ccd358f439aa099948f0102ebf8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25bc4ccd358f439aa099948f0102ebf8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CAESARS ENTERTAINMENT,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CONDENSED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8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Conventions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Convention arrangements are considered short-term and generally consist of lease and nonlease components. The lease component is the predominant component of the arrangement and consists of fees charged for the use of meeting space. The nonlease components primarily consist of food and beverage and audio/visual services. Revenue from conventions is included in Food and beverage revenue in the Statements of Operations and during the three months ended June 30, 2026 and 2025, lease revenue related to conventions was approximately $15 million and $14 million, respectively, and approximately $29 million for each of the six months ended June 30, 2026 and 2025.</w:t>
      </w:r>
    </w:p>
    <w:p>
      <w:pPr>
        <w:pStyle w:val="TextBody"/>
        <w:bidi w:val="0"/>
        <w:spacing w:lineRule="auto" w:line="288" w:before="18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Real Estate Operating Leases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Real estate lease revenue is included in Other revenue in the Statements of Operations. During the three months ended June 30, 2026 and 2025, we recognized approximately $37 million and $32 million, respectively, and during the six months ended June 30, 2026 and 2025, we recognized approximately $70 million and $61 million, respectively, of real estate lease revenue.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Real estate lease revenue includes $16 million and $15 million of variable rental income for the three months ended June 30, 2026 and 2025, respectively, and $31 million and $29 million for the six months ended June 30, 2026 and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BF2115"/>
          <w:sz w:val="24"/>
        </w:rPr>
      </w:pPr>
      <w:r>
        <w:rPr>
          <w:rFonts w:ascii="Times New Roman;serif" w:hAnsi="Times New Roman;serif"/>
          <w:b/>
          <w:color w:val="BF2115"/>
          <w:sz w:val="24"/>
        </w:rPr>
        <w:t>Note 8. Earnings per Share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illustrates the reconciliation of the numerators and denominators of the basic and diluted net income (loss) per share computations for the three and six months ended June 30, 2026 and 2025:</w:t>
      </w:r>
    </w:p>
    <w:tbl>
      <w:tblPr>
        <w:tblW w:w="10205" w:type="dxa"/>
        <w:jc w:val="left"/>
        <w:tblInd w:w="0" w:type="dxa"/>
        <w:tblLayout w:type="fixed"/>
        <w:tblCellMar>
          <w:top w:w="28" w:type="dxa"/>
          <w:left w:w="28" w:type="dxa"/>
          <w:bottom w:w="28" w:type="dxa"/>
          <w:right w:w="28" w:type="dxa"/>
        </w:tblCellMar>
      </w:tblPr>
      <w:tblGrid>
        <w:gridCol w:w="1889"/>
        <w:gridCol w:w="1645"/>
        <w:gridCol w:w="1658"/>
        <w:gridCol w:w="235"/>
        <w:gridCol w:w="647"/>
        <w:gridCol w:w="131"/>
        <w:gridCol w:w="131"/>
        <w:gridCol w:w="131"/>
        <w:gridCol w:w="131"/>
        <w:gridCol w:w="235"/>
        <w:gridCol w:w="647"/>
        <w:gridCol w:w="131"/>
        <w:gridCol w:w="109"/>
        <w:gridCol w:w="109"/>
        <w:gridCol w:w="109"/>
        <w:gridCol w:w="215"/>
        <w:gridCol w:w="592"/>
        <w:gridCol w:w="119"/>
        <w:gridCol w:w="119"/>
        <w:gridCol w:w="119"/>
        <w:gridCol w:w="119"/>
        <w:gridCol w:w="215"/>
        <w:gridCol w:w="592"/>
        <w:gridCol w:w="177"/>
      </w:tblGrid>
      <w:tr>
        <w:trPr/>
        <w:tc>
          <w:tcPr>
            <w:tcW w:w="1889" w:type="dxa"/>
            <w:tcBorders/>
            <w:vAlign w:val="center"/>
          </w:tcPr>
          <w:p>
            <w:pPr>
              <w:pStyle w:val="TableContents"/>
              <w:bidi w:val="0"/>
              <w:spacing w:before="0" w:after="283"/>
              <w:jc w:val="left"/>
              <w:rPr>
                <w:sz w:val="4"/>
                <w:szCs w:val="4"/>
              </w:rPr>
            </w:pPr>
            <w:r>
              <w:rPr>
                <w:sz w:val="4"/>
                <w:szCs w:val="4"/>
              </w:rPr>
            </w:r>
          </w:p>
        </w:tc>
        <w:tc>
          <w:tcPr>
            <w:tcW w:w="1645"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5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51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 except per share data)</w:t>
            </w:r>
          </w:p>
        </w:tc>
        <w:tc>
          <w:tcPr>
            <w:tcW w:w="10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5192"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5192"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5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attributable to Caesars</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outstanding:</w:t>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shares outstanding – basic</w:t>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2"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5192"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5192"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5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shares outstanding – diluted</w:t>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2"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5192"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5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per common share attributable to common stockholders – basic:</w:t>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(0.30)</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(0.39)</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(0.78)</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(0.93)</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2"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5192"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5192"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5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per common share attributable to common stockholders – diluted:</w:t>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(0.30)</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(0.39)</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(0.78)</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(0.93)</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For a period in which the Company generated a net loss attributable to Caesars, the weighted average shares outstanding - basic was used in calculating diluted loss per share because using diluted shares would have been anti-dilutive to loss per share.</w:t>
      </w:r>
    </w:p>
    <w:tbl>
      <w:tblPr>
        <w:tblW w:w="9887" w:type="dxa"/>
        <w:jc w:val="left"/>
        <w:tblInd w:w="0" w:type="dxa"/>
        <w:tblLayout w:type="fixed"/>
        <w:tblCellMar>
          <w:top w:w="28" w:type="dxa"/>
          <w:left w:w="28" w:type="dxa"/>
          <w:bottom w:w="28" w:type="dxa"/>
          <w:right w:w="28" w:type="dxa"/>
        </w:tblCellMar>
      </w:tblPr>
      <w:tblGrid>
        <w:gridCol w:w="1230"/>
        <w:gridCol w:w="667"/>
        <w:gridCol w:w="667"/>
        <w:gridCol w:w="342"/>
        <w:gridCol w:w="342"/>
        <w:gridCol w:w="342"/>
        <w:gridCol w:w="342"/>
        <w:gridCol w:w="342"/>
        <w:gridCol w:w="342"/>
        <w:gridCol w:w="342"/>
        <w:gridCol w:w="342"/>
        <w:gridCol w:w="342"/>
        <w:gridCol w:w="342"/>
        <w:gridCol w:w="342"/>
        <w:gridCol w:w="342"/>
        <w:gridCol w:w="342"/>
        <w:gridCol w:w="342"/>
        <w:gridCol w:w="342"/>
        <w:gridCol w:w="342"/>
        <w:gridCol w:w="342"/>
        <w:gridCol w:w="342"/>
        <w:gridCol w:w="342"/>
        <w:gridCol w:w="342"/>
        <w:gridCol w:w="483"/>
      </w:tblGrid>
      <w:tr>
        <w:trPr/>
        <w:tc>
          <w:tcPr>
            <w:tcW w:w="1230"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r>
      <w:tr>
        <w:trPr/>
        <w:tc>
          <w:tcPr>
            <w:tcW w:w="9887" w:type="dxa"/>
            <w:gridSpan w:val="24"/>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Weighted-Average Number of Anti-Dilutive Shares Excluded from Calculation of Earnings per Share</w:t>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10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10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awards</w:t>
            </w:r>
          </w:p>
        </w:tc>
        <w:tc>
          <w:tcPr>
            <w:tcW w:w="6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anti-dilutive common stock</w:t>
            </w:r>
          </w:p>
        </w:tc>
        <w:tc>
          <w:tcPr>
            <w:tcW w:w="68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3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3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3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4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BF2115"/>
          <w:sz w:val="24"/>
        </w:rPr>
      </w:pPr>
      <w:r>
        <w:rPr>
          <w:rFonts w:ascii="Times New Roman;serif" w:hAnsi="Times New Roman;serif"/>
          <w:b/>
          <w:color w:val="BF2115"/>
          <w:sz w:val="24"/>
        </w:rPr>
        <w:t>Note 9. Stock-Based Compensation and Stockholders’ Equity</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Stock-Based Awards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maintains long-term incentive plans, adopted by the Board of Directors (“Board”) and approved by the Company’s stockholders, which allows for granting stock-based compensation awards of Company Common Stock to directors, employees, officers, and consultants or advisers who render services to the Company or its subsidiaries, including stock options, restricted stock, restricted stock units (“RSUs”), performance stock units (“PSUs”), market-based performance stock units (“MSUs”), stock appreciation rights, and other stock-based awards or dividend equivalents. Forfeitures are recognized in the period in which they occur.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04165"/>
                <wp:effectExtent l="0" t="0" r="0" b="0"/>
                <wp:wrapNone/>
                <wp:docPr id="22" name="Frame22"/>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25bc4ccd358f439aa099948f0102ebf8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25bc4ccd358f439aa099948f0102ebf8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CAESARS ENTERTAINMENT,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CONDENSED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Stock-based compensation expense in the accompanying Statements of Operations totaled $23 million and $24 million during the three months ended June 30, 2026 and 2025, respectively, and $47 million and $50 million during the six months ended June 30, 2026 and 2025, respectively. These amounts are included in Corporate expense in the Company’s Statements of Operations. </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2015 Equity Incentive Plan (the “2015 Plan”)</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as part of the annual incentive program, the Company granted 3.1 million RSUs to eligible participants with an aggregate fair value of $72 million, which generally vest ratably on each anniversary over three years from the grant date. Each RSU represents the right to receive payment in respect of one share of the Company’s Common Stock.</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2026, the Company also granted 291 thousand PSUs to eligible participants with an aggregate fair value of $9 million that are primarily scheduled to cliff vest after three years from the grant date. On the vesting date, recipients will receive between 0% and 200% of the target number of PSUs granted, in the form of Company Common Stock, based on the achievement of specified performance and service conditions and terms of the underlying award granted. The fair value of the PSUs is based on the market price of our common stock when a mutual understanding of the key terms and conditions of the awards between the Company and recipient is achieved. The awards are remeasured each period until such an understanding is reached.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 addition, during the six months ended June 30, 2026, the Company granted 436 thousand MSUs to eligible participants with an aggregate fair value of $14 million that are primarily scheduled to cliff vest after three years from the grant date. On the vesting date, recipients will receive between 0% and 200% of the target number of MSUs granted, in the form of Company Common Stock, based on the achievement of specified market and service conditions and terms of the underlying award granted. The grant date fair value of the MSUs was determined using a Monte-Carlo simulation model. Key assumptions for the Monte-Carlo simulation model are the risk-free interest rate, expected volatility, expected dividends and correlation coefficient. The effect of market conditions is considered in determining the grant date fair value, which is not subsequently revised based on actual performance.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2026, 1.6 million, 118 thousand and 5 thousand of RSUs, PSUs and MSUs, respectively, vested under the 2015 Plan. </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Outstanding at End of Period</w:t>
      </w:r>
    </w:p>
    <w:tbl>
      <w:tblPr>
        <w:tblW w:w="6627" w:type="dxa"/>
        <w:jc w:val="left"/>
        <w:tblInd w:w="0" w:type="dxa"/>
        <w:tblLayout w:type="fixed"/>
        <w:tblCellMar>
          <w:top w:w="28" w:type="dxa"/>
          <w:left w:w="28" w:type="dxa"/>
          <w:bottom w:w="28" w:type="dxa"/>
          <w:right w:w="28" w:type="dxa"/>
        </w:tblCellMar>
      </w:tblPr>
      <w:tblGrid>
        <w:gridCol w:w="690"/>
        <w:gridCol w:w="606"/>
        <w:gridCol w:w="608"/>
        <w:gridCol w:w="274"/>
        <w:gridCol w:w="274"/>
        <w:gridCol w:w="278"/>
        <w:gridCol w:w="109"/>
        <w:gridCol w:w="109"/>
        <w:gridCol w:w="109"/>
        <w:gridCol w:w="232"/>
        <w:gridCol w:w="659"/>
        <w:gridCol w:w="129"/>
        <w:gridCol w:w="109"/>
        <w:gridCol w:w="109"/>
        <w:gridCol w:w="109"/>
        <w:gridCol w:w="274"/>
        <w:gridCol w:w="274"/>
        <w:gridCol w:w="278"/>
        <w:gridCol w:w="111"/>
        <w:gridCol w:w="111"/>
        <w:gridCol w:w="111"/>
        <w:gridCol w:w="229"/>
        <w:gridCol w:w="654"/>
        <w:gridCol w:w="181"/>
      </w:tblGrid>
      <w:tr>
        <w:trPr/>
        <w:tc>
          <w:tcPr>
            <w:tcW w:w="690"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Quantity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Wtd-Avg </w:t>
            </w:r>
            <w:r>
              <w:rPr>
                <w:rFonts w:ascii="Times New Roman;serif" w:hAnsi="Times New Roman;serif"/>
                <w:b/>
                <w:i/>
                <w:color w:val="000000"/>
                <w:sz w:val="12"/>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Quantity</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Wtd-Avg </w:t>
            </w:r>
            <w:r>
              <w:rPr>
                <w:rFonts w:ascii="Times New Roman;serif" w:hAnsi="Times New Roman;serif"/>
                <w:b/>
                <w:i/>
                <w:color w:val="000000"/>
                <w:sz w:val="12"/>
              </w:rPr>
              <w:t>(a)</w:t>
            </w:r>
          </w:p>
        </w:tc>
      </w:tr>
      <w:tr>
        <w:trPr/>
        <w:tc>
          <w:tcPr>
            <w:tcW w:w="1904"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stock units</w:t>
            </w:r>
          </w:p>
        </w:tc>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4,776,747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28.77 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3,568,478</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38.58 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Performance stock units </w:t>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635,218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518,034</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23.39 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Market-based stock units</w:t>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1,162,392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44.98 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1,049,454</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61.04 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w:t>
      </w:r>
    </w:p>
    <w:p>
      <w:pPr>
        <w:pStyle w:val="TextBody"/>
        <w:bidi w:val="0"/>
        <w:spacing w:lineRule="auto" w:line="288" w:before="60" w:after="283"/>
        <w:ind w:left="0" w:right="0" w:hanging="360"/>
        <w:jc w:val="both"/>
        <w:rPr/>
      </w:pPr>
      <w:r>
        <w:rPr>
          <w:rFonts w:ascii="Times New Roman;serif" w:hAnsi="Times New Roman;serif"/>
          <w:b w:val="false"/>
          <w:i/>
          <w:color w:val="000000"/>
          <w:sz w:val="10"/>
        </w:rPr>
        <w:t>(a)</w:t>
      </w:r>
      <w:r>
        <w:rPr>
          <w:rFonts w:ascii="Times New Roman;serif" w:hAnsi="Times New Roman;serif"/>
          <w:b w:val="false"/>
          <w:i/>
          <w:color w:val="000000"/>
          <w:sz w:val="16"/>
        </w:rPr>
        <w:t>Represents the weighted-average grant date fair value for RSUs, weighted-average grant date fair value for PSUs where the grant date has been achieved, the price of CEI common stock as of the balance sheet date for PSUs where a grant date has not been achieved, and the grant date fair value of the MSUs determined using the Monte-Carlo simulation model.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04165"/>
                <wp:effectExtent l="0" t="0" r="0" b="0"/>
                <wp:wrapNone/>
                <wp:docPr id="23" name="Frame23"/>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25bc4ccd358f439aa099948f0102ebf8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25bc4ccd358f439aa099948f0102ebf8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CAESARS ENTERTAINMENT,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CONDENSED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Accumulated Other Comprehensive Income (Loss)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changes in Accumulated other comprehensive income (loss) by component, net of tax, for the periods through June 30, 2026 and 2025 are shown below.</w:t>
      </w:r>
    </w:p>
    <w:tbl>
      <w:tblPr>
        <w:tblW w:w="6555" w:type="dxa"/>
        <w:jc w:val="left"/>
        <w:tblInd w:w="0" w:type="dxa"/>
        <w:tblLayout w:type="fixed"/>
        <w:tblCellMar>
          <w:top w:w="28" w:type="dxa"/>
          <w:left w:w="28" w:type="dxa"/>
          <w:bottom w:w="28" w:type="dxa"/>
          <w:right w:w="28" w:type="dxa"/>
        </w:tblCellMar>
      </w:tblPr>
      <w:tblGrid>
        <w:gridCol w:w="906"/>
        <w:gridCol w:w="796"/>
        <w:gridCol w:w="803"/>
        <w:gridCol w:w="1163"/>
        <w:gridCol w:w="1967"/>
        <w:gridCol w:w="920"/>
      </w:tblGrid>
      <w:tr>
        <w:trPr/>
        <w:tc>
          <w:tcPr>
            <w:tcW w:w="90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967"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Other Comprehensive Income (Loss)</w:t>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as of December 31, 2024</w:t>
            </w:r>
          </w:p>
        </w:tc>
        <w:tc>
          <w:tcPr>
            <w:tcW w:w="11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9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96 </w:t>
            </w:r>
          </w:p>
        </w:tc>
        <w:tc>
          <w:tcPr>
            <w:tcW w:w="9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Foreign currency and other</w:t>
            </w:r>
          </w:p>
        </w:tc>
        <w:tc>
          <w:tcPr>
            <w:tcW w:w="3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vAlign w:val="center"/>
          </w:tcPr>
          <w:p>
            <w:pPr>
              <w:pStyle w:val="TableContents"/>
              <w:bidi w:val="0"/>
              <w:spacing w:before="0" w:after="283"/>
              <w:jc w:val="left"/>
              <w:rPr>
                <w:sz w:val="4"/>
                <w:szCs w:val="4"/>
              </w:rPr>
            </w:pPr>
            <w:r>
              <w:rPr>
                <w:sz w:val="4"/>
                <w:szCs w:val="4"/>
              </w:rPr>
            </w:r>
          </w:p>
        </w:tc>
        <w:tc>
          <w:tcPr>
            <w:tcW w:w="4050" w:type="dxa"/>
            <w:gridSpan w:val="3"/>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as of March 31, 2025</w:t>
            </w:r>
          </w:p>
        </w:tc>
        <w:tc>
          <w:tcPr>
            <w:tcW w:w="31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96 </w:t>
            </w:r>
          </w:p>
        </w:tc>
        <w:tc>
          <w:tcPr>
            <w:tcW w:w="9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Foreign currency and other</w:t>
            </w:r>
          </w:p>
        </w:tc>
        <w:tc>
          <w:tcPr>
            <w:tcW w:w="31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9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vAlign w:val="center"/>
          </w:tcPr>
          <w:p>
            <w:pPr>
              <w:pStyle w:val="TableContents"/>
              <w:bidi w:val="0"/>
              <w:spacing w:before="0" w:after="283"/>
              <w:jc w:val="left"/>
              <w:rPr>
                <w:sz w:val="4"/>
                <w:szCs w:val="4"/>
              </w:rPr>
            </w:pPr>
            <w:r>
              <w:rPr>
                <w:sz w:val="4"/>
                <w:szCs w:val="4"/>
              </w:rPr>
            </w:r>
          </w:p>
        </w:tc>
        <w:tc>
          <w:tcPr>
            <w:tcW w:w="4050" w:type="dxa"/>
            <w:gridSpan w:val="3"/>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as of June 30, 2025</w:t>
            </w:r>
          </w:p>
        </w:tc>
        <w:tc>
          <w:tcPr>
            <w:tcW w:w="11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9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98 </w:t>
            </w:r>
          </w:p>
        </w:tc>
        <w:tc>
          <w:tcPr>
            <w:tcW w:w="9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vAlign w:val="center"/>
          </w:tcPr>
          <w:p>
            <w:pPr>
              <w:pStyle w:val="TableContents"/>
              <w:bidi w:val="0"/>
              <w:spacing w:before="0" w:after="283"/>
              <w:jc w:val="left"/>
              <w:rPr>
                <w:sz w:val="4"/>
                <w:szCs w:val="4"/>
              </w:rPr>
            </w:pPr>
            <w:r>
              <w:rPr>
                <w:sz w:val="4"/>
                <w:szCs w:val="4"/>
              </w:rPr>
            </w:r>
          </w:p>
        </w:tc>
        <w:tc>
          <w:tcPr>
            <w:tcW w:w="4050" w:type="dxa"/>
            <w:gridSpan w:val="3"/>
            <w:tcBorders/>
            <w:vAlign w:val="center"/>
          </w:tcPr>
          <w:p>
            <w:pPr>
              <w:pStyle w:val="TableContents"/>
              <w:bidi w:val="0"/>
              <w:spacing w:before="0" w:after="283"/>
              <w:jc w:val="left"/>
              <w:rPr>
                <w:sz w:val="4"/>
                <w:szCs w:val="4"/>
              </w:rPr>
            </w:pPr>
            <w:r>
              <w:rPr>
                <w:sz w:val="4"/>
                <w:szCs w:val="4"/>
              </w:rPr>
            </w:r>
          </w:p>
        </w:tc>
      </w:tr>
      <w:tr>
        <w:trPr/>
        <w:tc>
          <w:tcPr>
            <w:tcW w:w="2505" w:type="dxa"/>
            <w:gridSpan w:val="3"/>
            <w:tcBorders/>
            <w:vAlign w:val="center"/>
          </w:tcPr>
          <w:p>
            <w:pPr>
              <w:pStyle w:val="TableContents"/>
              <w:bidi w:val="0"/>
              <w:spacing w:before="0" w:after="283"/>
              <w:jc w:val="left"/>
              <w:rPr>
                <w:sz w:val="4"/>
                <w:szCs w:val="4"/>
              </w:rPr>
            </w:pPr>
            <w:r>
              <w:rPr>
                <w:sz w:val="4"/>
                <w:szCs w:val="4"/>
              </w:rPr>
            </w:r>
          </w:p>
        </w:tc>
        <w:tc>
          <w:tcPr>
            <w:tcW w:w="4050" w:type="dxa"/>
            <w:gridSpan w:val="3"/>
            <w:tcBorders/>
            <w:vAlign w:val="center"/>
          </w:tcPr>
          <w:p>
            <w:pPr>
              <w:pStyle w:val="TableContents"/>
              <w:bidi w:val="0"/>
              <w:spacing w:before="0" w:after="283"/>
              <w:jc w:val="left"/>
              <w:rPr>
                <w:sz w:val="4"/>
                <w:szCs w:val="4"/>
              </w:rPr>
            </w:pPr>
            <w:r>
              <w:rPr>
                <w:sz w:val="4"/>
                <w:szCs w:val="4"/>
              </w:rPr>
            </w:r>
          </w:p>
        </w:tc>
      </w:tr>
      <w:tr>
        <w:trPr/>
        <w:tc>
          <w:tcPr>
            <w:tcW w:w="2505" w:type="dxa"/>
            <w:gridSpan w:val="3"/>
            <w:tcBorders/>
            <w:vAlign w:val="center"/>
          </w:tcPr>
          <w:p>
            <w:pPr>
              <w:pStyle w:val="TableContents"/>
              <w:bidi w:val="0"/>
              <w:spacing w:before="0" w:after="283"/>
              <w:jc w:val="left"/>
              <w:rPr>
                <w:sz w:val="4"/>
                <w:szCs w:val="4"/>
              </w:rPr>
            </w:pPr>
            <w:r>
              <w:rPr>
                <w:sz w:val="4"/>
                <w:szCs w:val="4"/>
              </w:rPr>
            </w:r>
          </w:p>
        </w:tc>
        <w:tc>
          <w:tcPr>
            <w:tcW w:w="4050" w:type="dxa"/>
            <w:gridSpan w:val="3"/>
            <w:tcBorders/>
            <w:vAlign w:val="center"/>
          </w:tcPr>
          <w:p>
            <w:pPr>
              <w:pStyle w:val="TableContents"/>
              <w:bidi w:val="0"/>
              <w:spacing w:before="0" w:after="283"/>
              <w:jc w:val="left"/>
              <w:rPr>
                <w:sz w:val="4"/>
                <w:szCs w:val="4"/>
              </w:rPr>
            </w:pPr>
            <w:r>
              <w:rPr>
                <w:sz w:val="4"/>
                <w:szCs w:val="4"/>
              </w:rPr>
            </w:r>
          </w:p>
        </w:tc>
      </w:tr>
      <w:tr>
        <w:trPr/>
        <w:tc>
          <w:tcPr>
            <w:tcW w:w="2505" w:type="dxa"/>
            <w:gridSpan w:val="3"/>
            <w:tcBorders/>
            <w:vAlign w:val="center"/>
          </w:tcPr>
          <w:p>
            <w:pPr>
              <w:pStyle w:val="TableContents"/>
              <w:bidi w:val="0"/>
              <w:spacing w:before="0" w:after="283"/>
              <w:jc w:val="left"/>
              <w:rPr>
                <w:sz w:val="4"/>
                <w:szCs w:val="4"/>
              </w:rPr>
            </w:pPr>
            <w:r>
              <w:rPr>
                <w:sz w:val="4"/>
                <w:szCs w:val="4"/>
              </w:rPr>
            </w:r>
          </w:p>
        </w:tc>
        <w:tc>
          <w:tcPr>
            <w:tcW w:w="4050" w:type="dxa"/>
            <w:gridSpan w:val="3"/>
            <w:tcBorders/>
            <w:vAlign w:val="center"/>
          </w:tcPr>
          <w:p>
            <w:pPr>
              <w:pStyle w:val="TableContents"/>
              <w:bidi w:val="0"/>
              <w:spacing w:before="0" w:after="283"/>
              <w:jc w:val="left"/>
              <w:rPr>
                <w:sz w:val="4"/>
                <w:szCs w:val="4"/>
              </w:rPr>
            </w:pPr>
            <w:r>
              <w:rPr>
                <w:sz w:val="4"/>
                <w:szCs w:val="4"/>
              </w:rPr>
            </w:r>
          </w:p>
        </w:tc>
      </w:tr>
      <w:tr>
        <w:trPr/>
        <w:tc>
          <w:tcPr>
            <w:tcW w:w="2505" w:type="dxa"/>
            <w:gridSpan w:val="3"/>
            <w:tcBorders/>
            <w:vAlign w:val="center"/>
          </w:tcPr>
          <w:p>
            <w:pPr>
              <w:pStyle w:val="TableContents"/>
              <w:bidi w:val="0"/>
              <w:spacing w:before="0" w:after="283"/>
              <w:jc w:val="left"/>
              <w:rPr>
                <w:sz w:val="4"/>
                <w:szCs w:val="4"/>
              </w:rPr>
            </w:pPr>
            <w:r>
              <w:rPr>
                <w:sz w:val="4"/>
                <w:szCs w:val="4"/>
              </w:rPr>
            </w:r>
          </w:p>
        </w:tc>
        <w:tc>
          <w:tcPr>
            <w:tcW w:w="4050" w:type="dxa"/>
            <w:gridSpan w:val="3"/>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as of December 31, 2025</w:t>
            </w:r>
          </w:p>
        </w:tc>
        <w:tc>
          <w:tcPr>
            <w:tcW w:w="11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9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98 </w:t>
            </w:r>
          </w:p>
        </w:tc>
        <w:tc>
          <w:tcPr>
            <w:tcW w:w="92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and other</w:t>
            </w:r>
          </w:p>
        </w:tc>
        <w:tc>
          <w:tcPr>
            <w:tcW w:w="3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vAlign w:val="center"/>
          </w:tcPr>
          <w:p>
            <w:pPr>
              <w:pStyle w:val="TableContents"/>
              <w:bidi w:val="0"/>
              <w:spacing w:before="0" w:after="283"/>
              <w:jc w:val="left"/>
              <w:rPr>
                <w:sz w:val="4"/>
                <w:szCs w:val="4"/>
              </w:rPr>
            </w:pPr>
            <w:r>
              <w:rPr>
                <w:sz w:val="4"/>
                <w:szCs w:val="4"/>
              </w:rPr>
            </w:r>
          </w:p>
        </w:tc>
        <w:tc>
          <w:tcPr>
            <w:tcW w:w="4050" w:type="dxa"/>
            <w:gridSpan w:val="3"/>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as of March 31, 2026</w:t>
            </w:r>
          </w:p>
        </w:tc>
        <w:tc>
          <w:tcPr>
            <w:tcW w:w="31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96 </w:t>
            </w:r>
          </w:p>
        </w:tc>
        <w:tc>
          <w:tcPr>
            <w:tcW w:w="9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and other</w:t>
            </w:r>
          </w:p>
        </w:tc>
        <w:tc>
          <w:tcPr>
            <w:tcW w:w="31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9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vAlign w:val="center"/>
          </w:tcPr>
          <w:p>
            <w:pPr>
              <w:pStyle w:val="TableContents"/>
              <w:bidi w:val="0"/>
              <w:spacing w:before="0" w:after="283"/>
              <w:jc w:val="left"/>
              <w:rPr>
                <w:sz w:val="4"/>
                <w:szCs w:val="4"/>
              </w:rPr>
            </w:pPr>
            <w:r>
              <w:rPr>
                <w:sz w:val="4"/>
                <w:szCs w:val="4"/>
              </w:rPr>
            </w:r>
          </w:p>
        </w:tc>
        <w:tc>
          <w:tcPr>
            <w:tcW w:w="4050" w:type="dxa"/>
            <w:gridSpan w:val="3"/>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as of June 30, 2026</w:t>
            </w:r>
          </w:p>
        </w:tc>
        <w:tc>
          <w:tcPr>
            <w:tcW w:w="1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9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95 </w:t>
            </w:r>
          </w:p>
        </w:tc>
        <w:tc>
          <w:tcPr>
            <w:tcW w:w="9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vAlign w:val="center"/>
          </w:tcPr>
          <w:p>
            <w:pPr>
              <w:pStyle w:val="TableContents"/>
              <w:bidi w:val="0"/>
              <w:spacing w:before="0" w:after="283"/>
              <w:jc w:val="left"/>
              <w:rPr>
                <w:sz w:val="4"/>
                <w:szCs w:val="4"/>
              </w:rPr>
            </w:pPr>
            <w:r>
              <w:rPr>
                <w:sz w:val="4"/>
                <w:szCs w:val="4"/>
              </w:rPr>
            </w:r>
          </w:p>
        </w:tc>
        <w:tc>
          <w:tcPr>
            <w:tcW w:w="4050" w:type="dxa"/>
            <w:gridSpan w:val="3"/>
            <w:tcBorders/>
            <w:vAlign w:val="center"/>
          </w:tcPr>
          <w:p>
            <w:pPr>
              <w:pStyle w:val="TableContents"/>
              <w:bidi w:val="0"/>
              <w:spacing w:before="0" w:after="283"/>
              <w:jc w:val="left"/>
              <w:rPr>
                <w:sz w:val="4"/>
                <w:szCs w:val="4"/>
              </w:rPr>
            </w:pPr>
            <w:r>
              <w:rPr>
                <w:sz w:val="4"/>
                <w:szCs w:val="4"/>
              </w:rPr>
            </w:r>
          </w:p>
        </w:tc>
      </w:tr>
      <w:tr>
        <w:trPr/>
        <w:tc>
          <w:tcPr>
            <w:tcW w:w="2505" w:type="dxa"/>
            <w:gridSpan w:val="3"/>
            <w:tcBorders/>
            <w:vAlign w:val="center"/>
          </w:tcPr>
          <w:p>
            <w:pPr>
              <w:pStyle w:val="TableContents"/>
              <w:bidi w:val="0"/>
              <w:spacing w:before="0" w:after="283"/>
              <w:jc w:val="left"/>
              <w:rPr>
                <w:sz w:val="4"/>
                <w:szCs w:val="4"/>
              </w:rPr>
            </w:pPr>
            <w:r>
              <w:rPr>
                <w:sz w:val="4"/>
                <w:szCs w:val="4"/>
              </w:rPr>
            </w:r>
          </w:p>
        </w:tc>
        <w:tc>
          <w:tcPr>
            <w:tcW w:w="4050" w:type="dxa"/>
            <w:gridSpan w:val="3"/>
            <w:tcBorders/>
            <w:vAlign w:val="center"/>
          </w:tcPr>
          <w:p>
            <w:pPr>
              <w:pStyle w:val="TableContents"/>
              <w:bidi w:val="0"/>
              <w:spacing w:before="0" w:after="283"/>
              <w:jc w:val="left"/>
              <w:rPr>
                <w:sz w:val="4"/>
                <w:szCs w:val="4"/>
              </w:rPr>
            </w:pPr>
            <w:r>
              <w:rPr>
                <w:sz w:val="4"/>
                <w:szCs w:val="4"/>
              </w:rPr>
            </w:r>
          </w:p>
        </w:tc>
      </w:tr>
      <w:tr>
        <w:trPr/>
        <w:tc>
          <w:tcPr>
            <w:tcW w:w="2505" w:type="dxa"/>
            <w:gridSpan w:val="3"/>
            <w:tcBorders/>
            <w:vAlign w:val="center"/>
          </w:tcPr>
          <w:p>
            <w:pPr>
              <w:pStyle w:val="TableContents"/>
              <w:bidi w:val="0"/>
              <w:spacing w:before="0" w:after="283"/>
              <w:jc w:val="left"/>
              <w:rPr>
                <w:sz w:val="4"/>
                <w:szCs w:val="4"/>
              </w:rPr>
            </w:pPr>
            <w:r>
              <w:rPr>
                <w:sz w:val="4"/>
                <w:szCs w:val="4"/>
              </w:rPr>
            </w:r>
          </w:p>
        </w:tc>
        <w:tc>
          <w:tcPr>
            <w:tcW w:w="405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Share Repurchase Program</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On October 2, 2024, the Company announced that its Board authorized a $500 million common stock repurchase program (the “2024 Share Repurchase Program”). Under the 2024 Share Repurchase Program, the Company may, from time to time, repurchase shares of common stock on the open market (either with or without a 10b5-1 plan) or through privately negotiated transactions. The 2024 Share Repurchase Program has no time limit and may be suspended or discontinued at any time without notice. There is no minimum number of shares of common stock that the Company is required to repurchase under the 2024 Share Repurchase Program. There were no share repurchases made during the three and six months ended June 30, 2026. During the second quarter of 2025, the Company repurchased 4,188,466 shares of common stock at an aggregate value of $100 million, at an average of $23.84 per share, excluding commissions or applicable excise tax. Under the 2024 Share Repurchase Program, as of June 30, 2026, the Company has authorization to repurchase up to $221 million more of our outstanding common stock. All share repurchases under the 2024 Share Repurchase Program are retired upon repurchase.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a result of the proposed Merger, described above, no share repurchases are expected at this time.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BF2115"/>
          <w:sz w:val="24"/>
        </w:rPr>
      </w:pPr>
      <w:r>
        <w:rPr>
          <w:rFonts w:ascii="Times New Roman;serif" w:hAnsi="Times New Roman;serif"/>
          <w:b/>
          <w:color w:val="BF2115"/>
          <w:sz w:val="24"/>
        </w:rPr>
        <w:t>Note 10. Income Taxes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Company utilized a discrete effective tax rate method, as allowed by ASC 740-270 “Income Taxes, Interim Reporting,” to calculate taxes for the three and six months ended June 30, 2026 and 2025. The Company determined that small changes in estimated “ordinary” income would result in significant changes in the estimated annual effective tax rate (“AETR”), and therefore, the AETR method would not provide a reliable estimate.</w:t>
      </w:r>
    </w:p>
    <w:tbl>
      <w:tblPr>
        <w:tblW w:w="7729" w:type="dxa"/>
        <w:jc w:val="left"/>
        <w:tblInd w:w="0" w:type="dxa"/>
        <w:tblLayout w:type="fixed"/>
        <w:tblCellMar>
          <w:top w:w="28" w:type="dxa"/>
          <w:left w:w="28" w:type="dxa"/>
          <w:bottom w:w="28" w:type="dxa"/>
          <w:right w:w="28" w:type="dxa"/>
        </w:tblCellMar>
      </w:tblPr>
      <w:tblGrid>
        <w:gridCol w:w="973"/>
        <w:gridCol w:w="853"/>
        <w:gridCol w:w="858"/>
        <w:gridCol w:w="234"/>
        <w:gridCol w:w="486"/>
        <w:gridCol w:w="306"/>
        <w:gridCol w:w="130"/>
        <w:gridCol w:w="130"/>
        <w:gridCol w:w="130"/>
        <w:gridCol w:w="234"/>
        <w:gridCol w:w="486"/>
        <w:gridCol w:w="306"/>
        <w:gridCol w:w="109"/>
        <w:gridCol w:w="109"/>
        <w:gridCol w:w="109"/>
        <w:gridCol w:w="197"/>
        <w:gridCol w:w="498"/>
        <w:gridCol w:w="257"/>
        <w:gridCol w:w="109"/>
        <w:gridCol w:w="109"/>
        <w:gridCol w:w="109"/>
        <w:gridCol w:w="197"/>
        <w:gridCol w:w="498"/>
        <w:gridCol w:w="302"/>
      </w:tblGrid>
      <w:tr>
        <w:trPr/>
        <w:tc>
          <w:tcPr>
            <w:tcW w:w="973"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Income Tax Allocation</w:t>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before income taxes</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Benefit (provision) for income taxes</w:t>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Effective tax rate</w:t>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22.6 </w:t>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w:t>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w:t>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Company classifies accruals for uncertain tax positions within Other long-term liabilities on the Balance Sheets, separate from any related income tax payable or deferred income taxes. Reserve amounts relate to any potential income tax liabilities resulting from uncertain tax positions as well as potential interest or penalties associated with those liabilities.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Management assesses the available positive and negative evidence to estimate if sufficient future taxable income will be generated to use existing deferred tax assets. The Company is carrying a valuation allowance on certain federal and state deferred tax assets that are not more likely than not to be realized in the future. The Company has assessed the changes to the valuation allowance, including realization of the disallowed interest expense deferred tax asset, using the integrated approach.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04165"/>
                <wp:effectExtent l="0" t="0" r="0" b="0"/>
                <wp:wrapNone/>
                <wp:docPr id="24" name="Frame24"/>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25bc4ccd358f439aa099948f0102ebf8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25bc4ccd358f439aa099948f0102ebf8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CAESARS ENTERTAINMENT,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CONDENSED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income tax provision for the three months ended June 30, 2026 is not significantly different from the expected income tax provision based on the federal tax rate of 21%. The income tax provision for the six months ended June 30, 2026 differed from the expected income tax provision based on the federal tax rate of 21% primarily due to an increase in federal and state valuation allowances against the deferred tax assets for excess business interest expense.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income tax provision for the three and six months ended June 30, 2025 differed from the expected income tax provision based on the federal tax rate of 21% primarily due to an increase in federal and state valuation allowances against the deferred tax assets for excess business interest expense.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Company, including its subsidiaries, files tax returns with federal, state, and foreign jurisdictions. The Company does not have tax sharing agreements with the other members within its consolidated group. The Company is subject to exam by various state and foreign tax authorities. With few exceptions, the Company is no longer subject to US federal or state and local tax assessments by tax authorities for years before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BF2115"/>
          <w:sz w:val="24"/>
        </w:rPr>
      </w:pPr>
      <w:r>
        <w:rPr>
          <w:rFonts w:ascii="Times New Roman;serif" w:hAnsi="Times New Roman;serif"/>
          <w:b/>
          <w:color w:val="BF2115"/>
          <w:sz w:val="24"/>
        </w:rPr>
        <w:t>Note 11. Related Party and Affiliate Transactions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C. S. &amp; Y. Associates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Company owns the entire parcel on which Eldorado Resort Casino Reno is located, except for approximately 30,000 square feet which is leased from C. S. &amp; Y. Associates (“CSY”) (the “CSY Lease”). CSY is a general partnership in which a trust has an approximate 27% interest. The Company’s Executive Chairman of the Board, Gary L. Carano, and his siblings are direct or indirect beneficiaries of the trust. The CSY Lease expires on June 30, 2057. Annual rent pursuant to the CSY Lease is currently $0.6 million, paid monthly. Annual rent is subject to periodic rent escalations of 1 to 2 percent through the term of the lease. Commensurate with its interest, the trust receives directly from the Company approximately 27% of the rent paid by the Company. As of June 30, 2026 and December 31, 2025, there were no amounts due to or from CSY.</w:t>
      </w:r>
    </w:p>
    <w:p>
      <w:pPr>
        <w:pStyle w:val="TextBody"/>
        <w:bidi w:val="0"/>
        <w:spacing w:lineRule="auto" w:line="288" w:before="180" w:after="283"/>
        <w:jc w:val="both"/>
        <w:rPr/>
      </w:pPr>
      <w:r>
        <w:rPr>
          <w:rFonts w:ascii="Times New Roman;serif" w:hAnsi="Times New Roman;serif"/>
          <w:b/>
          <w:color w:val="000000"/>
          <w:sz w:val="20"/>
        </w:rPr>
        <w:t>C</w:t>
      </w:r>
      <w:r>
        <w:rPr>
          <w:rFonts w:ascii="Times New Roman;serif" w:hAnsi="Times New Roman;serif"/>
          <w:b/>
          <w:i/>
          <w:color w:val="000000"/>
          <w:sz w:val="20"/>
        </w:rPr>
        <w:t>VA Holdco, LLC</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 May 2023, the Company entered into a joint venture, CVA Holdco, LLC, with the Eastern Band of Cherokee Indians to construct, own and operate a gaming facility in Danville, Virginia (“Caesars Virginia”). As the managing member, the Company operates the business and managed the development, construction, and financing of the property. The Company holds a 50.0% variable interest in the joint venture and is the primary beneficiary; as such, the joint venture’s operations are included in the Financial Statements, with a minority interest recorded reflecting the operations attributed to the other partner. The Company participates ratably, based on ownership percentage, in the profits and losses of the joint venture. During the six months ended June 30, 2026 and 2025, the Company made distributions totaling $40 million and $30 million, respectively, to the partner.</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Pompano Joint Venture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April 2018, the Company entered into a joint venture with Cordish Companies (“Cordish”) to plan and develop a mixed-use entertainment and hospitality destination expected to be located on unused land adjacent to the casino at the Company’s Pompano property. As the managing member, Cordish will operate the business and manage the development, construction, financing, marketing, leasing, maintenance and day-to-day operation of the various phases of the project. Additionally, Cordish is responsible for the development of the master plan for the project with the Company’s input and will submit it for the Company’s review and approval. While the Company holds a 50% variable interest in the joint venture, it is not the primary beneficiary; as such, the investment in the joint venture is accounted for using the equity method and is recorded in Investments in and advances to unconsolidated affiliates on the Balance Sheets. The Company participates evenly with Cordish in the profits and losses of the joint venture, which are included in Transaction and other costs, net on the Statements of Operations. </w:t>
      </w:r>
    </w:p>
    <w:tbl>
      <w:tblPr>
        <w:tblW w:w="3951" w:type="dxa"/>
        <w:jc w:val="left"/>
        <w:tblInd w:w="0" w:type="dxa"/>
        <w:tblLayout w:type="fixed"/>
        <w:tblCellMar>
          <w:top w:w="28" w:type="dxa"/>
          <w:left w:w="28" w:type="dxa"/>
          <w:bottom w:w="28" w:type="dxa"/>
          <w:right w:w="28" w:type="dxa"/>
        </w:tblCellMar>
      </w:tblPr>
      <w:tblGrid>
        <w:gridCol w:w="1152"/>
        <w:gridCol w:w="1011"/>
        <w:gridCol w:w="1017"/>
        <w:gridCol w:w="196"/>
        <w:gridCol w:w="421"/>
        <w:gridCol w:w="154"/>
      </w:tblGrid>
      <w:tr>
        <w:trPr/>
        <w:tc>
          <w:tcPr>
            <w:tcW w:w="1152"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Investment in Pompano Joint Venture</w:t>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as of December 31, 2025</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Equity in earnings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as of June 30, 2026</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04165"/>
                <wp:effectExtent l="0" t="0" r="0" b="0"/>
                <wp:wrapNone/>
                <wp:docPr id="25" name="Frame25"/>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25bc4ccd358f439aa099948f0102ebf8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25bc4ccd358f439aa099948f0102ebf8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CAESARS ENTERTAINMENT,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CONDENSED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80" w:after="283"/>
        <w:jc w:val="left"/>
        <w:rPr>
          <w:rFonts w:ascii="Times New Roman;serif" w:hAnsi="Times New Roman;serif"/>
          <w:b/>
          <w:color w:val="BF2115"/>
          <w:sz w:val="24"/>
        </w:rPr>
      </w:pPr>
      <w:r>
        <w:rPr>
          <w:rFonts w:ascii="Times New Roman;serif" w:hAnsi="Times New Roman;serif"/>
          <w:b/>
          <w:color w:val="BF2115"/>
          <w:sz w:val="24"/>
        </w:rPr>
        <w:t>Note 12. Segment Information</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executive decision maker of the Company reviews operating results, assesses performance and makes decisions on a “significant market” basis. Management views each of the Company’s casinos as an operating segment. Operating segments are aggregated based on their similar economic characteristics, types of customers, types of services and products provided, and their management and reporting structure. The Company’s principal operating activities occur in four reportable segments. The reportable segments are based on the similar characteristics of the operating segments with the way management assesses these results and allocates resources, which is a consolidated view that adjusts for the effect of certain transactions between these reportable segments within Caesars: (1) Las Vegas, (2) Regional, (3) Caesars Digital, and (4) Managed and Branded, in addition to Corporate and Other. See the table below for a summary of these segments.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certain information regarding our properties (listed by segment in which each property is reported) as of June 30, 2026:</w:t>
      </w:r>
    </w:p>
    <w:tbl>
      <w:tblPr>
        <w:tblW w:w="10205" w:type="dxa"/>
        <w:jc w:val="left"/>
        <w:tblInd w:w="0" w:type="dxa"/>
        <w:tblLayout w:type="fixed"/>
        <w:tblCellMar>
          <w:top w:w="28" w:type="dxa"/>
          <w:left w:w="28" w:type="dxa"/>
          <w:bottom w:w="28" w:type="dxa"/>
          <w:right w:w="28" w:type="dxa"/>
        </w:tblCellMar>
      </w:tblPr>
      <w:tblGrid>
        <w:gridCol w:w="886"/>
        <w:gridCol w:w="674"/>
        <w:gridCol w:w="682"/>
        <w:gridCol w:w="109"/>
        <w:gridCol w:w="109"/>
        <w:gridCol w:w="109"/>
        <w:gridCol w:w="879"/>
        <w:gridCol w:w="801"/>
        <w:gridCol w:w="803"/>
        <w:gridCol w:w="109"/>
        <w:gridCol w:w="109"/>
        <w:gridCol w:w="109"/>
        <w:gridCol w:w="773"/>
        <w:gridCol w:w="724"/>
        <w:gridCol w:w="726"/>
        <w:gridCol w:w="109"/>
        <w:gridCol w:w="109"/>
        <w:gridCol w:w="109"/>
        <w:gridCol w:w="666"/>
        <w:gridCol w:w="662"/>
        <w:gridCol w:w="948"/>
      </w:tblGrid>
      <w:tr>
        <w:trPr/>
        <w:tc>
          <w:tcPr>
            <w:tcW w:w="886"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r>
      <w:tr>
        <w:trPr/>
        <w:tc>
          <w:tcPr>
            <w:tcW w:w="22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Las Vegas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Regional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Managed and Branded</w:t>
            </w:r>
          </w:p>
        </w:tc>
      </w:tr>
      <w:tr>
        <w:trPr/>
        <w:tc>
          <w:tcPr>
            <w:tcW w:w="22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8"/>
              </w:rPr>
            </w:pPr>
            <w:r>
              <w:rPr>
                <w:rFonts w:ascii="Times New Roman;serif" w:hAnsi="Times New Roman;serif"/>
                <w:b w:val="false"/>
                <w:color w:val="000000"/>
                <w:sz w:val="18"/>
              </w:rPr>
              <w:t>Caesars Palace Las Vegas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Caesars Atlantic City</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8"/>
              </w:rPr>
            </w:pPr>
            <w:r>
              <w:rPr>
                <w:rFonts w:ascii="Times New Roman;serif" w:hAnsi="Times New Roman;serif"/>
                <w:b w:val="false"/>
                <w:color w:val="000000"/>
                <w:sz w:val="18"/>
              </w:rPr>
              <w:t>Harrah’s Pompano Beach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u w:val="single"/>
              </w:rPr>
            </w:pPr>
            <w:r>
              <w:rPr>
                <w:rFonts w:ascii="Times New Roman;serif" w:hAnsi="Times New Roman;serif"/>
                <w:b w:val="false"/>
                <w:i/>
                <w:color w:val="000000"/>
                <w:sz w:val="18"/>
                <w:u w:val="single"/>
              </w:rPr>
              <w:t>Managed</w:t>
            </w:r>
          </w:p>
        </w:tc>
      </w:tr>
      <w:tr>
        <w:trPr/>
        <w:tc>
          <w:tcPr>
            <w:tcW w:w="2242"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8"/>
              </w:rPr>
            </w:pPr>
            <w:r>
              <w:rPr>
                <w:rFonts w:ascii="Times New Roman;serif" w:hAnsi="Times New Roman;serif"/>
                <w:b w:val="false"/>
                <w:color w:val="000000"/>
                <w:sz w:val="18"/>
              </w:rPr>
              <w:t>Flamingo Las Vegas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3"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8"/>
              </w:rPr>
            </w:pPr>
            <w:r>
              <w:rPr>
                <w:rFonts w:ascii="Times New Roman;serif" w:hAnsi="Times New Roman;serif"/>
                <w:b w:val="false"/>
                <w:color w:val="000000"/>
                <w:sz w:val="18"/>
              </w:rPr>
              <w:t>Caesars New Orleans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3"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8"/>
              </w:rPr>
            </w:pPr>
            <w:r>
              <w:rPr>
                <w:rFonts w:ascii="Times New Roman;serif" w:hAnsi="Times New Roman;serif"/>
                <w:b w:val="false"/>
                <w:color w:val="000000"/>
                <w:sz w:val="18"/>
              </w:rPr>
              <w:t>Horseshoe Baltimore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8"/>
              </w:rPr>
            </w:pPr>
            <w:r>
              <w:rPr>
                <w:rFonts w:ascii="Times New Roman;serif" w:hAnsi="Times New Roman;serif"/>
                <w:b w:val="false"/>
                <w:color w:val="000000"/>
                <w:sz w:val="18"/>
              </w:rPr>
              <w:t>Harrah’s Ak-Chin</w:t>
            </w:r>
          </w:p>
        </w:tc>
      </w:tr>
      <w:tr>
        <w:trPr/>
        <w:tc>
          <w:tcPr>
            <w:tcW w:w="2242"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8"/>
              </w:rPr>
            </w:pPr>
            <w:r>
              <w:rPr>
                <w:rFonts w:ascii="Times New Roman;serif" w:hAnsi="Times New Roman;serif"/>
                <w:b w:val="false"/>
                <w:color w:val="000000"/>
                <w:sz w:val="18"/>
              </w:rPr>
              <w:t>Harrah’s Las Vegas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Caesars Republic Lake Tahoe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Horseshoe Black Hawk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8"/>
              </w:rPr>
            </w:pPr>
            <w:r>
              <w:rPr>
                <w:rFonts w:ascii="Times New Roman;serif" w:hAnsi="Times New Roman;serif"/>
                <w:b w:val="false"/>
                <w:color w:val="000000"/>
                <w:sz w:val="18"/>
              </w:rPr>
              <w:t>Harrah’s Cherokee</w:t>
            </w:r>
          </w:p>
        </w:tc>
      </w:tr>
      <w:tr>
        <w:trPr/>
        <w:tc>
          <w:tcPr>
            <w:tcW w:w="2242"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8"/>
              </w:rPr>
            </w:pPr>
            <w:r>
              <w:rPr>
                <w:rFonts w:ascii="Times New Roman;serif" w:hAnsi="Times New Roman;serif"/>
                <w:b w:val="false"/>
                <w:color w:val="000000"/>
                <w:sz w:val="18"/>
              </w:rPr>
              <w:t>Horseshoe Las Vegas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Caesars Virginia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Horseshoe Bossier City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8"/>
              </w:rPr>
            </w:pPr>
            <w:r>
              <w:rPr>
                <w:rFonts w:ascii="Times New Roman;serif" w:hAnsi="Times New Roman;serif"/>
                <w:b w:val="false"/>
                <w:color w:val="000000"/>
                <w:sz w:val="18"/>
              </w:rPr>
              <w:t>Harrah’s Cherokee Valley River</w:t>
            </w:r>
          </w:p>
        </w:tc>
      </w:tr>
      <w:tr>
        <w:trPr/>
        <w:tc>
          <w:tcPr>
            <w:tcW w:w="2242"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8"/>
              </w:rPr>
            </w:pPr>
            <w:r>
              <w:rPr>
                <w:rFonts w:ascii="Times New Roman;serif" w:hAnsi="Times New Roman;serif"/>
                <w:b w:val="false"/>
                <w:color w:val="000000"/>
                <w:sz w:val="18"/>
              </w:rPr>
              <w:t>The LINQ Hotel &amp; Casino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3"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8"/>
              </w:rPr>
            </w:pPr>
            <w:r>
              <w:rPr>
                <w:rFonts w:ascii="Times New Roman;serif" w:hAnsi="Times New Roman;serif"/>
                <w:b w:val="false"/>
                <w:color w:val="000000"/>
                <w:sz w:val="18"/>
              </w:rPr>
              <w:t>Caesars Windsor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Horseshoe Council Bluffs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8"/>
              </w:rPr>
            </w:pPr>
            <w:r>
              <w:rPr>
                <w:rFonts w:ascii="Times New Roman;serif" w:hAnsi="Times New Roman;serif"/>
                <w:b w:val="false"/>
                <w:color w:val="000000"/>
                <w:sz w:val="18"/>
              </w:rPr>
              <w:t>Harrah’s Oklahoma</w:t>
            </w:r>
          </w:p>
        </w:tc>
      </w:tr>
      <w:tr>
        <w:trPr/>
        <w:tc>
          <w:tcPr>
            <w:tcW w:w="2242"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8"/>
              </w:rPr>
            </w:pPr>
            <w:r>
              <w:rPr>
                <w:rFonts w:ascii="Times New Roman;serif" w:hAnsi="Times New Roman;serif"/>
                <w:b w:val="false"/>
                <w:color w:val="000000"/>
                <w:sz w:val="18"/>
              </w:rPr>
              <w:t>Paris Las Vegas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Circus Circus Reno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Horseshoe Hammond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8"/>
              </w:rPr>
            </w:pPr>
            <w:r>
              <w:rPr>
                <w:rFonts w:ascii="Times New Roman;serif" w:hAnsi="Times New Roman;serif"/>
                <w:b w:val="false"/>
                <w:color w:val="000000"/>
                <w:sz w:val="18"/>
              </w:rPr>
              <w:t>Harrah’s Resort Southern California</w:t>
            </w:r>
          </w:p>
        </w:tc>
      </w:tr>
      <w:tr>
        <w:trPr/>
        <w:tc>
          <w:tcPr>
            <w:tcW w:w="2242"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8"/>
              </w:rPr>
            </w:pPr>
            <w:r>
              <w:rPr>
                <w:rFonts w:ascii="Times New Roman;serif" w:hAnsi="Times New Roman;serif"/>
                <w:b w:val="false"/>
                <w:color w:val="000000"/>
                <w:sz w:val="18"/>
              </w:rPr>
              <w:t>Planet Hollywood Resort &amp; Casino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Eldorado Gaming Scioto Downs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Horseshoe Indianapolis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u w:val="single"/>
              </w:rPr>
            </w:pPr>
            <w:r>
              <w:rPr>
                <w:rFonts w:ascii="Times New Roman;serif" w:hAnsi="Times New Roman;serif"/>
                <w:b w:val="false"/>
                <w:i/>
                <w:color w:val="000000"/>
                <w:sz w:val="18"/>
                <w:u w:val="single"/>
              </w:rPr>
              <w:t>Branded</w:t>
            </w:r>
          </w:p>
        </w:tc>
      </w:tr>
      <w:tr>
        <w:trPr/>
        <w:tc>
          <w:tcPr>
            <w:tcW w:w="2242"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8"/>
              </w:rPr>
            </w:pPr>
            <w:r>
              <w:rPr>
                <w:rFonts w:ascii="Times New Roman;serif" w:hAnsi="Times New Roman;serif"/>
                <w:b w:val="false"/>
                <w:color w:val="000000"/>
                <w:sz w:val="18"/>
              </w:rPr>
              <w:t>The Vanderpump Hotel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Eldorado Resort Casino Reno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Horseshoe Lake Charles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8"/>
              </w:rPr>
            </w:pPr>
            <w:r>
              <w:rPr>
                <w:rFonts w:ascii="Times New Roman;serif" w:hAnsi="Times New Roman;serif"/>
                <w:b w:val="false"/>
                <w:color w:val="000000"/>
                <w:sz w:val="18"/>
              </w:rPr>
              <w:t xml:space="preserve">Caesars Southern Indiana </w:t>
            </w:r>
          </w:p>
        </w:tc>
      </w:tr>
      <w:tr>
        <w:trPr/>
        <w:tc>
          <w:tcPr>
            <w:tcW w:w="22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Grand Victoria Casino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Horseshoe St. Louis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8"/>
              </w:rPr>
            </w:pPr>
            <w:r>
              <w:rPr>
                <w:rFonts w:ascii="Times New Roman;serif" w:hAnsi="Times New Roman;serif"/>
                <w:b w:val="false"/>
                <w:color w:val="000000"/>
                <w:sz w:val="18"/>
              </w:rPr>
              <w:t>Harrah’s Northern California</w:t>
            </w:r>
          </w:p>
        </w:tc>
      </w:tr>
      <w:tr>
        <w:trPr/>
        <w:tc>
          <w:tcPr>
            <w:tcW w:w="2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Caesars Digital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3"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8"/>
              </w:rPr>
            </w:pPr>
            <w:r>
              <w:rPr>
                <w:rFonts w:ascii="Times New Roman;serif" w:hAnsi="Times New Roman;serif"/>
                <w:b w:val="false"/>
                <w:color w:val="000000"/>
                <w:sz w:val="18"/>
              </w:rPr>
              <w:t>Harrah’s Atlantic City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3"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8"/>
              </w:rPr>
            </w:pPr>
            <w:r>
              <w:rPr>
                <w:rFonts w:ascii="Times New Roman;serif" w:hAnsi="Times New Roman;serif"/>
                <w:b w:val="false"/>
                <w:color w:val="000000"/>
                <w:sz w:val="18"/>
              </w:rPr>
              <w:t>Horseshoe Tunica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Caesars Digital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Harrah’s Columbus Nebraska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Isle Casino Bettendorf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3"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8"/>
              </w:rPr>
            </w:pPr>
            <w:r>
              <w:rPr>
                <w:rFonts w:ascii="Times New Roman;serif" w:hAnsi="Times New Roman;serif"/>
                <w:b w:val="false"/>
                <w:color w:val="000000"/>
                <w:sz w:val="18"/>
              </w:rPr>
              <w:t>Harrah’s Council Bluffs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Isle of Capri Casino Boonville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3"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8"/>
              </w:rPr>
            </w:pPr>
            <w:r>
              <w:rPr>
                <w:rFonts w:ascii="Times New Roman;serif" w:hAnsi="Times New Roman;serif"/>
                <w:b w:val="false"/>
                <w:color w:val="000000"/>
                <w:sz w:val="18"/>
              </w:rPr>
              <w:t>Harrah’s Gulf Coast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Isle of Capri Casino Lula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3"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8"/>
              </w:rPr>
            </w:pPr>
            <w:r>
              <w:rPr>
                <w:rFonts w:ascii="Times New Roman;serif" w:hAnsi="Times New Roman;serif"/>
                <w:b w:val="false"/>
                <w:color w:val="000000"/>
                <w:sz w:val="18"/>
              </w:rPr>
              <w:t>Harrah’s Hoosier Park Racing &amp; Casino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Isle Casino Waterloo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3"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8"/>
              </w:rPr>
            </w:pPr>
            <w:r>
              <w:rPr>
                <w:rFonts w:ascii="Times New Roman;serif" w:hAnsi="Times New Roman;serif"/>
                <w:b w:val="false"/>
                <w:color w:val="000000"/>
                <w:sz w:val="18"/>
              </w:rPr>
              <w:t>Harrah’s Joliet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Lady Luck Casino - Black Hawk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3"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8"/>
              </w:rPr>
            </w:pPr>
            <w:r>
              <w:rPr>
                <w:rFonts w:ascii="Times New Roman;serif" w:hAnsi="Times New Roman;serif"/>
                <w:b w:val="false"/>
                <w:color w:val="000000"/>
                <w:sz w:val="18"/>
              </w:rPr>
              <w:t>Harrah’s Lake Tahoe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Silver Legacy Resort Casino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3"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8"/>
              </w:rPr>
            </w:pPr>
            <w:r>
              <w:rPr>
                <w:rFonts w:ascii="Times New Roman;serif" w:hAnsi="Times New Roman;serif"/>
                <w:b w:val="false"/>
                <w:color w:val="000000"/>
                <w:sz w:val="18"/>
              </w:rPr>
              <w:t>Harrah’s Laughlin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Trop Casino Greenville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3"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8"/>
              </w:rPr>
            </w:pPr>
            <w:r>
              <w:rPr>
                <w:rFonts w:ascii="Times New Roman;serif" w:hAnsi="Times New Roman;serif"/>
                <w:b w:val="false"/>
                <w:color w:val="000000"/>
                <w:sz w:val="18"/>
              </w:rPr>
              <w:t>Harrah’s Metropolis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Tropicana Atlantic City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3"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8"/>
              </w:rPr>
            </w:pPr>
            <w:r>
              <w:rPr>
                <w:rFonts w:ascii="Times New Roman;serif" w:hAnsi="Times New Roman;serif"/>
                <w:b w:val="false"/>
                <w:color w:val="000000"/>
                <w:sz w:val="18"/>
              </w:rPr>
              <w:t>Harrah’s North Kansas City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Tropicana Laughlin Hotel &amp; Casino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3"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8"/>
              </w:rPr>
            </w:pPr>
            <w:r>
              <w:rPr>
                <w:rFonts w:ascii="Times New Roman;serif" w:hAnsi="Times New Roman;serif"/>
                <w:b w:val="false"/>
                <w:color w:val="000000"/>
                <w:sz w:val="18"/>
              </w:rPr>
              <w:t>Harrah’s Philadelphia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Certain of our properties operate off-track betting locations, including Harrah’s Hoosier Park Racing &amp; Casino, which operates Winner’s Circle Indianapolis and Winner’s Circle New Haven, and Horseshoe Indianapolis, which operates Winner’s Circle Clarksville. We operate the High Roller, a 550-foot observation wheel, and the Fly LINQ Zipline attraction, located on the east side of the Las Vegas Strip next to The LINQ Hotel &amp; Casino (the “LINQ”). The CAESARS FORUM is a 550,000 square feet conference center with 300,000 square feet of flexible meeting space, two of the largest pillarless ballrooms in the world and direct access to the LINQ.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Corporate and Other includes certain unallocated corporate overhead costs and other adjustments, including eliminations of transactions among segments, to reconcile to the Company’s consolidated results.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Company’s Chief Operating Decision Maker (“CODM”) is the Chief Executive Officer. The CODM assesses segment performance by using Adjusted EBITDA, which is defined and reconciled to net income (loss) below.</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CODM uses Adjusted EBITDA during the annual budgeting process and evaluates budget-to-actual variances on a regular basis to make decisions about the allocation of operating and capital resources. Annual incentive awards and bonus plans have historically been based on the achievement of Adjusted EBITDA as a primary metric as the Company believes it most accurately reflects our results and represents a key metric in our industry.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04165"/>
                <wp:effectExtent l="0" t="0" r="0" b="0"/>
                <wp:wrapNone/>
                <wp:docPr id="26" name="Frame26"/>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25bc4ccd358f439aa099948f0102ebf8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25bc4ccd358f439aa099948f0102ebf8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CAESARS ENTERTAINMENT,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CONDENSED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for the periods indicated, certain operating data for the Company’s four reportable segments, in addition to Corporate and Other:</w:t>
      </w:r>
    </w:p>
    <w:tbl>
      <w:tblPr>
        <w:tblW w:w="6874" w:type="dxa"/>
        <w:jc w:val="left"/>
        <w:tblInd w:w="0" w:type="dxa"/>
        <w:tblLayout w:type="fixed"/>
        <w:tblCellMar>
          <w:top w:w="28" w:type="dxa"/>
          <w:left w:w="28" w:type="dxa"/>
          <w:bottom w:w="28" w:type="dxa"/>
          <w:right w:w="28" w:type="dxa"/>
        </w:tblCellMar>
      </w:tblPr>
      <w:tblGrid>
        <w:gridCol w:w="664"/>
        <w:gridCol w:w="582"/>
        <w:gridCol w:w="584"/>
        <w:gridCol w:w="233"/>
        <w:gridCol w:w="663"/>
        <w:gridCol w:w="130"/>
        <w:gridCol w:w="130"/>
        <w:gridCol w:w="130"/>
        <w:gridCol w:w="130"/>
        <w:gridCol w:w="233"/>
        <w:gridCol w:w="663"/>
        <w:gridCol w:w="130"/>
        <w:gridCol w:w="109"/>
        <w:gridCol w:w="109"/>
        <w:gridCol w:w="109"/>
        <w:gridCol w:w="213"/>
        <w:gridCol w:w="605"/>
        <w:gridCol w:w="118"/>
        <w:gridCol w:w="118"/>
        <w:gridCol w:w="118"/>
        <w:gridCol w:w="118"/>
        <w:gridCol w:w="213"/>
        <w:gridCol w:w="605"/>
        <w:gridCol w:w="167"/>
      </w:tblGrid>
      <w:tr>
        <w:trPr/>
        <w:tc>
          <w:tcPr>
            <w:tcW w:w="664"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1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Las Vegas:</w:t>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revenues</w:t>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Regional:</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revenues</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Caesars Digital:</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revenues</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Managed and Branded:</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revenues</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Corporate and Other:</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revenues</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Disaggregation of Certain Significant Expenses by Segment</w:t>
      </w:r>
    </w:p>
    <w:tbl>
      <w:tblPr>
        <w:tblW w:w="10205" w:type="dxa"/>
        <w:jc w:val="left"/>
        <w:tblInd w:w="0" w:type="dxa"/>
        <w:tblLayout w:type="fixed"/>
        <w:tblCellMar>
          <w:top w:w="28" w:type="dxa"/>
          <w:left w:w="28" w:type="dxa"/>
          <w:bottom w:w="28" w:type="dxa"/>
          <w:right w:w="28" w:type="dxa"/>
        </w:tblCellMar>
      </w:tblPr>
      <w:tblGrid>
        <w:gridCol w:w="632"/>
        <w:gridCol w:w="528"/>
        <w:gridCol w:w="529"/>
        <w:gridCol w:w="202"/>
        <w:gridCol w:w="574"/>
        <w:gridCol w:w="112"/>
        <w:gridCol w:w="109"/>
        <w:gridCol w:w="109"/>
        <w:gridCol w:w="109"/>
        <w:gridCol w:w="196"/>
        <w:gridCol w:w="556"/>
        <w:gridCol w:w="109"/>
        <w:gridCol w:w="109"/>
        <w:gridCol w:w="109"/>
        <w:gridCol w:w="109"/>
        <w:gridCol w:w="302"/>
        <w:gridCol w:w="650"/>
        <w:gridCol w:w="168"/>
        <w:gridCol w:w="109"/>
        <w:gridCol w:w="109"/>
        <w:gridCol w:w="109"/>
        <w:gridCol w:w="490"/>
        <w:gridCol w:w="828"/>
        <w:gridCol w:w="275"/>
        <w:gridCol w:w="109"/>
        <w:gridCol w:w="109"/>
        <w:gridCol w:w="109"/>
        <w:gridCol w:w="453"/>
        <w:gridCol w:w="799"/>
        <w:gridCol w:w="253"/>
        <w:gridCol w:w="109"/>
        <w:gridCol w:w="109"/>
        <w:gridCol w:w="109"/>
        <w:gridCol w:w="196"/>
        <w:gridCol w:w="556"/>
        <w:gridCol w:w="162"/>
      </w:tblGrid>
      <w:tr>
        <w:trPr/>
        <w:tc>
          <w:tcPr>
            <w:tcW w:w="632"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 2026</w:t>
            </w:r>
          </w:p>
        </w:tc>
      </w:tr>
      <w:tr>
        <w:trPr/>
        <w:tc>
          <w:tcPr>
            <w:tcW w:w="1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8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Las Vegas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Regional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Caesars Digital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Managed and Branded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Corporate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Net revenues</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1,017 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2,993 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Gaming taxes</w:t>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16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Labor expense</w:t>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Other segment expenses </w:t>
            </w:r>
            <w:r>
              <w:rPr>
                <w:rFonts w:ascii="Times New Roman;serif" w:hAnsi="Times New Roman;serif"/>
                <w:b w:val="false"/>
                <w:i/>
                <w:color w:val="000000"/>
                <w:sz w:val="12"/>
              </w:rPr>
              <w:t>(a)</w:t>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410 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2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w:t>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32"/>
        <w:gridCol w:w="528"/>
        <w:gridCol w:w="529"/>
        <w:gridCol w:w="202"/>
        <w:gridCol w:w="574"/>
        <w:gridCol w:w="112"/>
        <w:gridCol w:w="109"/>
        <w:gridCol w:w="109"/>
        <w:gridCol w:w="109"/>
        <w:gridCol w:w="196"/>
        <w:gridCol w:w="556"/>
        <w:gridCol w:w="109"/>
        <w:gridCol w:w="109"/>
        <w:gridCol w:w="109"/>
        <w:gridCol w:w="109"/>
        <w:gridCol w:w="302"/>
        <w:gridCol w:w="650"/>
        <w:gridCol w:w="168"/>
        <w:gridCol w:w="109"/>
        <w:gridCol w:w="109"/>
        <w:gridCol w:w="109"/>
        <w:gridCol w:w="490"/>
        <w:gridCol w:w="828"/>
        <w:gridCol w:w="275"/>
        <w:gridCol w:w="109"/>
        <w:gridCol w:w="109"/>
        <w:gridCol w:w="109"/>
        <w:gridCol w:w="453"/>
        <w:gridCol w:w="799"/>
        <w:gridCol w:w="253"/>
        <w:gridCol w:w="109"/>
        <w:gridCol w:w="109"/>
        <w:gridCol w:w="109"/>
        <w:gridCol w:w="196"/>
        <w:gridCol w:w="556"/>
        <w:gridCol w:w="162"/>
      </w:tblGrid>
      <w:tr>
        <w:trPr/>
        <w:tc>
          <w:tcPr>
            <w:tcW w:w="632"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 2025</w:t>
            </w:r>
          </w:p>
        </w:tc>
      </w:tr>
      <w:tr>
        <w:trPr/>
        <w:tc>
          <w:tcPr>
            <w:tcW w:w="1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8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Las Vegas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Regional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Caesars Digital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Managed and Branded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Corporate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Net revenues</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1,054 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2,907 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Gaming taxes</w:t>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1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Labor expense</w:t>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Other segment expenses </w:t>
            </w:r>
            <w:r>
              <w:rPr>
                <w:rFonts w:ascii="Times New Roman;serif" w:hAnsi="Times New Roman;serif"/>
                <w:b w:val="false"/>
                <w:i/>
                <w:color w:val="000000"/>
                <w:sz w:val="12"/>
              </w:rPr>
              <w:t>(a)</w:t>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469 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2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w:t>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04165"/>
                <wp:effectExtent l="0" t="0" r="0" b="0"/>
                <wp:wrapNone/>
                <wp:docPr id="27" name="Frame27"/>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25bc4ccd358f439aa099948f0102ebf8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25bc4ccd358f439aa099948f0102ebf8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CAESARS ENTERTAINMENT,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CONDENSED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632"/>
        <w:gridCol w:w="528"/>
        <w:gridCol w:w="529"/>
        <w:gridCol w:w="202"/>
        <w:gridCol w:w="574"/>
        <w:gridCol w:w="112"/>
        <w:gridCol w:w="109"/>
        <w:gridCol w:w="109"/>
        <w:gridCol w:w="109"/>
        <w:gridCol w:w="196"/>
        <w:gridCol w:w="556"/>
        <w:gridCol w:w="109"/>
        <w:gridCol w:w="109"/>
        <w:gridCol w:w="109"/>
        <w:gridCol w:w="109"/>
        <w:gridCol w:w="302"/>
        <w:gridCol w:w="650"/>
        <w:gridCol w:w="168"/>
        <w:gridCol w:w="109"/>
        <w:gridCol w:w="109"/>
        <w:gridCol w:w="109"/>
        <w:gridCol w:w="428"/>
        <w:gridCol w:w="923"/>
        <w:gridCol w:w="243"/>
        <w:gridCol w:w="109"/>
        <w:gridCol w:w="109"/>
        <w:gridCol w:w="109"/>
        <w:gridCol w:w="397"/>
        <w:gridCol w:w="886"/>
        <w:gridCol w:w="221"/>
        <w:gridCol w:w="109"/>
        <w:gridCol w:w="109"/>
        <w:gridCol w:w="109"/>
        <w:gridCol w:w="196"/>
        <w:gridCol w:w="556"/>
        <w:gridCol w:w="162"/>
      </w:tblGrid>
      <w:tr>
        <w:trPr/>
        <w:tc>
          <w:tcPr>
            <w:tcW w:w="632"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 2026</w:t>
            </w:r>
          </w:p>
        </w:tc>
      </w:tr>
      <w:tr>
        <w:trPr/>
        <w:tc>
          <w:tcPr>
            <w:tcW w:w="1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8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Las Vegas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Regional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Caesars Digital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Managed and Branded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Corporate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Net revenues</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2,020 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725 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5,863 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Gaming taxes</w:t>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16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Labor expense</w:t>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(617)</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Other segment expenses </w:t>
            </w:r>
            <w:r>
              <w:rPr>
                <w:rFonts w:ascii="Times New Roman;serif" w:hAnsi="Times New Roman;serif"/>
                <w:b w:val="false"/>
                <w:i/>
                <w:color w:val="000000"/>
                <w:sz w:val="12"/>
              </w:rPr>
              <w:t>(a)</w:t>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(508)</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(384)</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836 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32"/>
        <w:gridCol w:w="528"/>
        <w:gridCol w:w="529"/>
        <w:gridCol w:w="202"/>
        <w:gridCol w:w="574"/>
        <w:gridCol w:w="112"/>
        <w:gridCol w:w="109"/>
        <w:gridCol w:w="109"/>
        <w:gridCol w:w="109"/>
        <w:gridCol w:w="196"/>
        <w:gridCol w:w="556"/>
        <w:gridCol w:w="109"/>
        <w:gridCol w:w="109"/>
        <w:gridCol w:w="109"/>
        <w:gridCol w:w="109"/>
        <w:gridCol w:w="302"/>
        <w:gridCol w:w="650"/>
        <w:gridCol w:w="168"/>
        <w:gridCol w:w="109"/>
        <w:gridCol w:w="109"/>
        <w:gridCol w:w="109"/>
        <w:gridCol w:w="428"/>
        <w:gridCol w:w="923"/>
        <w:gridCol w:w="243"/>
        <w:gridCol w:w="109"/>
        <w:gridCol w:w="109"/>
        <w:gridCol w:w="109"/>
        <w:gridCol w:w="453"/>
        <w:gridCol w:w="799"/>
        <w:gridCol w:w="253"/>
        <w:gridCol w:w="109"/>
        <w:gridCol w:w="109"/>
        <w:gridCol w:w="109"/>
        <w:gridCol w:w="196"/>
        <w:gridCol w:w="556"/>
        <w:gridCol w:w="161"/>
      </w:tblGrid>
      <w:tr>
        <w:trPr/>
        <w:tc>
          <w:tcPr>
            <w:tcW w:w="632"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 2025</w:t>
            </w:r>
          </w:p>
        </w:tc>
      </w:tr>
      <w:tr>
        <w:trPr/>
        <w:tc>
          <w:tcPr>
            <w:tcW w:w="1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8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Las Vegas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Regional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Caesars Digital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Managed and Branded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Corporate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Net revenues</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2,057 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678 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5,701 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Gaming taxes</w:t>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r>
      <w:tr>
        <w:trPr/>
        <w:tc>
          <w:tcPr>
            <w:tcW w:w="1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Labor expense</w:t>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(614)</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Other segment expenses </w:t>
            </w:r>
            <w:r>
              <w:rPr>
                <w:rFonts w:ascii="Times New Roman;serif" w:hAnsi="Times New Roman;serif"/>
                <w:b w:val="false"/>
                <w:i/>
                <w:color w:val="000000"/>
                <w:sz w:val="12"/>
              </w:rPr>
              <w:t>(a)</w:t>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(479)</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902 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w:t>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____________________</w:t>
      </w:r>
    </w:p>
    <w:p>
      <w:pPr>
        <w:pStyle w:val="TextBody"/>
        <w:bidi w:val="0"/>
        <w:spacing w:lineRule="auto" w:line="288" w:before="60" w:after="283"/>
        <w:ind w:left="0" w:right="0" w:hanging="360"/>
        <w:jc w:val="both"/>
        <w:rPr/>
      </w:pPr>
      <w:r>
        <w:rPr>
          <w:rFonts w:ascii="Times New Roman;serif" w:hAnsi="Times New Roman;serif"/>
          <w:b w:val="false"/>
          <w:i/>
          <w:color w:val="000000"/>
          <w:sz w:val="10"/>
        </w:rPr>
        <w:t>(a)</w:t>
      </w:r>
      <w:r>
        <w:rPr>
          <w:rFonts w:ascii="Times New Roman;serif" w:hAnsi="Times New Roman;serif"/>
          <w:b w:val="false"/>
          <w:i/>
          <w:color w:val="000000"/>
          <w:sz w:val="16"/>
        </w:rPr>
        <w:t>The ‘Other segment expenses’ category for each of our reportable segments primarily includes:</w:t>
      </w:r>
    </w:p>
    <w:p>
      <w:pPr>
        <w:pStyle w:val="TextBody"/>
        <w:bidi w:val="0"/>
        <w:spacing w:lineRule="auto" w:line="288" w:before="60" w:after="283"/>
        <w:ind w:left="0" w:right="0" w:hanging="360"/>
        <w:jc w:val="both"/>
        <w:rPr/>
      </w:pPr>
      <w:r>
        <w:rPr>
          <w:color w:val="000000"/>
        </w:rPr>
        <w:t>•</w:t>
      </w:r>
      <w:r>
        <w:rPr>
          <w:rFonts w:ascii="Times New Roman;serif" w:hAnsi="Times New Roman;serif"/>
          <w:b/>
          <w:i/>
          <w:color w:val="000000"/>
          <w:sz w:val="16"/>
        </w:rPr>
        <w:t>Las Vegas and Regional Segments</w:t>
      </w:r>
      <w:r>
        <w:rPr>
          <w:color w:val="000000"/>
        </w:rPr>
        <w:t xml:space="preserve"> </w:t>
      </w:r>
      <w:r>
        <w:rPr>
          <w:rFonts w:ascii="Times New Roman;serif" w:hAnsi="Times New Roman;serif"/>
          <w:b w:val="false"/>
          <w:i/>
          <w:color w:val="000000"/>
          <w:sz w:val="16"/>
        </w:rPr>
        <w:t>- Cost of sales associated with food, beverage and retail offerings; commission fees, talent fees and ticketing expenses associated with entertainment offerings; utility costs; costs of supplies; repairs and maintenance charges; professional fees; marketing and advertising expenses; software and licensing expenses; rental costs; and insurance expense.</w:t>
      </w:r>
    </w:p>
    <w:p>
      <w:pPr>
        <w:pStyle w:val="TextBody"/>
        <w:bidi w:val="0"/>
        <w:spacing w:lineRule="auto" w:line="288" w:before="60" w:after="283"/>
        <w:ind w:left="0" w:right="0" w:hanging="360"/>
        <w:jc w:val="both"/>
        <w:rPr/>
      </w:pPr>
      <w:r>
        <w:rPr>
          <w:color w:val="000000"/>
        </w:rPr>
        <w:t>•</w:t>
      </w:r>
      <w:r>
        <w:rPr>
          <w:rFonts w:ascii="Times New Roman;serif" w:hAnsi="Times New Roman;serif"/>
          <w:b/>
          <w:i/>
          <w:color w:val="000000"/>
          <w:sz w:val="16"/>
        </w:rPr>
        <w:t>Caesars Digital</w:t>
      </w:r>
      <w:r>
        <w:rPr>
          <w:color w:val="000000"/>
        </w:rPr>
        <w:t xml:space="preserve"> </w:t>
      </w:r>
      <w:r>
        <w:rPr>
          <w:rFonts w:ascii="Times New Roman;serif" w:hAnsi="Times New Roman;serif"/>
          <w:b w:val="false"/>
          <w:i/>
          <w:color w:val="000000"/>
          <w:sz w:val="16"/>
        </w:rPr>
        <w:t>- Labor costs directly associated with the operation and maintenance of the digital platforms; professional fees; marketing and advertising expenses; and software and license expenses.</w:t>
      </w:r>
    </w:p>
    <w:p>
      <w:pPr>
        <w:pStyle w:val="TextBody"/>
        <w:bidi w:val="0"/>
        <w:spacing w:lineRule="auto" w:line="288" w:before="60" w:after="283"/>
        <w:ind w:left="0" w:right="0" w:hanging="360"/>
        <w:jc w:val="both"/>
        <w:rPr/>
      </w:pPr>
      <w:r>
        <w:rPr>
          <w:color w:val="000000"/>
        </w:rPr>
        <w:t>•</w:t>
      </w:r>
      <w:r>
        <w:rPr>
          <w:rFonts w:ascii="Times New Roman;serif" w:hAnsi="Times New Roman;serif"/>
          <w:b/>
          <w:i/>
          <w:color w:val="000000"/>
          <w:sz w:val="16"/>
        </w:rPr>
        <w:t xml:space="preserve">Managed and Branded </w:t>
      </w:r>
      <w:r>
        <w:rPr>
          <w:rFonts w:ascii="Times New Roman;serif" w:hAnsi="Times New Roman;serif"/>
          <w:b w:val="false"/>
          <w:i/>
          <w:color w:val="000000"/>
          <w:sz w:val="16"/>
        </w:rPr>
        <w:t>- Reimbursable expenses which are primarily payroll costs associated with our managed properties.</w:t>
      </w:r>
    </w:p>
    <w:p>
      <w:pPr>
        <w:pStyle w:val="TextBody"/>
        <w:bidi w:val="0"/>
        <w:spacing w:lineRule="auto" w:line="288" w:before="60" w:after="283"/>
        <w:ind w:left="0" w:right="0" w:hanging="360"/>
        <w:jc w:val="both"/>
        <w:rPr/>
      </w:pPr>
      <w:r>
        <w:rPr>
          <w:color w:val="000000"/>
        </w:rPr>
        <w:t>•</w:t>
      </w:r>
      <w:r>
        <w:rPr>
          <w:rFonts w:ascii="Times New Roman;serif" w:hAnsi="Times New Roman;serif"/>
          <w:b/>
          <w:i/>
          <w:color w:val="000000"/>
          <w:sz w:val="16"/>
        </w:rPr>
        <w:t xml:space="preserve">Corporate and Other </w:t>
      </w:r>
      <w:r>
        <w:rPr>
          <w:rFonts w:ascii="Times New Roman;serif" w:hAnsi="Times New Roman;serif"/>
          <w:b w:val="false"/>
          <w:i/>
          <w:color w:val="000000"/>
          <w:sz w:val="16"/>
        </w:rPr>
        <w:t>- Unallocated corporate payroll and overhead costs.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Reconciliation of Net Income (Loss) Attributable to Caesars to Adjusted EBITDA by Segment</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Adjusted EBITDA is presented as a measure of the Company’s performance. Adjusted EBITDA is defined as revenues less certain operating expenses and is comprised of net income (loss) before (i) interest income and interest expense, net of interest capitalized, (ii) income tax (benefit) provision, (iii) depreciation and amortization, and (iv) certain items that we do not consider indicative of our ongoing operating performance at an operating property level.</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 evaluating Adjusted EBITDA you should be aware that, in the future, we may incur expenses that are the same or similar to some of the adjustments in this presentation. The presentation of Adjusted EBITDA should not be construed as an inference that future results will be unaffected by unusual or unexpected items.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Adjusted EBITDA is a financial measure commonly used in our industry and should not be construed as an alternative to net income (loss) as an indicator of operating performance or as an alternative to cash flows provided by operating activities as a measure of liquidity (as determined in accordance with GAAP). Adjusted EBITDA may not be comparable to similarly titled measures reported by other companies within the industry. Adjusted EBITDA is included because management uses Adjusted EBITDA to measure performance and allocate resources, and believes that Adjusted EBITDA provides investors with additional information consistent with that used by management.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04165"/>
                <wp:effectExtent l="0" t="0" r="0" b="0"/>
                <wp:wrapNone/>
                <wp:docPr id="28" name="Frame28"/>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25bc4ccd358f439aa099948f0102ebf8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25bc4ccd358f439aa099948f0102ebf8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CAESARS ENTERTAINMENT,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CONDENSED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8686" w:type="dxa"/>
        <w:jc w:val="left"/>
        <w:tblInd w:w="0" w:type="dxa"/>
        <w:tblLayout w:type="fixed"/>
        <w:tblCellMar>
          <w:top w:w="28" w:type="dxa"/>
          <w:left w:w="28" w:type="dxa"/>
          <w:bottom w:w="28" w:type="dxa"/>
          <w:right w:w="28" w:type="dxa"/>
        </w:tblCellMar>
      </w:tblPr>
      <w:tblGrid>
        <w:gridCol w:w="1322"/>
        <w:gridCol w:w="1160"/>
        <w:gridCol w:w="1163"/>
        <w:gridCol w:w="269"/>
        <w:gridCol w:w="578"/>
        <w:gridCol w:w="149"/>
        <w:gridCol w:w="149"/>
        <w:gridCol w:w="149"/>
        <w:gridCol w:w="149"/>
        <w:gridCol w:w="269"/>
        <w:gridCol w:w="578"/>
        <w:gridCol w:w="149"/>
        <w:gridCol w:w="109"/>
        <w:gridCol w:w="109"/>
        <w:gridCol w:w="109"/>
        <w:gridCol w:w="213"/>
        <w:gridCol w:w="605"/>
        <w:gridCol w:w="118"/>
        <w:gridCol w:w="118"/>
        <w:gridCol w:w="118"/>
        <w:gridCol w:w="118"/>
        <w:gridCol w:w="213"/>
        <w:gridCol w:w="605"/>
        <w:gridCol w:w="167"/>
      </w:tblGrid>
      <w:tr>
        <w:trPr/>
        <w:tc>
          <w:tcPr>
            <w:tcW w:w="1322"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attributable to Caesars</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noncontrolling interests</w:t>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(Benefit) provision for income taxes</w:t>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w:t>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573 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579 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Transaction costs and other, net</w:t>
            </w:r>
            <w:r>
              <w:rPr>
                <w:color w:val="000000"/>
              </w:rPr>
              <w:t xml:space="preserve"> </w:t>
            </w:r>
            <w:r>
              <w:rPr>
                <w:rFonts w:ascii="Times New Roman;serif" w:hAnsi="Times New Roman;serif"/>
                <w:b w:val="false"/>
                <w:i/>
                <w:color w:val="000000"/>
                <w:sz w:val="12"/>
              </w:rPr>
              <w:t>(a)</w:t>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920 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955 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1,807 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1,839 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 by Segment:</w:t>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Las Vegas</w:t>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410 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469 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Regional</w:t>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488 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Caesars Digital</w:t>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Managed and Branded</w:t>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and Other</w:t>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____________________</w:t>
      </w:r>
    </w:p>
    <w:p>
      <w:pPr>
        <w:pStyle w:val="TextBody"/>
        <w:bidi w:val="0"/>
        <w:spacing w:lineRule="auto" w:line="288" w:before="60" w:after="283"/>
        <w:ind w:left="0" w:right="0" w:hanging="360"/>
        <w:jc w:val="both"/>
        <w:rPr/>
      </w:pPr>
      <w:r>
        <w:rPr>
          <w:rFonts w:ascii="Times New Roman;serif" w:hAnsi="Times New Roman;serif"/>
          <w:b w:val="false"/>
          <w:i/>
          <w:color w:val="000000"/>
          <w:sz w:val="10"/>
        </w:rPr>
        <w:t>(a)</w:t>
      </w:r>
      <w:r>
        <w:rPr>
          <w:rFonts w:ascii="Times New Roman;serif" w:hAnsi="Times New Roman;serif"/>
          <w:b w:val="false"/>
          <w:i/>
          <w:color w:val="000000"/>
          <w:sz w:val="16"/>
        </w:rPr>
        <w:t xml:space="preserve">Transaction costs and other, net primarily includes costs related to non-cash losses on the write down and disposal of assets, certain non-recurring litigation reserves, professional services for transaction and integration costs, various contract exit or termination costs, pre-opening costs in connection with new property openings and non-cash changes in equity method investments. </w:t>
      </w:r>
    </w:p>
    <w:tbl>
      <w:tblPr>
        <w:tblW w:w="8389" w:type="dxa"/>
        <w:jc w:val="left"/>
        <w:tblInd w:w="0" w:type="dxa"/>
        <w:tblLayout w:type="fixed"/>
        <w:tblCellMar>
          <w:top w:w="28" w:type="dxa"/>
          <w:left w:w="28" w:type="dxa"/>
          <w:bottom w:w="28" w:type="dxa"/>
          <w:right w:w="28" w:type="dxa"/>
        </w:tblCellMar>
      </w:tblPr>
      <w:tblGrid>
        <w:gridCol w:w="1211"/>
        <w:gridCol w:w="1066"/>
        <w:gridCol w:w="1068"/>
        <w:gridCol w:w="269"/>
        <w:gridCol w:w="578"/>
        <w:gridCol w:w="149"/>
        <w:gridCol w:w="149"/>
        <w:gridCol w:w="149"/>
        <w:gridCol w:w="149"/>
        <w:gridCol w:w="269"/>
        <w:gridCol w:w="578"/>
        <w:gridCol w:w="149"/>
        <w:gridCol w:w="109"/>
        <w:gridCol w:w="109"/>
        <w:gridCol w:w="109"/>
        <w:gridCol w:w="245"/>
        <w:gridCol w:w="526"/>
        <w:gridCol w:w="136"/>
        <w:gridCol w:w="136"/>
        <w:gridCol w:w="136"/>
        <w:gridCol w:w="136"/>
        <w:gridCol w:w="245"/>
        <w:gridCol w:w="526"/>
        <w:gridCol w:w="192"/>
      </w:tblGrid>
      <w:tr>
        <w:trPr/>
        <w:tc>
          <w:tcPr>
            <w:tcW w:w="121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Capital Expenditures, Net - By Segment</w:t>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Las Vegas</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Regional</w:t>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Caesars Digital</w:t>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Corporate and Other</w:t>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167 </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230 </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453 </w:t>
            </w:r>
          </w:p>
        </w:tc>
        <w:tc>
          <w:tcPr>
            <w:tcW w:w="1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5261" w:type="dxa"/>
        <w:jc w:val="left"/>
        <w:tblInd w:w="0" w:type="dxa"/>
        <w:tblLayout w:type="fixed"/>
        <w:tblCellMar>
          <w:top w:w="28" w:type="dxa"/>
          <w:left w:w="28" w:type="dxa"/>
          <w:bottom w:w="28" w:type="dxa"/>
          <w:right w:w="28" w:type="dxa"/>
        </w:tblCellMar>
      </w:tblPr>
      <w:tblGrid>
        <w:gridCol w:w="794"/>
        <w:gridCol w:w="697"/>
        <w:gridCol w:w="699"/>
        <w:gridCol w:w="238"/>
        <w:gridCol w:w="785"/>
        <w:gridCol w:w="132"/>
        <w:gridCol w:w="109"/>
        <w:gridCol w:w="109"/>
        <w:gridCol w:w="109"/>
        <w:gridCol w:w="313"/>
        <w:gridCol w:w="1031"/>
        <w:gridCol w:w="245"/>
      </w:tblGrid>
      <w:tr>
        <w:trPr/>
        <w:tc>
          <w:tcPr>
            <w:tcW w:w="794"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Total Assets - By Segment</w:t>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Las Vegas</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26,319 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25,808 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Regional</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15,800 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14,435 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Caesars Digital</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1,254 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Managed and Branded </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Corporate and Other </w:t>
            </w:r>
            <w:r>
              <w:rPr>
                <w:rFonts w:ascii="Times New Roman;serif" w:hAnsi="Times New Roman;serif"/>
                <w:b w:val="false"/>
                <w:i/>
                <w:color w:val="000000"/>
                <w:sz w:val="12"/>
              </w:rPr>
              <w:t>(a)</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(11,995)</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(10,201)</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31,742 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31,639 </w:t>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____________________</w:t>
      </w:r>
    </w:p>
    <w:p>
      <w:pPr>
        <w:pStyle w:val="TextBody"/>
        <w:bidi w:val="0"/>
        <w:spacing w:lineRule="auto" w:line="288" w:before="60" w:after="283"/>
        <w:ind w:left="0" w:right="0" w:hanging="360"/>
        <w:jc w:val="both"/>
        <w:rPr/>
      </w:pPr>
      <w:r>
        <w:rPr>
          <w:rFonts w:ascii="Times New Roman;serif" w:hAnsi="Times New Roman;serif"/>
          <w:b w:val="false"/>
          <w:i/>
          <w:color w:val="000000"/>
          <w:sz w:val="10"/>
        </w:rPr>
        <w:t>(a)</w:t>
      </w:r>
      <w:r>
        <w:rPr>
          <w:rFonts w:ascii="Times New Roman;serif" w:hAnsi="Times New Roman;serif"/>
          <w:b w:val="false"/>
          <w:i/>
          <w:color w:val="000000"/>
          <w:sz w:val="16"/>
        </w:rPr>
        <w:t>Includes eliminations of transactions among segments, to reconcile to the Company’s consolidated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04165"/>
                <wp:effectExtent l="0" t="0" r="0" b="0"/>
                <wp:wrapNone/>
                <wp:docPr id="29" name="Frame29"/>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25bc4ccd358f439aa099948f0102ebf8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25bc4ccd358f439aa099948f0102ebf8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60" w:after="283"/>
        <w:ind w:left="0" w:right="0" w:hanging="360"/>
        <w:jc w:val="both"/>
        <w:rPr/>
      </w:pPr>
      <w:r>
        <w:rPr/>
      </w:r>
    </w:p>
    <w:p>
      <w:pPr>
        <w:pStyle w:val="TextBody"/>
        <w:bidi w:val="0"/>
        <w:spacing w:lineRule="auto" w:line="288" w:before="180" w:after="283"/>
        <w:jc w:val="both"/>
        <w:rPr>
          <w:rFonts w:ascii="Times New Roman;serif" w:hAnsi="Times New Roman;serif"/>
          <w:b/>
          <w:color w:val="BF2115"/>
          <w:sz w:val="24"/>
        </w:rPr>
      </w:pPr>
      <w:r>
        <w:rPr>
          <w:rFonts w:ascii="Times New Roman;serif" w:hAnsi="Times New Roman;serif"/>
          <w:b/>
          <w:color w:val="BF2115"/>
          <w:sz w:val="24"/>
        </w:rPr>
        <w:t>Item 2. Management’s Discussion and Analysis of Financial Condition and Results of Operations</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The following discussion and analysis of the financial condition and operating results of Caesars Entertainment, Inc., a Delaware corporation, and its consolidated subsidiaries, which may be referred to as the “Company,” “CEI,” “Caesars,” “we,” “our,” or “us,” for the three and six months ended June 30, 2026 and 2025 should be read in conjunction with the unaudited consolidated condensed financial statements and the notes thereto and other financial information included elsewhere in this Form 10-Q as well as our Annual Report on Form 10-K for the fiscal year ended December 31, 2025 (the “2025 Annual Report”). Capitalized terms used but not defined in this Form 10-Q have the same meanings as in the 2025 Annual Report.</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We also refer to (i) our Consolidated Condensed Financial Statements as our “Financial Statements,” (ii) our Consolidated Condensed Balance Sheets as our “Balance Sheets,” (iii) our Consolidated Condensed Statements of Operations and Consolidated Condensed Statements of Comprehensive Income (Loss) as our “Statements of Operations,” and (iv) our Consolidated Condensed Statements of Cash Flows as our “Statements of Cash Flows.” References to numbered “Notes” refer to “Notes to our Consolidated Condensed Financial Statements” included in Item 1, “Unaudited Financial Statements,” unless otherwise noted.</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The statements in this discussion regarding our expectations of our future performance, liquidity and capital resources, and other non-historical statements are forward-looking statements. These forward-looking statements are subject to numerous risks and uncertainties. Our actual results may differ materially from those contained in or implied by any forward-looking statements. See “Cautionary Statements Regarding Forward-Looking Information” in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Objective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This Management’s Discussion and Analysis of Financial Condition and Results of Operations (“MD&amp;A”) is intended to be a narrative explanation of the financial statements and other statistical data that should be read in conjunction with the accompanying financial statements to enhance an investor’s understanding of our financial condition, changes in financial condition and results of operations. Our objectives are: (i) to provide a narrative explanation of our financial statements that will enable investors to see the Company through the eyes of management; (ii) to enhance the overall financial disclosure and provide the context within which financial information should be analyzed; and (iii) to provide information about the quality of, and potential variability of, our earnings and cash flows so that investors can ascertain the likelihood of whether past performance is indicative of future performance.</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are a geographically diversified gaming and hospitality company that was founded in 1973 by the Carano family with the opening of the Eldorado Hotel Casino in Reno, Nevada. Beginning in 2005, we grew through a series of acquisitions, including the acquisition of MTR Gaming Group, Inc. in 2014, Isle of Capri Casinos, Inc. in 2017, Tropicana Entertainment, Inc. in 2018, Caesars Entertainment Corporation in 2020 and William Hill PLC in 2021. Our ticker symbol on the NASDAQ Stock Market is “CZR.”</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own, lease or manage an aggregate of 54 properties in 20 jurisdictions in North America with approximately 53,800 slot machines, video lottery terminals and e-tables, approximately 2,800 table games and approximately 46,300 hotel rooms as of June 30, 2026. In addition, we have other properties in North America that are authorized to use the brands and marks of Caesars Entertainment, Inc. Our primary source of revenue is generated by our gaming operations, which includes our casino properties, retail and online sports betting, and online gaming. Additionally, we utilize our hotels, restaurants, bars, entertainment, racing, retail shops and other services to attract customers to our properties.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we owned 22 of our casinos and leased 25 casinos in North America. We lease 18 casinos from VICI Properties L.P., a Delaware limited partnership (“VICI”), pursuant to a regional lease, a Las Vegas lease and a Joliet lease (the “VICI Leases”). We also lease six casinos from GLP Capital, L.P., the operating partnership of Gaming and Leisure Properties, Inc. (“GLPI”) pursuant to a Master Lease (as amended, the “GLPI Master Lease”) and a Lumière lease (together with the GLPI Master Lease, the “GLPI Leases”). In addition, we lease Caesars Windsor from the Ontario Lottery and Gaming Corporation (“OLG”).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04165"/>
                <wp:effectExtent l="0" t="0" r="0" b="0"/>
                <wp:wrapNone/>
                <wp:docPr id="30" name="Frame30"/>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25bc4ccd358f439aa099948f0102ebf8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25bc4ccd358f439aa099948f0102ebf8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60" w:after="283"/>
        <w:ind w:left="0" w:right="0" w:hanging="360"/>
        <w:jc w:val="both"/>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operate and conduct retail and online sports wagering across 34 jurisdictions in North America, 27 of which offer online sports betting. Additionally, we operate iGaming in five jurisdictions in North America. The map below illustrates Caesars Digital’s presence as of June 30, 2026:</w:t>
      </w:r>
    </w:p>
    <w:p>
      <w:pPr>
        <w:pStyle w:val="TextBody"/>
        <w:bidi w:val="0"/>
        <w:spacing w:before="180" w:after="283"/>
        <w:jc w:val="center"/>
        <w:rPr/>
      </w:pPr>
      <w:r>
        <w:rPr/>
        <w:drawing>
          <wp:inline distT="0" distB="0" distL="0" distR="0">
            <wp:extent cx="6515100" cy="5229225"/>
            <wp:effectExtent l="0" t="0" r="0" b="0"/>
            <wp:docPr id="3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 descr=""/>
                    <pic:cNvPicPr>
                      <a:picLocks noChangeAspect="1" noChangeArrowheads="1"/>
                    </pic:cNvPicPr>
                  </pic:nvPicPr>
                  <pic:blipFill>
                    <a:blip r:embed="rId2"/>
                    <a:stretch>
                      <a:fillRect/>
                    </a:stretch>
                  </pic:blipFill>
                  <pic:spPr bwMode="auto">
                    <a:xfrm>
                      <a:off x="0" y="0"/>
                      <a:ext cx="6515100" cy="5229225"/>
                    </a:xfrm>
                    <a:prstGeom prst="rect">
                      <a:avLst/>
                    </a:prstGeom>
                  </pic:spPr>
                </pic:pic>
              </a:graphicData>
            </a:graphic>
          </wp:inline>
        </w:drawing>
      </w:r>
      <w:bookmarkStart w:id="0" w:name="i-1"/>
      <w:bookmarkEnd w:id="0"/>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have a partnership with NYRABets LLC, the official online wagering platform of the New York Racing Association, Inc., and operate the Caesars Racebook app in 23 states as of June 30, 2026. The Caesars Racebook app provides access for pari-mutuel wagering at over 300 racetracks around the world as well as livestreaming of races. Wagers placed can earn credits towards our Caesars Rewards loyalty program or points which can be redeemed for free wagering credits.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are also in the process of continuing the expansion of our Caesars Digital footprint into other jurisdictions in the near term with our Caesars Sportsbook, Caesars Racebook and iGaming mobile apps as jurisdictions legalize or provide necessary approvals. No customers under 21 years old are allowed to wager on any of our Caesars Sportsbook, Caesars Racebook and iGaming mobile apps.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Subsequent to June 30, 2026, we launched mobile sports betting and iGaming in Alberta, Canada on July 13, 2026.</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periodically divest assets to raise capital or, in previous cases, to comply with conditions, terms, obligations or restrictions imposed by antitrust, gaming and other regulatory entities.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04165"/>
                <wp:effectExtent l="0" t="0" r="0" b="0"/>
                <wp:wrapNone/>
                <wp:docPr id="32" name="Frame31"/>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25bc4ccd358f439aa099948f0102ebf8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25bc4ccd358f439aa099948f0102ebf8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60" w:after="283"/>
        <w:ind w:left="0" w:right="0" w:hanging="360"/>
        <w:jc w:val="both"/>
        <w:rPr/>
      </w:pPr>
      <w:r>
        <w:rPr/>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Proposed Merger of Caesars Entertainment, Inc. with Fertitta Entertainment, Inc.</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On May 27, 2026, Caesars, Fertitta Gaming Holdco, LLC, a Texas limited liability company (“Fertitta Gaming”), Empire Merger Sub, Inc., a Delaware corporation and direct wholly owned subsidiary of Fertitta Gaming (“Merger Sub”), Landry’s Fertitta, LLC, a Texas limited liability company solely for the purposes of Section 9.14 of the Merger Agreement (as defined below), and Hospitality Headquarters, Inc., a Texas corporation, solely for the purposes of Section 9.14(j) therein, entered into an Agreement and Plan of Merger (the “Merger Agreement”), pursuant to which Merger Sub will merge with and into the Company, with the Company continuing as the surviving corporation and direct wholly owned subsidiary of Fertitta Gaming (the “Merger”). During the three and six months ended June 30, 2026, transaction costs related to the pending Merger were $10 million. See Note 1.</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pending Merger may have significant effects on us, including, among others, the significant diversion of management and employee attention from ordinary course matters. For a more extensive discussion of those and other possible effects, please refer to “Risk Factors” in Part II, Item 1A of this report.</w:t>
      </w:r>
    </w:p>
    <w:p>
      <w:pPr>
        <w:pStyle w:val="TextBody"/>
        <w:bidi w:val="0"/>
        <w:spacing w:lineRule="auto" w:line="288" w:before="18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Asset Purchases</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Caesars Windsor</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On March 3, 2026, the Company assumed responsibility for the operations of Caesars Windsor on behalf of the OLG under a 20-year operating agreement. Upon signing the operating and asset purchase agreements, our previous management agreement was terminated. The Company purchased the net assets of Caesars Windsor which included approximately $42 million of furniture and equipment and approximately $12 million in net working capital. In addition, the Company entered into a 20-year lease agreement with the OLG for the buildings and land of Caesars Windsor. The initial term of the lease expires on March 2, 2046 with annual minimum rent expense of approximately $19 million. Caesars Windsor’s management fees and reimbursable management revenues and costs were previously reported within the Managed and Branded segment. Beginning March 3, 2026, the property’s operations are reported within the Regional segment.</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Grand Bazaar</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Company previously held a minority interest of approximately 8% in JGB Vegas Retail, LLC (“Grand Bazaar”) and leased certain land, buildings and improvements to Grand Bazaar which operated an indoor/outdoor shopping and entertainment district on the Las Vegas Strip adjacent to the Company’s operations. On May 1, 2026, the Company acquired the remaining outstanding membership interest of Grand Bazaar for total consideration of approximately $66 million, inclusive of $10 million of deferred consideration. The transaction was accounted for as an asset purchase of intangible assets, property and equipment, and working capital.</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Investments and Partnerships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have investments in unconsolidated affiliates accounted for under the equity method which are recorded in Investments in and advances to unconsolidated affiliates on the Balance Sheets.</w:t>
      </w:r>
    </w:p>
    <w:p>
      <w:pPr>
        <w:pStyle w:val="TextBody"/>
        <w:bidi w:val="0"/>
        <w:spacing w:lineRule="auto" w:line="288" w:before="18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Pompano Joint Venture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 April 2018, we entered into a joint venture with Cordish Companies (“Cordish”) to plan and develop a mixed-use entertainment and hospitality destination expected to be located on unused land adjacent to the casino at our Pompano property. As the managing member, Cordish will operate the business and manage the development, construction, financing, marketing, leasing, maintenance and day-to-day operation of the various phases of the project. Additionally, Cordish is responsible for the development of the master plan for the project with our input and will submit it for our review and approval. While we hold a 50% variable interest in the joint venture, we are not the primary beneficiary; as such, the investment in the joint venture is accounted for using the equity method and is recorded in Investments in and advances to unconsolidated affiliates on our Balance Sheets. We participate evenly with Cordish in the profits and losses of the joint venture, which are included in Transaction and other costs, net on our Statements of Operations.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we recorded a loss of $7 million related to our investment. As of June 30, 2026 and December 31, 2025, our investment in the joint venture totaled $108 million and $115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04165"/>
                <wp:effectExtent l="0" t="0" r="0" b="0"/>
                <wp:wrapNone/>
                <wp:docPr id="33" name="Frame32"/>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25bc4ccd358f439aa099948f0102ebf8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25bc4ccd358f439aa099948f0102ebf8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60" w:after="283"/>
        <w:ind w:left="0" w:right="0" w:hanging="360"/>
        <w:jc w:val="both"/>
        <w:rPr/>
      </w:pPr>
      <w:r>
        <w:rPr/>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Reportable Segments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Segment results in this MD&amp;A are presented consistent with the way our management reviews operating results, assesses performance and makes decisions on a “significant market” basis. Management views each of the Company’s casinos as an operating segment. Operating segments are aggregated based on their similar economic characteristics, types of customers, types of services and products provided, and their management and reporting structure. Our principal operating activities occur in four reportable segments: (1) Las Vegas, (2) Regional, (3) Caesars Digital, and (4) Managed and Branded, in addition to Corporate and Other.</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Presentation of Financial Information</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presentation of financial information herein for the periods after the asset purchases previously described is not fully comparable to the periods prior to such asset purchases.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This MD&amp;A is intended to provide information to assist in better understanding and evaluating our financial condition and results of operations. Our historical operating results may not be indicative of our future results of operations because of the factors described in the preceding paragraph and the changing competitive landscape in our markets, including changes in market and societal trends, increased competition, as well as by factors or trends discussed elsewhere herein. We recommend that you read this MD&amp;A together with our unaudited Financial Statements and the notes to those statements included in this Quarterly Report on Form 10-Q.</w:t>
      </w:r>
    </w:p>
    <w:p>
      <w:pPr>
        <w:pStyle w:val="TextBody"/>
        <w:bidi w:val="0"/>
        <w:spacing w:lineRule="auto" w:line="288" w:before="18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Key Performance Metrics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primary source of revenue is generated by our gaming operations, which includes our casino properties, retail and online sports betting, and online gaming. Additionally, we utilize our hotels, restaurants, bars, entertainment venues, retail shops, racing and other services to attract customers to our properties. Our operating results are highly dependent on the volume and quality of customers staying at, or visiting, our properties and using our sports betting, horse racing and iGaming applications. </w:t>
      </w:r>
    </w:p>
    <w:p>
      <w:pPr>
        <w:pStyle w:val="TextBody"/>
        <w:bidi w:val="0"/>
        <w:spacing w:lineRule="auto" w:line="288" w:before="180" w:after="283"/>
        <w:jc w:val="both"/>
        <w:rPr/>
      </w:pPr>
      <w:r>
        <w:rPr>
          <w:rFonts w:ascii="Times New Roman;serif" w:hAnsi="Times New Roman;serif"/>
          <w:b w:val="false"/>
          <w:color w:val="000000"/>
          <w:sz w:val="20"/>
        </w:rPr>
        <w:t>Key performance metrics include volume indicators such as drop or handle, which refer to amounts wagered by our customers. The amount of volume we retain, which is not fully controllable by us, is recognized as casino revenues and is referred to as our win or hold. Slot win percentage is typically in the range of approximately 9% to 11% of slot handle. Table games hold percentage is typically in the range of approximately 16% to 23% of table games drop. Sports betting hold is typically in the range of 7% to 11% and iGaming hold typically ranges from 3% to 5%. In addition, hotel occupancy, which is the average percentage of available hotel rooms occupied during a period, is a key indicator for our hotel business in the Las Vegas segment. Complimentary and discounted rooms are treated as occupied rooms in our calculation of hotel occupancy. The key metrics we utilize to measure our profitability and performance are Adjusted EBITDA and Adjusted EBITDA margin. See “</w:t>
      </w:r>
      <w:hyperlink w:anchor="i25bc4ccd358f439aa099948f0102ebf8_103">
        <w:r>
          <w:rPr>
            <w:rStyle w:val="InternetLink"/>
            <w:rFonts w:ascii="Times New Roman;serif" w:hAnsi="Times New Roman;serif"/>
            <w:b w:val="false"/>
            <w:color w:val="0000FF"/>
            <w:sz w:val="20"/>
            <w:u w:val="single"/>
          </w:rPr>
          <w:t>Results of Operations</w:t>
        </w:r>
      </w:hyperlink>
      <w:r>
        <w:rPr>
          <w:color w:val="000000"/>
        </w:rPr>
        <w:t xml:space="preserve">” </w:t>
      </w:r>
      <w:r>
        <w:rPr>
          <w:rFonts w:ascii="Times New Roman;serif" w:hAnsi="Times New Roman;serif"/>
          <w:b w:val="false"/>
          <w:color w:val="000000"/>
          <w:sz w:val="20"/>
        </w:rPr>
        <w:t xml:space="preserve">section below.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04165"/>
                <wp:effectExtent l="0" t="0" r="0" b="0"/>
                <wp:wrapNone/>
                <wp:docPr id="34" name="Frame33"/>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25bc4ccd358f439aa099948f0102ebf8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25bc4ccd358f439aa099948f0102ebf8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60" w:after="283"/>
        <w:ind w:left="0" w:right="0" w:hanging="360"/>
        <w:jc w:val="both"/>
        <w:rPr/>
      </w:pPr>
      <w:r>
        <w:rPr/>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highlights the results of our operations:</w:t>
      </w:r>
    </w:p>
    <w:tbl>
      <w:tblPr>
        <w:tblW w:w="7166" w:type="dxa"/>
        <w:jc w:val="left"/>
        <w:tblInd w:w="0" w:type="dxa"/>
        <w:tblLayout w:type="fixed"/>
        <w:tblCellMar>
          <w:top w:w="28" w:type="dxa"/>
          <w:left w:w="28" w:type="dxa"/>
          <w:bottom w:w="28" w:type="dxa"/>
          <w:right w:w="28" w:type="dxa"/>
        </w:tblCellMar>
      </w:tblPr>
      <w:tblGrid>
        <w:gridCol w:w="727"/>
        <w:gridCol w:w="640"/>
        <w:gridCol w:w="643"/>
        <w:gridCol w:w="204"/>
        <w:gridCol w:w="580"/>
        <w:gridCol w:w="267"/>
        <w:gridCol w:w="113"/>
        <w:gridCol w:w="113"/>
        <w:gridCol w:w="113"/>
        <w:gridCol w:w="204"/>
        <w:gridCol w:w="580"/>
        <w:gridCol w:w="267"/>
        <w:gridCol w:w="109"/>
        <w:gridCol w:w="109"/>
        <w:gridCol w:w="109"/>
        <w:gridCol w:w="196"/>
        <w:gridCol w:w="556"/>
        <w:gridCol w:w="256"/>
        <w:gridCol w:w="109"/>
        <w:gridCol w:w="109"/>
        <w:gridCol w:w="109"/>
        <w:gridCol w:w="196"/>
        <w:gridCol w:w="556"/>
        <w:gridCol w:w="301"/>
      </w:tblGrid>
      <w:tr>
        <w:trPr/>
        <w:tc>
          <w:tcPr>
            <w:tcW w:w="727"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(Dollars in millions)</w:t>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revenues:</w:t>
            </w:r>
          </w:p>
        </w:tc>
        <w:tc>
          <w:tcPr>
            <w:tcW w:w="10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Las Vegas</w:t>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1,017 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1,054 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2,057 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Regional</w:t>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1,570 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1,435 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2,823 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Caesars Digital</w:t>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678 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Managed and Branded</w:t>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 xml:space="preserve">Corporate and Other </w:t>
            </w:r>
            <w:r>
              <w:rPr>
                <w:rFonts w:ascii="Times New Roman;serif" w:hAnsi="Times New Roman;serif"/>
                <w:b w:val="false"/>
                <w:i/>
                <w:color w:val="000000"/>
                <w:sz w:val="12"/>
              </w:rPr>
              <w:t>(a)</w:t>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2,993 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2,907 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5,863 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5,701 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loss</w:t>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 xml:space="preserve">Adjusted EBITDA </w:t>
            </w:r>
            <w:r>
              <w:rPr>
                <w:rFonts w:ascii="Times New Roman;serif" w:hAnsi="Times New Roman;serif"/>
                <w:b/>
                <w:i/>
                <w:color w:val="000000"/>
                <w:sz w:val="12"/>
              </w:rPr>
              <w:t>(b)</w:t>
            </w:r>
            <w:r>
              <w:rPr>
                <w:rFonts w:ascii="Times New Roman;serif" w:hAnsi="Times New Roman;serif"/>
                <w:b/>
                <w:color w:val="000000"/>
                <w:sz w:val="18"/>
              </w:rPr>
              <w:t>:</w:t>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Las Vegas</w:t>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410 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469 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902 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Regional</w:t>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488 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879 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Caesars Digital</w:t>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Managed and Branded</w:t>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 xml:space="preserve">Corporate and Other </w:t>
            </w:r>
            <w:r>
              <w:rPr>
                <w:rFonts w:ascii="Times New Roman;serif" w:hAnsi="Times New Roman;serif"/>
                <w:b w:val="false"/>
                <w:i/>
                <w:color w:val="000000"/>
                <w:sz w:val="12"/>
              </w:rPr>
              <w:t>(a)</w:t>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920 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955 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1,807 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1,839 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loss margin</w:t>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 margin</w:t>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30.7 </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32.9 </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____________________</w:t>
      </w:r>
    </w:p>
    <w:p>
      <w:pPr>
        <w:pStyle w:val="TextBody"/>
        <w:bidi w:val="0"/>
        <w:spacing w:lineRule="auto" w:line="288" w:before="60" w:after="283"/>
        <w:ind w:left="0" w:right="0" w:hanging="360"/>
        <w:jc w:val="both"/>
        <w:rPr/>
      </w:pPr>
      <w:r>
        <w:rPr>
          <w:rFonts w:ascii="Times New Roman;serif" w:hAnsi="Times New Roman;serif"/>
          <w:b w:val="false"/>
          <w:i/>
          <w:color w:val="000000"/>
          <w:sz w:val="10"/>
        </w:rPr>
        <w:t>(a)</w:t>
      </w:r>
      <w:r>
        <w:rPr>
          <w:rFonts w:ascii="Times New Roman;serif" w:hAnsi="Times New Roman;serif"/>
          <w:b w:val="false"/>
          <w:i/>
          <w:color w:val="000000"/>
          <w:sz w:val="16"/>
        </w:rPr>
        <w:t>Corporate and Other includes revenues related to certain licensing arrangements and various revenue sharing agreements and includes eliminations of transactions among segments to reconcile to the Company’s consolidated results. Corporate and Other Adjusted EBITDA includes corporate overhead costs, which consist of certain expenses, such as: payroll, professional fees, cybersecurity and other general and administrative expenses.</w:t>
      </w:r>
    </w:p>
    <w:p>
      <w:pPr>
        <w:pStyle w:val="TextBody"/>
        <w:bidi w:val="0"/>
        <w:spacing w:lineRule="auto" w:line="288" w:before="60" w:after="283"/>
        <w:ind w:left="0" w:right="0" w:hanging="360"/>
        <w:jc w:val="both"/>
        <w:rPr/>
      </w:pPr>
      <w:r>
        <w:rPr>
          <w:rFonts w:ascii="Times New Roman;serif" w:hAnsi="Times New Roman;serif"/>
          <w:b w:val="false"/>
          <w:i/>
          <w:color w:val="000000"/>
          <w:sz w:val="10"/>
        </w:rPr>
        <w:t>(b)</w:t>
      </w:r>
      <w:r>
        <w:rPr>
          <w:rFonts w:ascii="Times New Roman;serif" w:hAnsi="Times New Roman;serif"/>
          <w:b w:val="false"/>
          <w:i/>
          <w:color w:val="000000"/>
          <w:sz w:val="16"/>
        </w:rPr>
        <w:t>See the “Supplemental Unaudited Presentation of Consolidated Adjusted Earnings Before Interest, Taxes, Depreciation and Amortization (“Adjusted EBITDA”) for the Three and Six Months Ended June 30, 2026 and 2025” discussion later in this MD&amp;A for a description of Adjusted EBITDA and a reconciliation of net income (loss) attributable to Caesars to Adjusted EBITDA.</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Consolidated comparison of the three and six months ended June 30, 2026 and 2025</w:t>
      </w:r>
    </w:p>
    <w:p>
      <w:pPr>
        <w:pStyle w:val="TextBody"/>
        <w:bidi w:val="0"/>
        <w:spacing w:lineRule="auto" w:line="288" w:before="18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Net Revenues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Net revenues were as follows:</w:t>
      </w:r>
    </w:p>
    <w:tbl>
      <w:tblPr>
        <w:tblW w:w="10205" w:type="dxa"/>
        <w:jc w:val="left"/>
        <w:tblInd w:w="0" w:type="dxa"/>
        <w:tblLayout w:type="fixed"/>
        <w:tblCellMar>
          <w:top w:w="28" w:type="dxa"/>
          <w:left w:w="28" w:type="dxa"/>
          <w:bottom w:w="28" w:type="dxa"/>
          <w:right w:w="28" w:type="dxa"/>
        </w:tblCellMar>
      </w:tblPr>
      <w:tblGrid>
        <w:gridCol w:w="362"/>
        <w:gridCol w:w="277"/>
        <w:gridCol w:w="279"/>
        <w:gridCol w:w="204"/>
        <w:gridCol w:w="579"/>
        <w:gridCol w:w="113"/>
        <w:gridCol w:w="113"/>
        <w:gridCol w:w="113"/>
        <w:gridCol w:w="113"/>
        <w:gridCol w:w="204"/>
        <w:gridCol w:w="579"/>
        <w:gridCol w:w="113"/>
        <w:gridCol w:w="109"/>
        <w:gridCol w:w="109"/>
        <w:gridCol w:w="109"/>
        <w:gridCol w:w="245"/>
        <w:gridCol w:w="414"/>
        <w:gridCol w:w="137"/>
        <w:gridCol w:w="109"/>
        <w:gridCol w:w="109"/>
        <w:gridCol w:w="109"/>
        <w:gridCol w:w="245"/>
        <w:gridCol w:w="192"/>
        <w:gridCol w:w="454"/>
        <w:gridCol w:w="109"/>
        <w:gridCol w:w="109"/>
        <w:gridCol w:w="109"/>
        <w:gridCol w:w="199"/>
        <w:gridCol w:w="566"/>
        <w:gridCol w:w="110"/>
        <w:gridCol w:w="110"/>
        <w:gridCol w:w="110"/>
        <w:gridCol w:w="110"/>
        <w:gridCol w:w="199"/>
        <w:gridCol w:w="566"/>
        <w:gridCol w:w="110"/>
        <w:gridCol w:w="109"/>
        <w:gridCol w:w="109"/>
        <w:gridCol w:w="109"/>
        <w:gridCol w:w="214"/>
        <w:gridCol w:w="461"/>
        <w:gridCol w:w="121"/>
        <w:gridCol w:w="109"/>
        <w:gridCol w:w="109"/>
        <w:gridCol w:w="109"/>
        <w:gridCol w:w="245"/>
        <w:gridCol w:w="184"/>
        <w:gridCol w:w="529"/>
      </w:tblGrid>
      <w:tr>
        <w:trPr/>
        <w:tc>
          <w:tcPr>
            <w:tcW w:w="362"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r>
      <w:tr>
        <w:trPr/>
        <w:tc>
          <w:tcPr>
            <w:tcW w:w="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Percent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Percent Change</w:t>
            </w:r>
          </w:p>
        </w:tc>
      </w:tr>
      <w:tr>
        <w:trPr/>
        <w:tc>
          <w:tcPr>
            <w:tcW w:w="9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(Dollars in millions)</w:t>
            </w:r>
          </w:p>
        </w:tc>
        <w:tc>
          <w:tcPr>
            <w:tcW w:w="8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918"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r>
      <w:tr>
        <w:trPr/>
        <w:tc>
          <w:tcPr>
            <w:tcW w:w="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Casino</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1,759 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1,668 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4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3,425 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3,262 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5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Food and beverage</w:t>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4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Hotel</w:t>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4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w:t>
            </w:r>
          </w:p>
        </w:tc>
        <w:tc>
          <w:tcPr>
            <w:tcW w:w="5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4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revenues</w:t>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2,993 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2,907 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4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5,863 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5,701 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5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Consolidated net revenues increased for the three and six months ended June 30, 2026, as compared to the same prior year periods, mainly due to higher casino revenues. This increase in casino revenues was primarily driven by significant growth in iGaming handle coupled with improved sports betting hold in our Caesars Digital segment. In addition, incremental revenues attributable to the consolidation of Caesars Windsor beginning March 3, 2026, increased visitation in northern Nevada due to a national tournament throughout the second quarter of 2026, and positive results from our capital investments in Lake Tahoe and New Orleans contributed to the increase. These increases were partially offset by declines in net revenues in our Las Vegas segment, attributable to lower table games volume and hold as well as lower city-wide leisure customer visitation.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04165"/>
                <wp:effectExtent l="0" t="0" r="0" b="0"/>
                <wp:wrapNone/>
                <wp:docPr id="35" name="Frame34"/>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25bc4ccd358f439aa099948f0102ebf8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25bc4ccd358f439aa099948f0102ebf8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60" w:after="283"/>
        <w:ind w:left="0" w:right="0" w:hanging="360"/>
        <w:jc w:val="both"/>
        <w:rPr/>
      </w:pPr>
      <w:r>
        <w:rPr/>
      </w:r>
    </w:p>
    <w:p>
      <w:pPr>
        <w:pStyle w:val="TextBody"/>
        <w:bidi w:val="0"/>
        <w:spacing w:lineRule="auto" w:line="288" w:before="18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Operating Expenses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Operating expenses were as follows:</w:t>
      </w:r>
    </w:p>
    <w:tbl>
      <w:tblPr>
        <w:tblW w:w="10217" w:type="dxa"/>
        <w:jc w:val="left"/>
        <w:tblInd w:w="0" w:type="dxa"/>
        <w:tblLayout w:type="fixed"/>
        <w:tblCellMar>
          <w:top w:w="28" w:type="dxa"/>
          <w:left w:w="28" w:type="dxa"/>
          <w:bottom w:w="28" w:type="dxa"/>
          <w:right w:w="28" w:type="dxa"/>
        </w:tblCellMar>
      </w:tblPr>
      <w:tblGrid>
        <w:gridCol w:w="553"/>
        <w:gridCol w:w="337"/>
        <w:gridCol w:w="221"/>
        <w:gridCol w:w="196"/>
        <w:gridCol w:w="556"/>
        <w:gridCol w:w="109"/>
        <w:gridCol w:w="109"/>
        <w:gridCol w:w="109"/>
        <w:gridCol w:w="109"/>
        <w:gridCol w:w="196"/>
        <w:gridCol w:w="556"/>
        <w:gridCol w:w="109"/>
        <w:gridCol w:w="109"/>
        <w:gridCol w:w="109"/>
        <w:gridCol w:w="109"/>
        <w:gridCol w:w="245"/>
        <w:gridCol w:w="414"/>
        <w:gridCol w:w="137"/>
        <w:gridCol w:w="109"/>
        <w:gridCol w:w="109"/>
        <w:gridCol w:w="109"/>
        <w:gridCol w:w="303"/>
        <w:gridCol w:w="178"/>
        <w:gridCol w:w="382"/>
        <w:gridCol w:w="109"/>
        <w:gridCol w:w="109"/>
        <w:gridCol w:w="109"/>
        <w:gridCol w:w="196"/>
        <w:gridCol w:w="556"/>
        <w:gridCol w:w="109"/>
        <w:gridCol w:w="109"/>
        <w:gridCol w:w="109"/>
        <w:gridCol w:w="109"/>
        <w:gridCol w:w="196"/>
        <w:gridCol w:w="556"/>
        <w:gridCol w:w="109"/>
        <w:gridCol w:w="109"/>
        <w:gridCol w:w="109"/>
        <w:gridCol w:w="109"/>
        <w:gridCol w:w="214"/>
        <w:gridCol w:w="461"/>
        <w:gridCol w:w="121"/>
        <w:gridCol w:w="109"/>
        <w:gridCol w:w="109"/>
        <w:gridCol w:w="109"/>
        <w:gridCol w:w="285"/>
        <w:gridCol w:w="196"/>
        <w:gridCol w:w="437"/>
      </w:tblGrid>
      <w:tr>
        <w:trPr/>
        <w:tc>
          <w:tcPr>
            <w:tcW w:w="553"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Percent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Percent Change</w:t>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(Dollars in millions)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Casino</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Food and beverage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Hotel</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4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9.2 </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4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11.9 </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9.6 </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4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Transaction and other costs,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(52.9)</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4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Casino expenses consist principally of salaries and wages, gaming taxes and marketing and advertising costs attributable to our gaming operations. Food and beverage expenses consist principally of salaries and wages and costs of goods sold associated with our food and beverage operations. Hotel expenses consist principally of salaries and wages and supplies associated with our hotel operations. Other expenses consist principally of salaries and wages, costs of goods sold associated with our retail operations, entertainment costs, including professional talent fees, reimbursable management costs (described below) and other operations.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Casino expenses increased for the three and six months ended June 30, 2026, as compared to the same prior year periods, in connection with increased revenues in our Caesars Digital and Regional segments. Gaming taxes increased due to higher casino revenues, as well as the impact of increased gaming tax rates on sports betting wagers and iGaming in certain states. We continue to focus on efficiencies across the enterprise to manage increased labor and other costs.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expenses include items such as information technology, facility maintenance, utilities, property and liability insurance, property taxes, marketing expenses indirectly related to our gaming and non-gaming operations, and expenses of administrative departments such as accounting, compliance, purchasing, human resources, legal and internal audit. General and administrative expenses increased for the three and six months ended June 30, 2026, as compared to the same prior year periods, primarily due to the consolidation of Caesars Windsor as well as higher property taxes resulting from the expiration of certain property tax credits.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Corporate expenses include unallocated expenses such as payroll, inclusive of the annual bonus, stock-based compensation, professional fees, cybersecurity and other various expenses not directly related to the Company’s operations.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Depreciation and amortization expenses decreased for the three and six months ended June 30, 2026, as compared to the same prior year periods, primarily due to a reduction in capital expenditures over time.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Transaction and other costs, net primarily includes non-cash losses on the write down and disposal of assets, certain non-recurring litigation reserves, non-recurring asset recoveries, professional services for transaction and integration costs, various contract exit or termination costs, pre-opening costs in connection with our new property openings and non-cash changes in equity method investments. Transaction and other costs, net decreased for the three and six months ended June 30, 2026, as compared to the same prior year periods, primarily due to non-recurring litigation reserves in the prior year offset by increased transaction costs related to the proposed Merger in the current year.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04165"/>
                <wp:effectExtent l="0" t="0" r="0" b="0"/>
                <wp:wrapNone/>
                <wp:docPr id="36" name="Frame35"/>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25bc4ccd358f439aa099948f0102ebf8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25bc4ccd358f439aa099948f0102ebf8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60" w:after="283"/>
        <w:ind w:left="0" w:right="0" w:hanging="360"/>
        <w:jc w:val="both"/>
        <w:rPr/>
      </w:pPr>
      <w:r>
        <w:rPr/>
      </w:r>
    </w:p>
    <w:p>
      <w:pPr>
        <w:pStyle w:val="TextBody"/>
        <w:bidi w:val="0"/>
        <w:spacing w:lineRule="auto" w:line="288" w:before="18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Other income (expenses)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Other income (expenses) were as follows:</w:t>
      </w:r>
    </w:p>
    <w:tbl>
      <w:tblPr>
        <w:tblW w:w="10205" w:type="dxa"/>
        <w:jc w:val="left"/>
        <w:tblInd w:w="0" w:type="dxa"/>
        <w:tblLayout w:type="fixed"/>
        <w:tblCellMar>
          <w:top w:w="28" w:type="dxa"/>
          <w:left w:w="28" w:type="dxa"/>
          <w:bottom w:w="28" w:type="dxa"/>
          <w:right w:w="28" w:type="dxa"/>
        </w:tblCellMar>
      </w:tblPr>
      <w:tblGrid>
        <w:gridCol w:w="535"/>
        <w:gridCol w:w="297"/>
        <w:gridCol w:w="298"/>
        <w:gridCol w:w="202"/>
        <w:gridCol w:w="459"/>
        <w:gridCol w:w="112"/>
        <w:gridCol w:w="112"/>
        <w:gridCol w:w="112"/>
        <w:gridCol w:w="112"/>
        <w:gridCol w:w="202"/>
        <w:gridCol w:w="459"/>
        <w:gridCol w:w="112"/>
        <w:gridCol w:w="109"/>
        <w:gridCol w:w="109"/>
        <w:gridCol w:w="109"/>
        <w:gridCol w:w="285"/>
        <w:gridCol w:w="351"/>
        <w:gridCol w:w="160"/>
        <w:gridCol w:w="109"/>
        <w:gridCol w:w="109"/>
        <w:gridCol w:w="109"/>
        <w:gridCol w:w="224"/>
        <w:gridCol w:w="179"/>
        <w:gridCol w:w="422"/>
        <w:gridCol w:w="109"/>
        <w:gridCol w:w="109"/>
        <w:gridCol w:w="109"/>
        <w:gridCol w:w="196"/>
        <w:gridCol w:w="579"/>
        <w:gridCol w:w="109"/>
        <w:gridCol w:w="109"/>
        <w:gridCol w:w="109"/>
        <w:gridCol w:w="109"/>
        <w:gridCol w:w="196"/>
        <w:gridCol w:w="579"/>
        <w:gridCol w:w="109"/>
        <w:gridCol w:w="109"/>
        <w:gridCol w:w="109"/>
        <w:gridCol w:w="109"/>
        <w:gridCol w:w="245"/>
        <w:gridCol w:w="414"/>
        <w:gridCol w:w="137"/>
        <w:gridCol w:w="109"/>
        <w:gridCol w:w="109"/>
        <w:gridCol w:w="109"/>
        <w:gridCol w:w="285"/>
        <w:gridCol w:w="272"/>
        <w:gridCol w:w="489"/>
      </w:tblGrid>
      <w:tr>
        <w:trPr/>
        <w:tc>
          <w:tcPr>
            <w:tcW w:w="535"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r>
      <w:tr>
        <w:trPr/>
        <w:tc>
          <w:tcPr>
            <w:tcW w:w="1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Percent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Percent Change</w:t>
            </w:r>
          </w:p>
        </w:tc>
      </w:tr>
      <w:tr>
        <w:trPr/>
        <w:tc>
          <w:tcPr>
            <w:tcW w:w="1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(Dollars in millions)</w:t>
            </w:r>
          </w:p>
        </w:tc>
        <w:tc>
          <w:tcPr>
            <w:tcW w:w="7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(573)</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(579)</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4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30" w:type="dxa"/>
            <w:gridSpan w:val="3"/>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r>
      <w:tr>
        <w:trPr/>
        <w:tc>
          <w:tcPr>
            <w:tcW w:w="1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Other income </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Benefit (provision) for income taxes</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4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____________________</w:t>
      </w:r>
    </w:p>
    <w:p>
      <w:pPr>
        <w:pStyle w:val="TextBody"/>
        <w:bidi w:val="0"/>
        <w:spacing w:lineRule="auto" w:line="288" w:before="60" w:after="283"/>
        <w:ind w:left="0" w:right="0" w:hanging="360"/>
        <w:jc w:val="both"/>
        <w:rPr/>
      </w:pPr>
      <w:r>
        <w:rPr>
          <w:rFonts w:ascii="Times New Roman;serif" w:hAnsi="Times New Roman;serif"/>
          <w:b w:val="false"/>
          <w:color w:val="000000"/>
          <w:sz w:val="16"/>
        </w:rPr>
        <w:t>*    </w:t>
      </w:r>
      <w:r>
        <w:rPr>
          <w:rFonts w:ascii="Times New Roman;serif" w:hAnsi="Times New Roman;serif"/>
          <w:b w:val="false"/>
          <w:i/>
          <w:color w:val="000000"/>
          <w:sz w:val="16"/>
        </w:rPr>
        <w:t>Not meaningful.</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Interest expense, net decreased for the three and six months ended June 30, 2026, as compared to the same prior year periods, primarily due to a reduction in outstanding debt and lower variable rate interest expense. The decrease was slightly offset by an increase in interest expense related to our leases.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income tax provision for the three months ended June 30, 2026 is not significantly different from the expected income tax provision based on the federal tax rate of 21%. The income tax provision for the six months ended June 30, 2026 differed from the expected income tax provision based on the federal tax rate of 21% primarily due to an increase in federal and state valuation allowances against the deferred tax assets for excess business interest expense.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income tax provision for the three and six months ended June 30, 2025 differed from the expected income tax provision based on the federal tax rate of 21% primarily due to an increase in federal and state valuation allowances against the deferred tax assets for excess business interest expense.</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Segment comparison of the three and six months ended June 30, 2026 and 2025</w:t>
      </w:r>
    </w:p>
    <w:p>
      <w:pPr>
        <w:pStyle w:val="TextBody"/>
        <w:bidi w:val="0"/>
        <w:spacing w:lineRule="auto" w:line="288" w:before="18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Las Vegas Segment</w:t>
      </w:r>
    </w:p>
    <w:tbl>
      <w:tblPr>
        <w:tblW w:w="10595" w:type="dxa"/>
        <w:jc w:val="left"/>
        <w:tblInd w:w="0" w:type="dxa"/>
        <w:tblLayout w:type="fixed"/>
        <w:tblCellMar>
          <w:top w:w="28" w:type="dxa"/>
          <w:left w:w="28" w:type="dxa"/>
          <w:bottom w:w="28" w:type="dxa"/>
          <w:right w:w="28" w:type="dxa"/>
        </w:tblCellMar>
      </w:tblPr>
      <w:tblGrid>
        <w:gridCol w:w="460"/>
        <w:gridCol w:w="220"/>
        <w:gridCol w:w="221"/>
        <w:gridCol w:w="196"/>
        <w:gridCol w:w="556"/>
        <w:gridCol w:w="256"/>
        <w:gridCol w:w="109"/>
        <w:gridCol w:w="109"/>
        <w:gridCol w:w="109"/>
        <w:gridCol w:w="196"/>
        <w:gridCol w:w="556"/>
        <w:gridCol w:w="256"/>
        <w:gridCol w:w="109"/>
        <w:gridCol w:w="109"/>
        <w:gridCol w:w="109"/>
        <w:gridCol w:w="214"/>
        <w:gridCol w:w="461"/>
        <w:gridCol w:w="121"/>
        <w:gridCol w:w="109"/>
        <w:gridCol w:w="109"/>
        <w:gridCol w:w="109"/>
        <w:gridCol w:w="303"/>
        <w:gridCol w:w="178"/>
        <w:gridCol w:w="382"/>
        <w:gridCol w:w="109"/>
        <w:gridCol w:w="109"/>
        <w:gridCol w:w="109"/>
        <w:gridCol w:w="196"/>
        <w:gridCol w:w="556"/>
        <w:gridCol w:w="256"/>
        <w:gridCol w:w="109"/>
        <w:gridCol w:w="109"/>
        <w:gridCol w:w="109"/>
        <w:gridCol w:w="196"/>
        <w:gridCol w:w="556"/>
        <w:gridCol w:w="256"/>
        <w:gridCol w:w="109"/>
        <w:gridCol w:w="109"/>
        <w:gridCol w:w="109"/>
        <w:gridCol w:w="214"/>
        <w:gridCol w:w="461"/>
        <w:gridCol w:w="121"/>
        <w:gridCol w:w="109"/>
        <w:gridCol w:w="109"/>
        <w:gridCol w:w="109"/>
        <w:gridCol w:w="285"/>
        <w:gridCol w:w="196"/>
        <w:gridCol w:w="437"/>
      </w:tblGrid>
      <w:tr>
        <w:trPr/>
        <w:tc>
          <w:tcPr>
            <w:tcW w:w="46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Percent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Percent Change</w:t>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(Dollars in millions)</w:t>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revenues:</w:t>
            </w:r>
          </w:p>
        </w:tc>
        <w:tc>
          <w:tcPr>
            <w:tcW w:w="10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Casino</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Food and beverage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w:t>
            </w:r>
          </w:p>
        </w:tc>
        <w:tc>
          <w:tcPr>
            <w:tcW w:w="4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Hotel</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14.5 </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10.8 </w:t>
            </w:r>
          </w:p>
        </w:tc>
        <w:tc>
          <w:tcPr>
            <w:tcW w:w="4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revenues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1,017 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1,054 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2,020 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2,057 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Table games drop</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Table games hold %</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pts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pts</w:t>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Slot handle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5,275 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5,110 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Hotel occupancy</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96.8 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pts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pts</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 margin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pts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41.4 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pts</w:t>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Caesars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w:t>
            </w:r>
          </w:p>
        </w:tc>
        <w:tc>
          <w:tcPr>
            <w:tcW w:w="4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Our Las Vegas segment’s net revenues, net income, Adjusted EBITDA and Adjusted EBITDA margin declined for the three and six months ended June 30, 2026, as compared to the same prior year periods, primarily due to lower city-wide leisure customer visitation resulting in decreased non-gaming revenues, lower hotel occupancy and compressed hotel rates. Declines in table games drop and table games hold also contributed to the decreases in net revenues. These decreases were partially offset by increases in slot handle.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Slot win percentage in the Las Vegas segment for the three and six months ended June 30, 2026 was within our typical range.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04165"/>
                <wp:effectExtent l="0" t="0" r="0" b="0"/>
                <wp:wrapNone/>
                <wp:docPr id="37" name="Frame36"/>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25bc4ccd358f439aa099948f0102ebf8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25bc4ccd358f439aa099948f0102ebf8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60" w:after="283"/>
        <w:ind w:left="0" w:right="0" w:hanging="360"/>
        <w:jc w:val="both"/>
        <w:rPr/>
      </w:pPr>
      <w:r>
        <w:rPr/>
      </w:r>
    </w:p>
    <w:p>
      <w:pPr>
        <w:pStyle w:val="TextBody"/>
        <w:bidi w:val="0"/>
        <w:spacing w:lineRule="auto" w:line="288" w:before="18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Regional Segment</w:t>
      </w:r>
    </w:p>
    <w:tbl>
      <w:tblPr>
        <w:tblW w:w="10900" w:type="dxa"/>
        <w:jc w:val="left"/>
        <w:tblInd w:w="0" w:type="dxa"/>
        <w:tblLayout w:type="fixed"/>
        <w:tblCellMar>
          <w:top w:w="28" w:type="dxa"/>
          <w:left w:w="28" w:type="dxa"/>
          <w:bottom w:w="28" w:type="dxa"/>
          <w:right w:w="28" w:type="dxa"/>
        </w:tblCellMar>
      </w:tblPr>
      <w:tblGrid>
        <w:gridCol w:w="355"/>
        <w:gridCol w:w="220"/>
        <w:gridCol w:w="221"/>
        <w:gridCol w:w="196"/>
        <w:gridCol w:w="646"/>
        <w:gridCol w:w="256"/>
        <w:gridCol w:w="109"/>
        <w:gridCol w:w="109"/>
        <w:gridCol w:w="109"/>
        <w:gridCol w:w="196"/>
        <w:gridCol w:w="646"/>
        <w:gridCol w:w="256"/>
        <w:gridCol w:w="109"/>
        <w:gridCol w:w="109"/>
        <w:gridCol w:w="109"/>
        <w:gridCol w:w="214"/>
        <w:gridCol w:w="461"/>
        <w:gridCol w:w="121"/>
        <w:gridCol w:w="109"/>
        <w:gridCol w:w="109"/>
        <w:gridCol w:w="109"/>
        <w:gridCol w:w="303"/>
        <w:gridCol w:w="163"/>
        <w:gridCol w:w="382"/>
        <w:gridCol w:w="109"/>
        <w:gridCol w:w="109"/>
        <w:gridCol w:w="109"/>
        <w:gridCol w:w="196"/>
        <w:gridCol w:w="646"/>
        <w:gridCol w:w="256"/>
        <w:gridCol w:w="109"/>
        <w:gridCol w:w="109"/>
        <w:gridCol w:w="109"/>
        <w:gridCol w:w="196"/>
        <w:gridCol w:w="646"/>
        <w:gridCol w:w="256"/>
        <w:gridCol w:w="109"/>
        <w:gridCol w:w="109"/>
        <w:gridCol w:w="109"/>
        <w:gridCol w:w="196"/>
        <w:gridCol w:w="556"/>
        <w:gridCol w:w="109"/>
        <w:gridCol w:w="109"/>
        <w:gridCol w:w="109"/>
        <w:gridCol w:w="109"/>
        <w:gridCol w:w="285"/>
        <w:gridCol w:w="196"/>
        <w:gridCol w:w="437"/>
      </w:tblGrid>
      <w:tr>
        <w:trPr/>
        <w:tc>
          <w:tcPr>
            <w:tcW w:w="35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Percent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Percent Change</w:t>
            </w:r>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(Dollars in millions)</w:t>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revenues:</w:t>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Casino</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9.5 </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Food and beverage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4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Hotel</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10.4 </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11.7 </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12.9 </w:t>
            </w:r>
          </w:p>
        </w:tc>
        <w:tc>
          <w:tcPr>
            <w:tcW w:w="4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revenues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1,570 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1,435 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9.4 </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3,000 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2,823 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Table games drop</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Table games hold %</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pts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pts</w:t>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Slot handle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11,644 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10,917 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22,418 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21,361 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11.2 </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 margin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pts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pts</w:t>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income (loss) attributable to Caesars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(66.7)</w:t>
            </w:r>
          </w:p>
        </w:tc>
        <w:tc>
          <w:tcPr>
            <w:tcW w:w="4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____________________</w:t>
      </w:r>
    </w:p>
    <w:p>
      <w:pPr>
        <w:pStyle w:val="TextBody"/>
        <w:bidi w:val="0"/>
        <w:spacing w:lineRule="auto" w:line="288" w:before="60" w:after="283"/>
        <w:ind w:left="0" w:right="0" w:hanging="360"/>
        <w:jc w:val="both"/>
        <w:rPr/>
      </w:pPr>
      <w:r>
        <w:rPr>
          <w:rFonts w:ascii="Times New Roman;serif" w:hAnsi="Times New Roman;serif"/>
          <w:b w:val="false"/>
          <w:color w:val="000000"/>
          <w:sz w:val="16"/>
        </w:rPr>
        <w:t>*    </w:t>
      </w:r>
      <w:r>
        <w:rPr>
          <w:rFonts w:ascii="Times New Roman;serif" w:hAnsi="Times New Roman;serif"/>
          <w:b w:val="false"/>
          <w:i/>
          <w:color w:val="000000"/>
          <w:sz w:val="16"/>
        </w:rPr>
        <w:t>Not meaningful.</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Our Regional segment’s net revenues, net income (loss), and Adjusted EBITDA increased for the three months ended June 30, 2026, as compared to the same prior year period, primarily due to the consolidation of Caesars Windsor beginning March 3, 2026, increased visitation in northern Nevada due to a national tournament throughout the second quarter of 2026 and positive results driven by our recent capital investments in Lake Tahoe and New Orleans. Similarly, for the six months ended June 30, 2026, as compared to the same prior year period, net revenues and Adjusted EBITDA increased while net income decreased slightly. Adjusted EBITDA margin remained relatively flat for the three and six months ended June 30, 2026, despite the increased net revenues primarily due to increased labor costs and gaming taxes.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Slot win percentage in the Regional segment for the three and six months ended June 30, 2026 was within our typical range.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04165"/>
                <wp:effectExtent l="0" t="0" r="0" b="0"/>
                <wp:wrapNone/>
                <wp:docPr id="38" name="Frame37"/>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25bc4ccd358f439aa099948f0102ebf8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25bc4ccd358f439aa099948f0102ebf8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60" w:after="283"/>
        <w:ind w:left="0" w:right="0" w:hanging="360"/>
        <w:jc w:val="both"/>
        <w:rPr/>
      </w:pPr>
      <w:r>
        <w:rPr/>
      </w:r>
    </w:p>
    <w:p>
      <w:pPr>
        <w:pStyle w:val="TextBody"/>
        <w:bidi w:val="0"/>
        <w:spacing w:lineRule="auto" w:line="288" w:before="18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Caesars Digital Segment</w:t>
      </w:r>
    </w:p>
    <w:tbl>
      <w:tblPr>
        <w:tblW w:w="10750" w:type="dxa"/>
        <w:jc w:val="left"/>
        <w:tblInd w:w="0" w:type="dxa"/>
        <w:tblLayout w:type="fixed"/>
        <w:tblCellMar>
          <w:top w:w="28" w:type="dxa"/>
          <w:left w:w="28" w:type="dxa"/>
          <w:bottom w:w="28" w:type="dxa"/>
          <w:right w:w="28" w:type="dxa"/>
        </w:tblCellMar>
      </w:tblPr>
      <w:tblGrid>
        <w:gridCol w:w="460"/>
        <w:gridCol w:w="220"/>
        <w:gridCol w:w="221"/>
        <w:gridCol w:w="196"/>
        <w:gridCol w:w="556"/>
        <w:gridCol w:w="256"/>
        <w:gridCol w:w="109"/>
        <w:gridCol w:w="109"/>
        <w:gridCol w:w="109"/>
        <w:gridCol w:w="196"/>
        <w:gridCol w:w="556"/>
        <w:gridCol w:w="256"/>
        <w:gridCol w:w="109"/>
        <w:gridCol w:w="109"/>
        <w:gridCol w:w="109"/>
        <w:gridCol w:w="214"/>
        <w:gridCol w:w="461"/>
        <w:gridCol w:w="121"/>
        <w:gridCol w:w="109"/>
        <w:gridCol w:w="109"/>
        <w:gridCol w:w="109"/>
        <w:gridCol w:w="303"/>
        <w:gridCol w:w="178"/>
        <w:gridCol w:w="382"/>
        <w:gridCol w:w="109"/>
        <w:gridCol w:w="109"/>
        <w:gridCol w:w="109"/>
        <w:gridCol w:w="196"/>
        <w:gridCol w:w="646"/>
        <w:gridCol w:w="256"/>
        <w:gridCol w:w="109"/>
        <w:gridCol w:w="109"/>
        <w:gridCol w:w="109"/>
        <w:gridCol w:w="196"/>
        <w:gridCol w:w="556"/>
        <w:gridCol w:w="256"/>
        <w:gridCol w:w="109"/>
        <w:gridCol w:w="109"/>
        <w:gridCol w:w="109"/>
        <w:gridCol w:w="196"/>
        <w:gridCol w:w="556"/>
        <w:gridCol w:w="109"/>
        <w:gridCol w:w="109"/>
        <w:gridCol w:w="109"/>
        <w:gridCol w:w="109"/>
        <w:gridCol w:w="285"/>
        <w:gridCol w:w="196"/>
        <w:gridCol w:w="437"/>
      </w:tblGrid>
      <w:tr>
        <w:trPr/>
        <w:tc>
          <w:tcPr>
            <w:tcW w:w="46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Percent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Percent Change</w:t>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(Dollars in millions)</w:t>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revenues:</w:t>
            </w:r>
          </w:p>
        </w:tc>
        <w:tc>
          <w:tcPr>
            <w:tcW w:w="10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Casino </w:t>
            </w:r>
            <w:r>
              <w:rPr>
                <w:rFonts w:ascii="Times New Roman;serif" w:hAnsi="Times New Roman;serif"/>
                <w:b w:val="false"/>
                <w:i/>
                <w:color w:val="000000"/>
                <w:sz w:val="12"/>
              </w:rPr>
              <w:t>(a)</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901"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r>
      <w:tr>
        <w:trPr/>
        <w:tc>
          <w:tcPr>
            <w:tcW w:w="901"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w:t>
            </w:r>
          </w:p>
        </w:tc>
        <w:tc>
          <w:tcPr>
            <w:tcW w:w="4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revenues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725 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678 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Sports betting handle</w:t>
            </w:r>
            <w:r>
              <w:rPr>
                <w:color w:val="000000"/>
              </w:rPr>
              <w:t xml:space="preserve"> </w:t>
            </w:r>
            <w:r>
              <w:rPr>
                <w:rFonts w:ascii="Times New Roman;serif" w:hAnsi="Times New Roman;serif"/>
                <w:b w:val="false"/>
                <w:i/>
                <w:color w:val="000000"/>
                <w:sz w:val="12"/>
              </w:rPr>
              <w:t>(b)</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5,598 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5,621 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Sports betting hold %</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pts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pts</w:t>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iGaming handle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4,831 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4,705 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10,205 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9,193 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11.0 </w:t>
            </w:r>
          </w:p>
        </w:tc>
        <w:tc>
          <w:tcPr>
            <w:tcW w:w="4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iGaming hold %</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pts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pts</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11.4 </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 margin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pts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 pts</w:t>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income attributable to Caesars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25.6 </w:t>
            </w:r>
          </w:p>
        </w:tc>
        <w:tc>
          <w:tcPr>
            <w:tcW w:w="4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____________________</w:t>
      </w:r>
    </w:p>
    <w:p>
      <w:pPr>
        <w:pStyle w:val="TextBody"/>
        <w:bidi w:val="0"/>
        <w:spacing w:lineRule="auto" w:line="288" w:before="60" w:after="283"/>
        <w:ind w:left="0" w:right="0" w:hanging="360"/>
        <w:jc w:val="both"/>
        <w:rPr/>
      </w:pPr>
      <w:r>
        <w:rPr>
          <w:rFonts w:ascii="Times New Roman;serif" w:hAnsi="Times New Roman;serif"/>
          <w:b w:val="false"/>
          <w:i/>
          <w:color w:val="000000"/>
          <w:sz w:val="10"/>
        </w:rPr>
        <w:t>(a)</w:t>
      </w:r>
      <w:r>
        <w:rPr>
          <w:rFonts w:ascii="Times New Roman;serif" w:hAnsi="Times New Roman;serif"/>
          <w:b w:val="false"/>
          <w:i/>
          <w:color w:val="000000"/>
          <w:sz w:val="16"/>
        </w:rPr>
        <w:t>Includes total promotional and complimentary incentives related to sports betting, iGaming, and online poker of $78 million and $72 million for the three months ended June 30, 2026 and 2025, respectively, and $164 million and $145 million for the six months ended June 30, 2026 and 2025, respectively. Promotional and complimentary incentives for online poker were $4 million and $5 million for the three months ended June 30, 2026 and 2025, respectively, and $7 million and $8 million for the six months ended June 30, 2026 and 2025, respectively.</w:t>
      </w:r>
    </w:p>
    <w:p>
      <w:pPr>
        <w:pStyle w:val="TextBody"/>
        <w:bidi w:val="0"/>
        <w:spacing w:lineRule="auto" w:line="288" w:before="60" w:after="283"/>
        <w:ind w:left="0" w:right="0" w:hanging="360"/>
        <w:jc w:val="both"/>
        <w:rPr/>
      </w:pPr>
      <w:r>
        <w:rPr>
          <w:rFonts w:ascii="Times New Roman;serif" w:hAnsi="Times New Roman;serif"/>
          <w:b w:val="false"/>
          <w:i/>
          <w:color w:val="000000"/>
          <w:sz w:val="10"/>
        </w:rPr>
        <w:t>(b)</w:t>
      </w:r>
      <w:r>
        <w:rPr>
          <w:rFonts w:ascii="Times New Roman;serif" w:hAnsi="Times New Roman;serif"/>
          <w:b w:val="false"/>
          <w:i/>
          <w:color w:val="000000"/>
          <w:sz w:val="16"/>
        </w:rPr>
        <w:t>Caesars Digital generated an additional $187 million and $199 million of sports betting handle for the three months ended June 30, 2026 and 2025, respectively, and $419 million and $468 million for the six months ended June 30, 2026 and 2025, respectively, which is not included in this table, for select wholly-owned and third-party operations for which Caesars Digital provides services and we receive all, or a share of, the net profits. Hold related to these operations was 10.9% and 11.2%, for the three months ended June 30, 2026 and 2025, respectively, and 10.0% and 11.1% for the six months ended June 30, 2026 and 2025, respectively. Sports betting handle includes $12 million for both the three months ended June 30, 2026 and 2025, and $22 million for both the six months ended June 30, 2026 and 2025, related to horse racing and pari-mutuel wagers.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Caesars Digital’s net revenues increased for the three months ended June 30, 2026, as compared to the same prior year period, primarily due to increased sports betting and iGaming handle, coupled with an increase in iGaming hold. Net income, Adjusted EBITDA, and Adjusted EBITDA margin declined for the three months ended June 30, 2026, as compared to the same prior year period, primarily due to increased gaming tax rates on sports betting wagers and iGaming in certain states, combined with lower sports betting hold.</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Caesars Digital’s net revenues, net income, Adjusted EBITDA, and Adjusted EBITDA margin increased for the six months ended June 30, 2026, as compared to the same prior year period, primarily due to increased iGaming handle coupled with an increase in sports betting and iGaming hold.</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As sports betting and online casinos expand through increased state or jurisdictional legalization, new product launches, and customer adoption, variations in hold percentages and increases in promotional and marketing expenses in highly competitive markets may negatively impact Caesars Digital’s net revenues, net income, Adjusted EBITDA and Adjusted EBITDA margin in comparison to current or prior periods.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04165"/>
                <wp:effectExtent l="0" t="0" r="0" b="0"/>
                <wp:wrapNone/>
                <wp:docPr id="39" name="Frame38"/>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25bc4ccd358f439aa099948f0102ebf8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25bc4ccd358f439aa099948f0102ebf8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60" w:after="283"/>
        <w:ind w:left="0" w:right="0" w:hanging="360"/>
        <w:jc w:val="both"/>
        <w:rPr/>
      </w:pPr>
      <w:r>
        <w:rPr/>
      </w:r>
    </w:p>
    <w:p>
      <w:pPr>
        <w:pStyle w:val="TextBody"/>
        <w:bidi w:val="0"/>
        <w:spacing w:lineRule="auto" w:line="288" w:before="18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Managed and Branded Segment</w:t>
      </w:r>
    </w:p>
    <w:tbl>
      <w:tblPr>
        <w:tblW w:w="10205" w:type="dxa"/>
        <w:jc w:val="left"/>
        <w:tblInd w:w="0" w:type="dxa"/>
        <w:tblLayout w:type="fixed"/>
        <w:tblCellMar>
          <w:top w:w="28" w:type="dxa"/>
          <w:left w:w="28" w:type="dxa"/>
          <w:bottom w:w="28" w:type="dxa"/>
          <w:right w:w="28" w:type="dxa"/>
        </w:tblCellMar>
      </w:tblPr>
      <w:tblGrid>
        <w:gridCol w:w="506"/>
        <w:gridCol w:w="279"/>
        <w:gridCol w:w="281"/>
        <w:gridCol w:w="201"/>
        <w:gridCol w:w="340"/>
        <w:gridCol w:w="263"/>
        <w:gridCol w:w="112"/>
        <w:gridCol w:w="112"/>
        <w:gridCol w:w="112"/>
        <w:gridCol w:w="201"/>
        <w:gridCol w:w="340"/>
        <w:gridCol w:w="263"/>
        <w:gridCol w:w="109"/>
        <w:gridCol w:w="109"/>
        <w:gridCol w:w="109"/>
        <w:gridCol w:w="239"/>
        <w:gridCol w:w="423"/>
        <w:gridCol w:w="134"/>
        <w:gridCol w:w="109"/>
        <w:gridCol w:w="109"/>
        <w:gridCol w:w="109"/>
        <w:gridCol w:w="303"/>
        <w:gridCol w:w="190"/>
        <w:gridCol w:w="415"/>
        <w:gridCol w:w="109"/>
        <w:gridCol w:w="109"/>
        <w:gridCol w:w="109"/>
        <w:gridCol w:w="197"/>
        <w:gridCol w:w="424"/>
        <w:gridCol w:w="258"/>
        <w:gridCol w:w="109"/>
        <w:gridCol w:w="109"/>
        <w:gridCol w:w="109"/>
        <w:gridCol w:w="197"/>
        <w:gridCol w:w="424"/>
        <w:gridCol w:w="258"/>
        <w:gridCol w:w="109"/>
        <w:gridCol w:w="109"/>
        <w:gridCol w:w="109"/>
        <w:gridCol w:w="239"/>
        <w:gridCol w:w="423"/>
        <w:gridCol w:w="134"/>
        <w:gridCol w:w="109"/>
        <w:gridCol w:w="109"/>
        <w:gridCol w:w="109"/>
        <w:gridCol w:w="285"/>
        <w:gridCol w:w="205"/>
        <w:gridCol w:w="485"/>
      </w:tblGrid>
      <w:tr>
        <w:trPr/>
        <w:tc>
          <w:tcPr>
            <w:tcW w:w="50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Percent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Percent Change</w:t>
            </w:r>
          </w:p>
        </w:tc>
      </w:tr>
      <w:tr>
        <w:trPr/>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(Dollars in millions)</w:t>
            </w:r>
          </w:p>
        </w:tc>
        <w:tc>
          <w:tcPr>
            <w:tcW w:w="8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revenues:</w:t>
            </w:r>
          </w:p>
        </w:tc>
        <w:tc>
          <w:tcPr>
            <w:tcW w:w="8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804"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w:t>
            </w:r>
          </w:p>
        </w:tc>
        <w:tc>
          <w:tcPr>
            <w:tcW w:w="4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w:t>
            </w:r>
          </w:p>
        </w:tc>
        <w:tc>
          <w:tcPr>
            <w:tcW w:w="4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revenues</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w:t>
            </w:r>
          </w:p>
        </w:tc>
        <w:tc>
          <w:tcPr>
            <w:tcW w:w="4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123 </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141 </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w:t>
            </w:r>
          </w:p>
        </w:tc>
        <w:tc>
          <w:tcPr>
            <w:tcW w:w="4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w:t>
            </w:r>
          </w:p>
        </w:tc>
        <w:tc>
          <w:tcPr>
            <w:tcW w:w="4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w:t>
            </w:r>
          </w:p>
        </w:tc>
        <w:tc>
          <w:tcPr>
            <w:tcW w:w="4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 margin</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28.1 </w:t>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23.0 </w:t>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pts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23.6 </w:t>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23.4 </w:t>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pts</w:t>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Caesars</w:t>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w:t>
            </w:r>
          </w:p>
        </w:tc>
        <w:tc>
          <w:tcPr>
            <w:tcW w:w="4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20.6 </w:t>
            </w:r>
          </w:p>
        </w:tc>
        <w:tc>
          <w:tcPr>
            <w:tcW w:w="4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manage several properties and license rights to the use of certain of our brands. These revenue agreements typically include reimbursement of certain costs that we incur directly. Such costs are primarily related to payroll costs incurred on behalf of the properties under management. The revenue related to these reimbursable management costs has a direct impact on our evaluation of Adjusted EBITDA margin which, when excluded, reflects margins typically realized from such agreements. The table below presents the amount included in net revenues and total operating expenses related to these reimbursable costs. Beginning March 3, 2026, Caesars Windsor is consolidated and included in the Regional segment.</w:t>
      </w:r>
    </w:p>
    <w:tbl>
      <w:tblPr>
        <w:tblW w:w="10205" w:type="dxa"/>
        <w:jc w:val="left"/>
        <w:tblInd w:w="0" w:type="dxa"/>
        <w:tblLayout w:type="fixed"/>
        <w:tblCellMar>
          <w:top w:w="28" w:type="dxa"/>
          <w:left w:w="28" w:type="dxa"/>
          <w:bottom w:w="28" w:type="dxa"/>
          <w:right w:w="28" w:type="dxa"/>
        </w:tblCellMar>
      </w:tblPr>
      <w:tblGrid>
        <w:gridCol w:w="637"/>
        <w:gridCol w:w="431"/>
        <w:gridCol w:w="352"/>
        <w:gridCol w:w="217"/>
        <w:gridCol w:w="368"/>
        <w:gridCol w:w="121"/>
        <w:gridCol w:w="121"/>
        <w:gridCol w:w="121"/>
        <w:gridCol w:w="121"/>
        <w:gridCol w:w="217"/>
        <w:gridCol w:w="368"/>
        <w:gridCol w:w="121"/>
        <w:gridCol w:w="109"/>
        <w:gridCol w:w="109"/>
        <w:gridCol w:w="109"/>
        <w:gridCol w:w="239"/>
        <w:gridCol w:w="423"/>
        <w:gridCol w:w="134"/>
        <w:gridCol w:w="109"/>
        <w:gridCol w:w="109"/>
        <w:gridCol w:w="109"/>
        <w:gridCol w:w="303"/>
        <w:gridCol w:w="204"/>
        <w:gridCol w:w="452"/>
        <w:gridCol w:w="109"/>
        <w:gridCol w:w="109"/>
        <w:gridCol w:w="109"/>
        <w:gridCol w:w="209"/>
        <w:gridCol w:w="353"/>
        <w:gridCol w:w="116"/>
        <w:gridCol w:w="116"/>
        <w:gridCol w:w="116"/>
        <w:gridCol w:w="116"/>
        <w:gridCol w:w="209"/>
        <w:gridCol w:w="449"/>
        <w:gridCol w:w="116"/>
        <w:gridCol w:w="109"/>
        <w:gridCol w:w="109"/>
        <w:gridCol w:w="109"/>
        <w:gridCol w:w="239"/>
        <w:gridCol w:w="423"/>
        <w:gridCol w:w="134"/>
        <w:gridCol w:w="109"/>
        <w:gridCol w:w="109"/>
        <w:gridCol w:w="109"/>
        <w:gridCol w:w="285"/>
        <w:gridCol w:w="214"/>
        <w:gridCol w:w="525"/>
      </w:tblGrid>
      <w:tr>
        <w:trPr/>
        <w:tc>
          <w:tcPr>
            <w:tcW w:w="637"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r>
      <w:tr>
        <w:trPr/>
        <w:tc>
          <w:tcPr>
            <w:tcW w:w="1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Percent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Percent Change</w:t>
            </w:r>
          </w:p>
        </w:tc>
      </w:tr>
      <w:tr>
        <w:trPr/>
        <w:tc>
          <w:tcPr>
            <w:tcW w:w="1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(Dollars in millions)</w:t>
            </w:r>
          </w:p>
        </w:tc>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Reimbursable management revenue</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w:t>
            </w:r>
          </w:p>
        </w:tc>
        <w:tc>
          <w:tcPr>
            <w:tcW w:w="4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w:t>
            </w:r>
          </w:p>
        </w:tc>
        <w:tc>
          <w:tcPr>
            <w:tcW w:w="5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Reimbursable management costs</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w:t>
            </w:r>
          </w:p>
        </w:tc>
        <w:tc>
          <w:tcPr>
            <w:tcW w:w="4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w:t>
            </w:r>
          </w:p>
        </w:tc>
        <w:tc>
          <w:tcPr>
            <w:tcW w:w="5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8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Corporate &amp; Other</w:t>
      </w:r>
    </w:p>
    <w:tbl>
      <w:tblPr>
        <w:tblW w:w="10205" w:type="dxa"/>
        <w:jc w:val="left"/>
        <w:tblInd w:w="0" w:type="dxa"/>
        <w:tblLayout w:type="fixed"/>
        <w:tblCellMar>
          <w:top w:w="28" w:type="dxa"/>
          <w:left w:w="28" w:type="dxa"/>
          <w:bottom w:w="28" w:type="dxa"/>
          <w:right w:w="28" w:type="dxa"/>
        </w:tblCellMar>
      </w:tblPr>
      <w:tblGrid>
        <w:gridCol w:w="422"/>
        <w:gridCol w:w="311"/>
        <w:gridCol w:w="312"/>
        <w:gridCol w:w="222"/>
        <w:gridCol w:w="421"/>
        <w:gridCol w:w="123"/>
        <w:gridCol w:w="123"/>
        <w:gridCol w:w="123"/>
        <w:gridCol w:w="123"/>
        <w:gridCol w:w="222"/>
        <w:gridCol w:w="461"/>
        <w:gridCol w:w="123"/>
        <w:gridCol w:w="109"/>
        <w:gridCol w:w="109"/>
        <w:gridCol w:w="109"/>
        <w:gridCol w:w="239"/>
        <w:gridCol w:w="423"/>
        <w:gridCol w:w="134"/>
        <w:gridCol w:w="109"/>
        <w:gridCol w:w="109"/>
        <w:gridCol w:w="109"/>
        <w:gridCol w:w="303"/>
        <w:gridCol w:w="220"/>
        <w:gridCol w:w="495"/>
        <w:gridCol w:w="109"/>
        <w:gridCol w:w="109"/>
        <w:gridCol w:w="109"/>
        <w:gridCol w:w="210"/>
        <w:gridCol w:w="493"/>
        <w:gridCol w:w="116"/>
        <w:gridCol w:w="116"/>
        <w:gridCol w:w="116"/>
        <w:gridCol w:w="116"/>
        <w:gridCol w:w="210"/>
        <w:gridCol w:w="396"/>
        <w:gridCol w:w="116"/>
        <w:gridCol w:w="109"/>
        <w:gridCol w:w="109"/>
        <w:gridCol w:w="109"/>
        <w:gridCol w:w="219"/>
        <w:gridCol w:w="454"/>
        <w:gridCol w:w="123"/>
        <w:gridCol w:w="109"/>
        <w:gridCol w:w="109"/>
        <w:gridCol w:w="109"/>
        <w:gridCol w:w="285"/>
        <w:gridCol w:w="226"/>
        <w:gridCol w:w="574"/>
      </w:tblGrid>
      <w:tr>
        <w:trPr/>
        <w:tc>
          <w:tcPr>
            <w:tcW w:w="422"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r>
      <w:tr>
        <w:trPr/>
        <w:tc>
          <w:tcPr>
            <w:tcW w:w="1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Percent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Percent Change</w:t>
            </w:r>
          </w:p>
        </w:tc>
      </w:tr>
      <w:tr>
        <w:trPr/>
        <w:tc>
          <w:tcPr>
            <w:tcW w:w="1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(Dollars in millions)</w:t>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revenues:</w:t>
            </w:r>
          </w:p>
        </w:tc>
        <w:tc>
          <w:tcPr>
            <w:tcW w:w="7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Casino</w:t>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Food and beverage</w:t>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045"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r>
      <w:tr>
        <w:trPr/>
        <w:tc>
          <w:tcPr>
            <w:tcW w:w="1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revenues</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w:t>
            </w:r>
          </w:p>
        </w:tc>
        <w:tc>
          <w:tcPr>
            <w:tcW w:w="5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045"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____________________</w:t>
      </w:r>
    </w:p>
    <w:p>
      <w:pPr>
        <w:pStyle w:val="TextBody"/>
        <w:bidi w:val="0"/>
        <w:spacing w:lineRule="auto" w:line="288" w:before="60" w:after="283"/>
        <w:ind w:left="0" w:right="0" w:hanging="360"/>
        <w:jc w:val="both"/>
        <w:rPr/>
      </w:pPr>
      <w:r>
        <w:rPr>
          <w:rFonts w:ascii="Times New Roman;serif" w:hAnsi="Times New Roman;serif"/>
          <w:b w:val="false"/>
          <w:color w:val="000000"/>
          <w:sz w:val="16"/>
        </w:rPr>
        <w:t>*    </w:t>
      </w:r>
      <w:r>
        <w:rPr>
          <w:rFonts w:ascii="Times New Roman;serif" w:hAnsi="Times New Roman;serif"/>
          <w:b w:val="false"/>
          <w:i/>
          <w:color w:val="000000"/>
          <w:sz w:val="16"/>
        </w:rPr>
        <w:t>Not meaningful.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Supplemental Unaudited Presentation of Consolidated Adjusted Earnings Before Interest, Taxes, Depreciation and Amortization (“Adjusted EBITDA”) for the Three and Six Months Ended June 30, 2026 and 2025</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Adjusted EBITDA (described below), a non-GAAP financial measure, has been presented as a supplemental disclosure because it is a widely used measure of performance and basis for valuation of companies in our industry and we believe that this non-GAAP supplemental information will be helpful in understanding our ongoing operating results. Management has historically used Adjusted EBITDA when evaluating operating performance because we believe that the inclusion or exclusion of certain recurring and non-recurring items is necessary to provide a full understanding of our core operating results and as a means to evaluate period-to-period results. Adjusted EBITDA represents, as applicable, net income (loss) before interest income and interest expense net of interest capitalized, (benefit) provision for income taxes, depreciation and amortization, stock-based compensation expense, (gain) loss on extinguishment of debt, impairment charges, other (income) loss, net income (loss) attributable to noncontrolling interests, transaction costs associated with our acquisitions, developments, and divestitures, and non-cash changes in equity method investments. Adjusted EBITDA also excludes the expense associated with certain of our leases as these transactions were accounted for as financing obligations and the associated expense is included in interest expense. Adjusted EBITDA is not a measure of performance or liquidity calculated in accordance with accounting principles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04165"/>
                <wp:effectExtent l="0" t="0" r="0" b="0"/>
                <wp:wrapNone/>
                <wp:docPr id="40" name="Frame39"/>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25bc4ccd358f439aa099948f0102ebf8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25bc4ccd358f439aa099948f0102ebf8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60" w:after="283"/>
        <w:ind w:left="0" w:right="0" w:hanging="360"/>
        <w:jc w:val="both"/>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generally accepted in the United States (“GAAP”). Adjusted EBITDA is unaudited and should not be considered an alternative to, or more meaningful than, net income (loss) as an indicator of our operating performance. Uses of cash flows that are not reflected in Adjusted EBITDA include capital expenditures, interest payments, income taxes, debt principal repayments, distributions to our noncontrolling interest owners and payments under our leases with affiliates of VICI and GLPI, which can be significant. As a result, Adjusted EBITDA should not be considered as a measure of our liquidity. Other companies that provide Adjusted EBITDA information may calculate Adjusted EBITDA differently than we do. The definition of Adjusted EBITDA may not be the same as the definitions used in any of our debt or lease agreements.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Adjusted EBITDA for the three and six months ended June 30, 2026 and 2025, respectively, in addition to reconciling net income (loss) attributable to Caesars to Adjusted EBITDA in accordance with GAAP (unaudited):</w:t>
      </w:r>
    </w:p>
    <w:tbl>
      <w:tblPr>
        <w:tblW w:w="8686" w:type="dxa"/>
        <w:jc w:val="left"/>
        <w:tblInd w:w="0" w:type="dxa"/>
        <w:tblLayout w:type="fixed"/>
        <w:tblCellMar>
          <w:top w:w="28" w:type="dxa"/>
          <w:left w:w="28" w:type="dxa"/>
          <w:bottom w:w="28" w:type="dxa"/>
          <w:right w:w="28" w:type="dxa"/>
        </w:tblCellMar>
      </w:tblPr>
      <w:tblGrid>
        <w:gridCol w:w="1322"/>
        <w:gridCol w:w="1160"/>
        <w:gridCol w:w="1163"/>
        <w:gridCol w:w="269"/>
        <w:gridCol w:w="578"/>
        <w:gridCol w:w="149"/>
        <w:gridCol w:w="149"/>
        <w:gridCol w:w="149"/>
        <w:gridCol w:w="149"/>
        <w:gridCol w:w="269"/>
        <w:gridCol w:w="578"/>
        <w:gridCol w:w="149"/>
        <w:gridCol w:w="109"/>
        <w:gridCol w:w="109"/>
        <w:gridCol w:w="109"/>
        <w:gridCol w:w="213"/>
        <w:gridCol w:w="605"/>
        <w:gridCol w:w="118"/>
        <w:gridCol w:w="118"/>
        <w:gridCol w:w="118"/>
        <w:gridCol w:w="118"/>
        <w:gridCol w:w="213"/>
        <w:gridCol w:w="605"/>
        <w:gridCol w:w="167"/>
      </w:tblGrid>
      <w:tr>
        <w:trPr/>
        <w:tc>
          <w:tcPr>
            <w:tcW w:w="1322"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attributable to Caesars</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noncontrolling interests</w:t>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(Benefit) provision for income taxes</w:t>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w:t>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573 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579 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Transaction costs and other, net </w:t>
            </w:r>
            <w:r>
              <w:rPr>
                <w:rFonts w:ascii="Times New Roman;serif" w:hAnsi="Times New Roman;serif"/>
                <w:b w:val="false"/>
                <w:i/>
                <w:color w:val="000000"/>
                <w:sz w:val="12"/>
              </w:rPr>
              <w:t>(a)</w:t>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Total Adjusted EBITDA</w:t>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920 </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955 </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1,807 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1,839 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____________________</w:t>
      </w:r>
    </w:p>
    <w:p>
      <w:pPr>
        <w:pStyle w:val="TextBody"/>
        <w:bidi w:val="0"/>
        <w:spacing w:lineRule="auto" w:line="288" w:before="60" w:after="283"/>
        <w:ind w:left="0" w:right="0" w:hanging="360"/>
        <w:jc w:val="both"/>
        <w:rPr/>
      </w:pPr>
      <w:r>
        <w:rPr>
          <w:rFonts w:ascii="Times New Roman;serif" w:hAnsi="Times New Roman;serif"/>
          <w:b w:val="false"/>
          <w:i/>
          <w:color w:val="212529"/>
          <w:sz w:val="10"/>
        </w:rPr>
        <w:t>(a)</w:t>
      </w:r>
      <w:r>
        <w:rPr>
          <w:rFonts w:ascii="Times New Roman;serif" w:hAnsi="Times New Roman;serif"/>
          <w:b w:val="false"/>
          <w:i/>
          <w:color w:val="000000"/>
          <w:sz w:val="16"/>
        </w:rPr>
        <w:t>Transaction costs and other, net primarily includes costs related to non-cash losses on the write down and disposal of assets, certain non-recurring litigation reserves, professional services for transaction and integration costs, various contract exit or termination costs, pre-opening costs in connection with our new property openings, and non-cash changes in equity method investments.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are a holding company, and our only significant assets are ownership interests in our subsidiaries. Our ability to fund our obligations depends on existing cash on hand, cash flows from our subsidiaries and our ability to raise capital. Our primary sources of liquidity and capital resources are existing cash on hand, cash flows from operations, availability of borrowings under our CEI Revolving Credit Facility and proceeds from the issuance of debt and equity securities. We may, from time to time, seek to repurchase our common stock or prepay our outstanding indebtedness. Any such purchases or prepayments may be funded by existing cash balances or the incurrence of debt. The amount and timing of any repurchase of debt or common stock will be based on business and market conditions, capital availability, compliance with debt covenants and other considerations. Our cash requirements may fluctuate significantly depending on our decisions with respect to business acquisitions or divestitures and strategic capital and marketing investments.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2026, our cash on hand and borrowing capacity was as follows:</w:t>
      </w:r>
    </w:p>
    <w:tbl>
      <w:tblPr>
        <w:tblW w:w="5984" w:type="dxa"/>
        <w:jc w:val="left"/>
        <w:tblInd w:w="0" w:type="dxa"/>
        <w:tblLayout w:type="fixed"/>
        <w:tblCellMar>
          <w:top w:w="28" w:type="dxa"/>
          <w:left w:w="28" w:type="dxa"/>
          <w:bottom w:w="28" w:type="dxa"/>
          <w:right w:w="28" w:type="dxa"/>
        </w:tblCellMar>
      </w:tblPr>
      <w:tblGrid>
        <w:gridCol w:w="1735"/>
        <w:gridCol w:w="1522"/>
        <w:gridCol w:w="1527"/>
        <w:gridCol w:w="259"/>
        <w:gridCol w:w="737"/>
        <w:gridCol w:w="204"/>
      </w:tblGrid>
      <w:tr>
        <w:trPr/>
        <w:tc>
          <w:tcPr>
            <w:tcW w:w="1735" w:type="dxa"/>
            <w:tcBorders/>
            <w:vAlign w:val="center"/>
          </w:tcPr>
          <w:p>
            <w:pPr>
              <w:pStyle w:val="TableContents"/>
              <w:bidi w:val="0"/>
              <w:spacing w:before="0" w:after="283"/>
              <w:jc w:val="left"/>
              <w:rPr>
                <w:sz w:val="4"/>
                <w:szCs w:val="4"/>
              </w:rPr>
            </w:pPr>
            <w:r>
              <w:rPr>
                <w:sz w:val="4"/>
                <w:szCs w:val="4"/>
              </w:rPr>
            </w:r>
          </w:p>
        </w:tc>
        <w:tc>
          <w:tcPr>
            <w:tcW w:w="1522"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965 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CEI Revolving Credit Facility capacity, net of outstanding balance</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2,130 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CVA Revolving Credit Facility capacity</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Revolver capacity committed to letters of credit</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Revolver capacity committed to specific reserves</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Revolver capacity committed as regulatory requirement</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2,928 </w:t>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2026, our operating activities generated operating cash inflows of $675 million, as compared to operating cash inflows of $680 million during the six months ended June 30, 2025, primarily due to changes in working capital, coupled with the results of operations described above.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expect that our primary capital requirements going forward will relate to servicing our outstanding indebtedness, rent payments under our GLPI Leases and VICI Leases, and the renovation and maintenance of our properties. We expect to continue having additional cash uses for federal and certain state income taxes in operating activities.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04165"/>
                <wp:effectExtent l="0" t="0" r="0" b="0"/>
                <wp:wrapNone/>
                <wp:docPr id="41" name="Frame40"/>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25bc4ccd358f439aa099948f0102ebf8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25bc4ccd358f439aa099948f0102ebf8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60" w:after="283"/>
        <w:ind w:left="0" w:right="0" w:hanging="360"/>
        <w:jc w:val="both"/>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 significant portion of our liquidity needs are for debt service and payments associated with our leases. Our estimated debt service (including principal and interest) is approximately $425 million for the remainder of 2026. We also lease certain real property assets from third parties, including VICI and GLPI. The VICI Leases are subject to annual escalations, that take effect in November of each year, based on the Consumer Price Index (“CPI”). In addition to the CPI escalator, our VICI Leases are also subject to a variable rent adjustment based on certain historical net revenues of our leased properties, in which, the next such lease year with a variable rent adjustment begins November 2027. We estimate our lease payments to VICI and GLPI to be approximately $687 million for the remainder of 2026.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make capital expenditures and perform continuing refurbishment and maintenance at our properties to maintain our quality standards. Our capital expenditure requirements for the remainder of 2026 include various growth and renovation projects. In addition, we anticipate continued investment in our Caesars Sportsbook and iGaming applications. </w:t>
      </w:r>
    </w:p>
    <w:p>
      <w:pPr>
        <w:pStyle w:val="TextBody"/>
        <w:bidi w:val="0"/>
        <w:spacing w:lineRule="auto" w:line="288" w:before="180" w:after="283"/>
        <w:jc w:val="both"/>
        <w:rPr/>
      </w:pPr>
      <w:r>
        <w:rPr>
          <w:rFonts w:ascii="Times New Roman;serif" w:hAnsi="Times New Roman;serif"/>
          <w:b w:val="false"/>
          <w:color w:val="212529"/>
          <w:sz w:val="20"/>
        </w:rPr>
        <w:t xml:space="preserve">Cash used for capital expenditures totaled </w:t>
      </w:r>
      <w:r>
        <w:rPr>
          <w:rFonts w:ascii="Times New Roman;serif" w:hAnsi="Times New Roman;serif"/>
          <w:b w:val="false"/>
          <w:color w:val="000000"/>
          <w:sz w:val="20"/>
        </w:rPr>
        <w:t xml:space="preserve">$335 million and $453 million </w:t>
      </w:r>
      <w:r>
        <w:rPr>
          <w:rFonts w:ascii="Times New Roman;serif" w:hAnsi="Times New Roman;serif"/>
          <w:b w:val="false"/>
          <w:color w:val="212529"/>
          <w:sz w:val="20"/>
        </w:rPr>
        <w:t xml:space="preserve">for the six months ended </w:t>
      </w:r>
      <w:r>
        <w:rPr>
          <w:rFonts w:ascii="Times New Roman;serif" w:hAnsi="Times New Roman;serif"/>
          <w:b w:val="false"/>
          <w:color w:val="000000"/>
          <w:sz w:val="20"/>
        </w:rPr>
        <w:t>June 30, 2026 and 2025</w:t>
      </w:r>
      <w:r>
        <w:rPr>
          <w:rFonts w:ascii="Times New Roman;serif" w:hAnsi="Times New Roman;serif"/>
          <w:b w:val="false"/>
          <w:color w:val="212529"/>
          <w:sz w:val="20"/>
        </w:rPr>
        <w:t xml:space="preserve">, respectively, related to our growth, renovation, maintenance, and other capital projects. The following table summarizes our capital expenditures for the six months ended June 30, 2026, and an estimated range of capital expenditures for the remainder of 2026. </w:t>
      </w:r>
    </w:p>
    <w:tbl>
      <w:tblPr>
        <w:tblW w:w="10205" w:type="dxa"/>
        <w:jc w:val="left"/>
        <w:tblInd w:w="0" w:type="dxa"/>
        <w:tblLayout w:type="fixed"/>
        <w:tblCellMar>
          <w:top w:w="28" w:type="dxa"/>
          <w:left w:w="28" w:type="dxa"/>
          <w:bottom w:w="28" w:type="dxa"/>
          <w:right w:w="28" w:type="dxa"/>
        </w:tblCellMar>
      </w:tblPr>
      <w:tblGrid>
        <w:gridCol w:w="1365"/>
        <w:gridCol w:w="1173"/>
        <w:gridCol w:w="1162"/>
        <w:gridCol w:w="625"/>
        <w:gridCol w:w="1344"/>
        <w:gridCol w:w="347"/>
        <w:gridCol w:w="109"/>
        <w:gridCol w:w="109"/>
        <w:gridCol w:w="109"/>
        <w:gridCol w:w="414"/>
        <w:gridCol w:w="890"/>
        <w:gridCol w:w="230"/>
        <w:gridCol w:w="230"/>
        <w:gridCol w:w="230"/>
        <w:gridCol w:w="230"/>
        <w:gridCol w:w="414"/>
        <w:gridCol w:w="890"/>
        <w:gridCol w:w="334"/>
      </w:tblGrid>
      <w:tr>
        <w:trPr/>
        <w:tc>
          <w:tcPr>
            <w:tcW w:w="1365"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r>
      <w:tr>
        <w:trPr/>
        <w:tc>
          <w:tcPr>
            <w:tcW w:w="3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2"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Estimate of Remaining Capital Expenditures for </w:t>
            </w:r>
            <w:r>
              <w:rPr>
                <w:rFonts w:ascii="Times New Roman;serif" w:hAnsi="Times New Roman;serif"/>
                <w:b/>
                <w:color w:val="212529"/>
                <w:sz w:val="18"/>
              </w:rPr>
              <w:t>2026</w:t>
            </w:r>
          </w:p>
        </w:tc>
      </w:tr>
      <w:tr>
        <w:trPr/>
        <w:tc>
          <w:tcPr>
            <w:tcW w:w="3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23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Actual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Low</w:t>
            </w:r>
          </w:p>
        </w:tc>
        <w:tc>
          <w:tcPr>
            <w:tcW w:w="6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High</w:t>
            </w:r>
          </w:p>
        </w:tc>
      </w:tr>
      <w:tr>
        <w:trPr/>
        <w:tc>
          <w:tcPr>
            <w:tcW w:w="3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Growth and renovation projects</w:t>
            </w:r>
          </w:p>
        </w:tc>
        <w:tc>
          <w:tcPr>
            <w:tcW w:w="6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117 </w:t>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170 </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Caesars Digital</w:t>
            </w:r>
          </w:p>
        </w:tc>
        <w:tc>
          <w:tcPr>
            <w:tcW w:w="1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Maintenance projects</w:t>
            </w:r>
          </w:p>
        </w:tc>
        <w:tc>
          <w:tcPr>
            <w:tcW w:w="1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181 </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185 </w:t>
            </w:r>
          </w:p>
        </w:tc>
        <w:tc>
          <w:tcPr>
            <w:tcW w:w="33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estimated capital expenditures from unrestricted cash</w:t>
            </w:r>
          </w:p>
        </w:tc>
        <w:tc>
          <w:tcPr>
            <w:tcW w:w="6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335 </w:t>
            </w:r>
          </w:p>
        </w:tc>
        <w:tc>
          <w:tcPr>
            <w:tcW w:w="3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310 </w:t>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390 </w:t>
            </w:r>
          </w:p>
        </w:tc>
        <w:tc>
          <w:tcPr>
            <w:tcW w:w="3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pPr>
      <w:r>
        <w:rPr>
          <w:rFonts w:ascii="Times New Roman;serif" w:hAnsi="Times New Roman;serif"/>
          <w:b w:val="false"/>
          <w:color w:val="222222"/>
          <w:sz w:val="20"/>
        </w:rPr>
        <w:t xml:space="preserve">We have agreements with certain sporting event facilities and professional sports teams primarily for tickets, suites, advertising, marketing, promotional and sponsorship opportunities. The agreements include leasing of event suites that are generally considered short-term leases for which we do not record a right-of-use asset or lease liability and recognizes expenses in the period services are received. As of </w:t>
      </w:r>
      <w:r>
        <w:rPr>
          <w:rFonts w:ascii="Times New Roman;serif" w:hAnsi="Times New Roman;serif"/>
          <w:b w:val="false"/>
          <w:color w:val="000000"/>
          <w:sz w:val="20"/>
        </w:rPr>
        <w:t>June 30, 2026 and December 31, 2025</w:t>
      </w:r>
      <w:r>
        <w:rPr>
          <w:rFonts w:ascii="Times New Roman;serif" w:hAnsi="Times New Roman;serif"/>
          <w:b w:val="false"/>
          <w:color w:val="222222"/>
          <w:sz w:val="20"/>
        </w:rPr>
        <w:t>, obligations related to these agreements were $309 million and $318 million, respectively, with contracts extending through 2040.</w:t>
      </w:r>
    </w:p>
    <w:p>
      <w:pPr>
        <w:pStyle w:val="TextBody"/>
        <w:bidi w:val="0"/>
        <w:spacing w:lineRule="auto" w:line="288" w:before="180" w:after="283"/>
        <w:jc w:val="both"/>
        <w:rPr/>
      </w:pPr>
      <w:r>
        <w:rPr>
          <w:rFonts w:ascii="Times New Roman;serif" w:hAnsi="Times New Roman;serif"/>
          <w:b w:val="false"/>
          <w:color w:val="000000"/>
          <w:sz w:val="20"/>
        </w:rPr>
        <w:t xml:space="preserve">We have periodically divested assets to raise capital or, in previous cases, to comply with conditions, terms, obligations or restrictions imposed by antitrust, gaming and other regulatory entities. </w:t>
      </w:r>
      <w:r>
        <w:rPr>
          <w:rFonts w:ascii="Times New Roman;serif" w:hAnsi="Times New Roman;serif"/>
          <w:b w:val="false"/>
          <w:color w:val="212529"/>
          <w:sz w:val="20"/>
        </w:rPr>
        <w:t>If an agreed upon selling price for future divestitures does not exceed the carrying value of the assets, we may be required to record additional impairment charges in future periods which may be material.</w:t>
      </w:r>
    </w:p>
    <w:p>
      <w:pPr>
        <w:pStyle w:val="TextBody"/>
        <w:bidi w:val="0"/>
        <w:spacing w:lineRule="auto" w:line="288" w:before="180" w:after="283"/>
        <w:jc w:val="both"/>
        <w:rPr/>
      </w:pPr>
      <w:r>
        <w:rPr>
          <w:rFonts w:ascii="Times New Roman;serif" w:hAnsi="Times New Roman;serif"/>
          <w:b w:val="false"/>
          <w:color w:val="000000"/>
          <w:sz w:val="20"/>
        </w:rPr>
        <w:t>We</w:t>
      </w:r>
      <w:r>
        <w:rPr>
          <w:color w:val="212529"/>
        </w:rPr>
        <w:t xml:space="preserve"> </w:t>
      </w:r>
      <w:r>
        <w:rPr>
          <w:rFonts w:ascii="Times New Roman;serif" w:hAnsi="Times New Roman;serif"/>
          <w:b w:val="false"/>
          <w:color w:val="212529"/>
          <w:sz w:val="20"/>
        </w:rPr>
        <w:t>expect that our current liquidity, including availability of borrowings under our committed credit facility and cash flows from operations will be sufficient to fund our operations, capital requirements and service our outstanding indebtedness for the next twelve months and beyond.</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Debt and Master Lease Covenant Compliance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CEI Revolving Credit Facility, the CEI Term Loan A, the CEI Term Loan B, the CEI Term Loan B-1 and the indentures governing the CEI Senior Secured Notes due 2030, the CEI Senior Secured Notes due 2032, the CEI Senior Notes due 2029 and the CEI Senior Notes due 2032 contain covenants which are standard and customary for these types of agreements. These include negative covenants, which, subject to certain exceptions and baskets, limit our ability to (among other items) incur additional indebtedness, make investments, make restricted payments, including dividends, grant liens, sell assets and make acquisitions.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CEI Revolving Credit Facility and the CEI Term Loan A include a maximum net total leverage ratio financial covenant of 6.50:1. In addition, the CEI Revolving Credit Facility and the CEI Term Loan A include a minimum fixed charge coverage ratio financial covenant of 2.0:1. From and after the repayment of the CEI Term Loan A, the financial covenants applicable to the CEI Revolving Credit Facility will be tested solely to the extent that certain testing conditions are satisfied. Failure to comply with such covenants could result in an acceleration of the maturity of indebtedness outstanding under the relevant debt agreement.</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GLPI Leases and VICI Leases contain certain covenants requiring minimum capital expenditures based on a percentage of net revenues along with maintaining certain financial ratios. The GLPI Leases require the Company to maintain a minimum adjusted revenue to rent ratio of 1.20:1, applicable to the operations of the underlying leased properties.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04165"/>
                <wp:effectExtent l="0" t="0" r="0" b="0"/>
                <wp:wrapNone/>
                <wp:docPr id="42" name="Frame41"/>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25bc4ccd358f439aa099948f0102ebf8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25bc4ccd358f439aa099948f0102ebf8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60" w:after="283"/>
        <w:ind w:left="0" w:right="0" w:hanging="360"/>
        <w:jc w:val="both"/>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CVA Revolving Credit Facility and the CVA Delayed Draw Term Loan contain covenants which are standard and customary for this type of agreement, including a maximum net total leverage ratio financial covenant of 4:1 and a minimum fixed charge coverage ratio financial covenant of 1.05:1, applicable to the operations of Caesars Virginia.</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2026, we were in compliance with all of the applicable financial covenants described above.</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Share Repurchase Programs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On October 2, 2024, we announced that our Board authorized a $500 million common stock repurchase program (the”2024 Share Repurchase Program”). Under the 2024 Share Repurchase Program, we may, from time to time, repurchase shares of common stock on the open market (either with or without a 10b5-1 plan) or through privately negotiated transactions. Under the 2024 Share Repurchase Program, as of June 30, 2026, we have authorization to repurchase up to $221 million more of our outstanding common stock. There were no share repurchases made during the three and six months ended June 30, 2026. The Company repurchased 4,188,466 shares of common stock at an aggregate value of $100 million, excluding commissions or applicable excise tax, during the second quarter of 2025. The 2024 Share Repurchase Program has no time limit and may be suspended or discontinued at any time without notice. There is no minimum number of shares of common stock that we are required to repurchase under the 2024 Share Repurchase Program.</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a result of the proposed Merger, described above, no share repurchases are expected at this time. </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Contractual Obligations</w:t>
      </w:r>
    </w:p>
    <w:p>
      <w:pPr>
        <w:pStyle w:val="TextBody"/>
        <w:bidi w:val="0"/>
        <w:spacing w:lineRule="auto" w:line="288" w:before="180" w:after="283"/>
        <w:jc w:val="both"/>
        <w:rPr/>
      </w:pPr>
      <w:r>
        <w:rPr>
          <w:rFonts w:ascii="Times New Roman;serif" w:hAnsi="Times New Roman;serif"/>
          <w:b w:val="false"/>
          <w:color w:val="000000"/>
          <w:sz w:val="20"/>
        </w:rPr>
        <w:t xml:space="preserve">There have been no other material changes during the six months ended June 30, 2026 to our contractual obligations as disclosed in Part II, Item 7 of the 2025 Annual Report. See </w:t>
      </w:r>
      <w:hyperlink w:anchor="i25bc4ccd358f439aa099948f0102ebf8_49">
        <w:r>
          <w:rPr>
            <w:rStyle w:val="InternetLink"/>
            <w:rFonts w:ascii="Times New Roman;serif" w:hAnsi="Times New Roman;serif"/>
            <w:b w:val="false"/>
            <w:color w:val="0000FF"/>
            <w:sz w:val="20"/>
            <w:u w:val="single"/>
          </w:rPr>
          <w:t>Note 5</w:t>
        </w:r>
      </w:hyperlink>
      <w:r>
        <w:rPr>
          <w:color w:val="000000"/>
        </w:rPr>
        <w:t xml:space="preserve"> </w:t>
      </w:r>
      <w:r>
        <w:rPr>
          <w:rFonts w:ascii="Times New Roman;serif" w:hAnsi="Times New Roman;serif"/>
          <w:b w:val="false"/>
          <w:color w:val="000000"/>
          <w:sz w:val="20"/>
        </w:rPr>
        <w:t xml:space="preserve">to our unaudited Financial Statements, which is included elsewhere in this report, for additional information regarding contractual obligations.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Other Liquidity Matters</w:t>
      </w:r>
    </w:p>
    <w:p>
      <w:pPr>
        <w:pStyle w:val="TextBody"/>
        <w:bidi w:val="0"/>
        <w:spacing w:lineRule="auto" w:line="288" w:before="180" w:after="283"/>
        <w:jc w:val="both"/>
        <w:rPr/>
      </w:pPr>
      <w:r>
        <w:rPr>
          <w:rFonts w:ascii="Times New Roman;serif" w:hAnsi="Times New Roman;serif"/>
          <w:b w:val="false"/>
          <w:color w:val="000000"/>
          <w:sz w:val="20"/>
        </w:rPr>
        <w:t>We are faced with certain contingencies, from time to time, involving litigation, claims, assessments, environmental remediation or compliance. These commitments and contingencies are discussed in greater detail, when applicable, in “</w:t>
      </w:r>
      <w:hyperlink w:anchor="i25bc4ccd358f439aa099948f0102ebf8_130">
        <w:r>
          <w:rPr>
            <w:rStyle w:val="InternetLink"/>
            <w:rFonts w:ascii="Times New Roman;serif" w:hAnsi="Times New Roman;serif"/>
            <w:b w:val="false"/>
            <w:color w:val="0000FF"/>
            <w:sz w:val="20"/>
            <w:u w:val="single"/>
          </w:rPr>
          <w:t>Part II, Item 1. Legal Proceedings</w:t>
        </w:r>
      </w:hyperlink>
      <w:r>
        <w:rPr>
          <w:color w:val="000000"/>
        </w:rPr>
        <w:t xml:space="preserve">” </w:t>
      </w:r>
      <w:r>
        <w:rPr>
          <w:rFonts w:ascii="Times New Roman;serif" w:hAnsi="Times New Roman;serif"/>
          <w:b w:val="false"/>
          <w:color w:val="000000"/>
          <w:sz w:val="20"/>
        </w:rPr>
        <w:t xml:space="preserve">and </w:t>
      </w:r>
      <w:hyperlink w:anchor="i25bc4ccd358f439aa099948f0102ebf8_49">
        <w:r>
          <w:rPr>
            <w:rStyle w:val="InternetLink"/>
            <w:rFonts w:ascii="Times New Roman;serif" w:hAnsi="Times New Roman;serif"/>
            <w:b w:val="false"/>
            <w:color w:val="0000FF"/>
            <w:sz w:val="20"/>
            <w:u w:val="single"/>
          </w:rPr>
          <w:t>Note 5</w:t>
        </w:r>
      </w:hyperlink>
      <w:r>
        <w:rPr>
          <w:color w:val="000000"/>
        </w:rPr>
        <w:t xml:space="preserve"> </w:t>
      </w:r>
      <w:r>
        <w:rPr>
          <w:rFonts w:ascii="Times New Roman;serif" w:hAnsi="Times New Roman;serif"/>
          <w:b w:val="false"/>
          <w:color w:val="000000"/>
          <w:sz w:val="20"/>
        </w:rPr>
        <w:t>to our unaudited Financial Statements, both of which are included elsewhere in this report. See also “Part I, Item 1A. Risk Factors—Risks Related to Our Business” which is included elsewhere in the 2025 Annual Report.</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Our critical accounting policies and estimates are included in the 2025 Annual Report. There have been no material changes since December 31, 2025. We have not substantively changed the application of our policies, and there have been no material changes in assumptions or estimation techniques used as compared to those described in the 2025 Annual Report.</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Off-Balance Sheet Arrangements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do not currently have any off-balance sheet arrangements.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BF2115"/>
          <w:sz w:val="24"/>
        </w:rPr>
      </w:pPr>
      <w:r>
        <w:rPr>
          <w:rFonts w:ascii="Times New Roman;serif" w:hAnsi="Times New Roman;serif"/>
          <w:b/>
          <w:color w:val="BF2115"/>
          <w:sz w:val="24"/>
        </w:rPr>
        <w:t>Item 3. Quantitative and Qualitative Disclosures About Market Risk</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Market risk is the risk of loss arising from adverse changes in market rates and prices, such as interest rates, foreign currency exchange rates and commodity prices. We are exposed to changes in interest rates primarily from variable rate long-term debt arrangements. We manage our interest rate risk by monitoring interest rates, including future projected rates, and adjusting our mix of fixed and variable rate borrowings.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2026, long-term variable-rate borrowings totaled $6.0 billion under the CEI Term Loans, the CVA Delayed Draw Term Loan and the CEI Revolving Credit Facility, and no amounts were outstanding under the CVA Revolving Credit Facility. As of June 30, 2026, long-term variable-rate borrowings under the CEI Term Loans, the CVA Delayed Draw Term Loan and the CEI Revolving Credit Facility represented approximately 51% of consolidated long-term debt and the weighted average interest rates on our variable and fixed rate debt were 5.87% and 6.18%, respectively.</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All of the variable rate debt instruments are subject to Term SOFR interest rates or a base rate plus a margin.</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evaluate our exposure to market risk by monitoring interest rates in the marketplace and have, on occasion, utilized derivative financial instruments to help manage this risk. We do not utilize derivative financial instruments for trading purposes.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04165"/>
                <wp:effectExtent l="0" t="0" r="0" b="0"/>
                <wp:wrapNone/>
                <wp:docPr id="43" name="Frame42"/>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25bc4ccd358f439aa099948f0102ebf8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25bc4ccd358f439aa099948f0102ebf8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60" w:after="283"/>
        <w:ind w:left="0" w:right="0" w:hanging="360"/>
        <w:jc w:val="both"/>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There have been no other material quantitative changes in our market risk exposure, or how such risks are managed from the information previously reported under Part II, Item 7A of the 2025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BF2115"/>
          <w:sz w:val="24"/>
        </w:rPr>
      </w:pPr>
      <w:r>
        <w:rPr>
          <w:rFonts w:ascii="Times New Roman;serif" w:hAnsi="Times New Roman;serif"/>
          <w:b/>
          <w:color w:val="BF2115"/>
          <w:sz w:val="24"/>
        </w:rPr>
        <w:t>Item 4. Controls and Procedures</w:t>
      </w:r>
    </w:p>
    <w:p>
      <w:pPr>
        <w:pStyle w:val="TextBody"/>
        <w:bidi w:val="0"/>
        <w:spacing w:lineRule="auto" w:line="288" w:before="180" w:after="283"/>
        <w:jc w:val="both"/>
        <w:rPr/>
      </w:pPr>
      <w:r>
        <w:rPr>
          <w:rFonts w:ascii="Times New Roman;serif" w:hAnsi="Times New Roman;serif"/>
          <w:b w:val="false"/>
          <w:color w:val="000000"/>
          <w:sz w:val="20"/>
        </w:rPr>
        <w:t>(a)</w:t>
      </w:r>
      <w:r>
        <w:rPr>
          <w:rFonts w:ascii="Times New Roman;serif" w:hAnsi="Times New Roman;serif"/>
          <w:b w:val="false"/>
          <w:color w:val="000000"/>
          <w:sz w:val="20"/>
        </w:rPr>
        <w:t>Evaluation of Disclosure Controls and Procedures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have established and maintain disclosure controls and procedures that are designed to ensure that information required to be disclosed in our reports that we file under the Securities Exchange Act of 1934, as amended (the “Exchange Act”), is recorded, processed, summarized, evaluated and reported within the time periods specified in the rules and forms of the SEC, and that such information is accumulated and communicated to our management, including our principal executive officer and principal financial officer, as appropriate, to allow timely decisions regarding required disclosure.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carried out an evaluation, under the supervision and with the participation of our Chief Executive Officer (principal executive officer) and Chief Financial Officer (principal financial officer), of the effectiveness of our disclosure controls and procedures (as defined in Exchange Act Rules 13a-15(e) and 15d-15(e)) as of the end of the period covered by this Quarterly Report on Form 10-Q. Based on this evaluation, our Chief Executive Officer and Chief Financial Officer have concluded that our disclosure controls and procedures as of the end of the period covered by this Quarterly Report on Form 10-Q are effective to ensure that the information required to be disclosed by us in the reports that we file under the Exchange Act is recorded, processed, summarized, evaluated and reported within the time periods specified in SEC rules and forms and that such information is accumulated and communicated to management, including our Chief Executive Officer and Chief Financial Officer, to allow timely decisions regarding required disclosure.</w:t>
      </w:r>
    </w:p>
    <w:p>
      <w:pPr>
        <w:pStyle w:val="TextBody"/>
        <w:bidi w:val="0"/>
        <w:spacing w:lineRule="auto" w:line="288" w:before="180" w:after="283"/>
        <w:jc w:val="both"/>
        <w:rPr/>
      </w:pPr>
      <w:r>
        <w:rPr>
          <w:rFonts w:ascii="Times New Roman;serif" w:hAnsi="Times New Roman;serif"/>
          <w:b w:val="false"/>
          <w:color w:val="000000"/>
          <w:sz w:val="20"/>
        </w:rPr>
        <w:t>(b)</w:t>
      </w:r>
      <w:r>
        <w:rPr>
          <w:rFonts w:ascii="Times New Roman;serif" w:hAnsi="Times New Roman;serif"/>
          <w:b w:val="false"/>
          <w:color w:val="000000"/>
          <w:sz w:val="20"/>
        </w:rPr>
        <w:t>Changes in Internal Controls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There were no significant changes in our internal control over financial reporting during the period covered by this Quarterly Report on Form 10</w:t>
        <w:noBreakHyphen/>
        <w:t>Q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04165"/>
                <wp:effectExtent l="0" t="0" r="0" b="0"/>
                <wp:wrapNone/>
                <wp:docPr id="44" name="Frame43"/>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25bc4ccd358f439aa099948f0102ebf8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25bc4ccd358f439aa099948f0102ebf8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60" w:after="283"/>
        <w:ind w:left="0" w:right="0" w:hanging="360"/>
        <w:jc w:val="both"/>
        <w:rPr/>
      </w:pPr>
      <w:r>
        <w:rPr/>
      </w:r>
    </w:p>
    <w:p>
      <w:pPr>
        <w:pStyle w:val="TextBody"/>
        <w:bidi w:val="0"/>
        <w:spacing w:lineRule="auto" w:line="288" w:before="180" w:after="283"/>
        <w:jc w:val="center"/>
        <w:rPr>
          <w:rFonts w:ascii="Times New Roman;serif" w:hAnsi="Times New Roman;serif"/>
          <w:b/>
          <w:color w:val="BF2115"/>
          <w:sz w:val="24"/>
        </w:rPr>
      </w:pPr>
      <w:r>
        <w:rPr>
          <w:rFonts w:ascii="Times New Roman;serif" w:hAnsi="Times New Roman;serif"/>
          <w:b/>
          <w:color w:val="BF2115"/>
          <w:sz w:val="24"/>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BF2115"/>
          <w:sz w:val="24"/>
        </w:rPr>
      </w:pPr>
      <w:r>
        <w:rPr>
          <w:rFonts w:ascii="Times New Roman;serif" w:hAnsi="Times New Roman;serif"/>
          <w:b/>
          <w:color w:val="BF2115"/>
          <w:sz w:val="24"/>
        </w:rPr>
        <w:t xml:space="preserve">Item 1. Legal Proceedings </w:t>
      </w:r>
    </w:p>
    <w:p>
      <w:pPr>
        <w:pStyle w:val="TextBody"/>
        <w:bidi w:val="0"/>
        <w:spacing w:lineRule="auto" w:line="288" w:before="180" w:after="283"/>
        <w:jc w:val="both"/>
        <w:rPr/>
      </w:pPr>
      <w:r>
        <w:rPr>
          <w:rFonts w:ascii="Times New Roman;serif" w:hAnsi="Times New Roman;serif"/>
          <w:b w:val="false"/>
          <w:color w:val="000000"/>
          <w:sz w:val="20"/>
        </w:rPr>
        <w:t xml:space="preserve">For a discussion of our “Legal Proceedings,” refer to </w:t>
      </w:r>
      <w:hyperlink w:anchor="i25bc4ccd358f439aa099948f0102ebf8_49">
        <w:r>
          <w:rPr>
            <w:rStyle w:val="InternetLink"/>
            <w:rFonts w:ascii="Times New Roman;serif" w:hAnsi="Times New Roman;serif"/>
            <w:b w:val="false"/>
            <w:color w:val="0000FF"/>
            <w:sz w:val="20"/>
            <w:u w:val="single"/>
          </w:rPr>
          <w:t>Note 5</w:t>
        </w:r>
      </w:hyperlink>
      <w:r>
        <w:rPr>
          <w:color w:val="000000"/>
        </w:rPr>
        <w:t xml:space="preserve"> </w:t>
      </w:r>
      <w:r>
        <w:rPr>
          <w:rFonts w:ascii="Times New Roman;serif" w:hAnsi="Times New Roman;serif"/>
          <w:b w:val="false"/>
          <w:color w:val="000000"/>
          <w:sz w:val="20"/>
        </w:rPr>
        <w:t>to our Consolidated Condensed Financial Statements located elsewhere in this Quarterly Report on Form 10-Q and Note 8 to our Consolidated Financial Statements included in the 2025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BF2115"/>
          <w:sz w:val="24"/>
        </w:rPr>
      </w:pPr>
      <w:r>
        <w:rPr>
          <w:rFonts w:ascii="Times New Roman;serif" w:hAnsi="Times New Roman;serif"/>
          <w:b/>
          <w:color w:val="BF2115"/>
          <w:sz w:val="24"/>
        </w:rPr>
        <w:t>Cautionary Statements Regarding Forward-Looking Information</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This report includes “forward-looking statements” within the meaning of Section 27A of the Securities Act of 1933, as amended, and Section 21E of the Securities Exchange Act of 1934, as amended. Forward-looking statements include statements regarding our strategies, objectives and plans for future development or acquisitions of properties or operations, as well as expectations, future operating results, trends and other information that is not historical information. When used in this report, the terms or phrases such as “anticipates,” “believes,” “projects,” “plans,” “intends,” “expects,” “might,” “may,” “estimates,” “could,” “should,” “would,” “will likely continue,” and variations of such words or similar expressions and their negative forms are intended to identify forward-looking statements. These statements are made on the basis of management’s current views and assumptions regarding future events.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Forward-looking statements are based upon certain underlying assumptions, including any assumptions mentioned with the specific statements, as of the date such statements were made. Such assumptions are in turn based upon internal estimates and analyses of market conditions and trends, management plans and strategies, economic conditions and other factors. Such forward-looking statements are only predictions and involve known and unknown risks and uncertainties, many of which are beyond our control, and are subject to change. By their nature, forward-looking statements involve risks and uncertainties because they relate to events and depend upon future circumstances that may not occur. Actual results and trends may differ materially from any future results, trends, performance or achievements expressed or implied by such statements. Forward-looking statements speak only as of the date they are made, and we assume no duty to update forward-looking statements. Forward-looking statements should not be regarded as a representation by us or any other person that the forward-looking statements will be achieved. Undue reliance should not be placed on any forward-looking statements. Some of the contingencies and uncertainties to which any forward-looking statement contained herein are subject include, but are not limited to, the following:</w:t>
      </w:r>
    </w:p>
    <w:p>
      <w:pPr>
        <w:pStyle w:val="TextBody"/>
        <w:bidi w:val="0"/>
        <w:spacing w:lineRule="auto" w:line="288" w:before="180" w:after="283"/>
        <w:ind w:left="0" w:right="0" w:hanging="720"/>
        <w:jc w:val="both"/>
        <w:rPr/>
      </w:pPr>
      <w:r>
        <w:rPr>
          <w:color w:val="000000"/>
        </w:rPr>
        <w:t>•</w:t>
      </w:r>
      <w:r>
        <w:rPr>
          <w:rFonts w:ascii="Times New Roman;serif" w:hAnsi="Times New Roman;serif"/>
          <w:b w:val="false"/>
          <w:color w:val="000000"/>
          <w:sz w:val="20"/>
        </w:rPr>
        <w:t xml:space="preserve">risks related to the Merger, including, but not limited to: (a) risks related to the combination of the Company and Fertitta Gaming and the integration of their respective businesses and assets; (b) the inability to consummate the proposed transaction within the anticipated time period, or at all, due to any reason, including the failure to obtain stockholder approval to adopt the Merger Agreement, the failure to obtain required regulatory approvals for the proposed transaction or the failure to satisfy the other conditions to the consummation of the proposed transaction; (c) the risk that the financing required to fund the proposed transaction is not obtained on the terms anticipated or at all; (d) potential adverse reactions or changes to business or employee relationships, including those resulting from the announcement or completion of the proposed transaction, such as the ability of the Company to maintain relationships with its customers, suppliers and others with whom it does business; (e) the nature, cost and outcome of any litigation and other legal proceedings, including any such proceedings related to the proposed transaction and instituted against the Company and/or its directors, executive officers or other related persons; (f) the possibility that the anticipated benefits of the proposed transaction, including cost savings and expected synergies, are not realized when expected or at all, including as a result of the impact of, or issues arising from, the integration of the two companies; (g) conditions imposed on the companies in order to obtain required regulatory approvals; (h) uncertainties in the global economy and credit markets and its potential impact on Fertitta Gaming’s ability to finance the proposed transaction; (i) the possibility that the proposed transaction may be more expensive to complete than anticipated, including as a result of unexpected factors or events; (j) disruption of the Company’s current plans and operations or diversion of management’s attention from ongoing business operations and opportunities; (k) the ability to retain and hire certain key employees of the Company; (l) risks associated with increased leverage from the proposed transaction; (m) changes in the value of the Company’s common stock between the date of the Merger Agreement and the closing of the proposed transaction or that the Company’s stock price may decline significantly if the proposed transaction is not consummated; (n) competitive responses to the proposed transaction; (o) legislative, regulatory and economic developments; (p) uncertainties as to the timing of the consummation of the proposed transaction and the ability of each party to consummate the proposed transaction; (q) the risk that the Merger Agreement may be terminated in circumstances requiring the Company to pay a termination fee; (r) the effect of the announcement of the proposed transaction on the Company’s operating results and business generally; (s) other factors that could affect the Company’s business such as, without limitation, changes in national, regional and local economic and market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04165"/>
                <wp:effectExtent l="0" t="0" r="0" b="0"/>
                <wp:wrapNone/>
                <wp:docPr id="45" name="Frame44"/>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25bc4ccd358f439aa099948f0102ebf8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25bc4ccd358f439aa099948f0102ebf8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60" w:after="283"/>
        <w:ind w:left="0" w:right="0" w:hanging="360"/>
        <w:jc w:val="both"/>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conditions, legislative and regulatory matters, increases in gaming taxes and fees in the jurisdictions in which we operate, litigation, increased competition, reliance on key personnel, our ability to comply with covenants in our debt instruments, terrorist incidents, natural disasters, severe weather conditions (including weather or road conditions that limit access to our properties), the effects of environmental and structural building conditions, the effects of disruptions to our information technology and other systems and infrastructure and factors affecting the gaming, entertainment and hospitality industries generally; (t) other risks to consummation of the proposed transaction, including the risk that the proposed transaction will not be consummated within the expected time or at all; </w:t>
      </w:r>
    </w:p>
    <w:p>
      <w:pPr>
        <w:pStyle w:val="TextBody"/>
        <w:bidi w:val="0"/>
        <w:spacing w:lineRule="auto" w:line="288" w:before="60" w:after="283"/>
        <w:ind w:left="0" w:right="0" w:hanging="720"/>
        <w:jc w:val="both"/>
        <w:rPr/>
      </w:pPr>
      <w:r>
        <w:rPr>
          <w:color w:val="000000"/>
        </w:rPr>
        <w:t>•</w:t>
      </w:r>
      <w:r>
        <w:rPr>
          <w:rFonts w:ascii="Times New Roman;serif" w:hAnsi="Times New Roman;serif"/>
          <w:b w:val="false"/>
          <w:color w:val="000000"/>
          <w:sz w:val="20"/>
        </w:rPr>
        <w:t>our sensitivity to reductions in discretionary consumer spending as a result of downturns in the economy and other factors outside our control;</w:t>
      </w:r>
    </w:p>
    <w:p>
      <w:pPr>
        <w:pStyle w:val="TextBody"/>
        <w:bidi w:val="0"/>
        <w:spacing w:lineRule="auto" w:line="288" w:before="60" w:after="283"/>
        <w:ind w:left="0" w:right="0" w:hanging="720"/>
        <w:jc w:val="both"/>
        <w:rPr/>
      </w:pPr>
      <w:r>
        <w:rPr>
          <w:color w:val="000000"/>
        </w:rPr>
        <w:t>•</w:t>
      </w:r>
      <w:r>
        <w:rPr>
          <w:rFonts w:ascii="Times New Roman;serif" w:hAnsi="Times New Roman;serif"/>
          <w:b w:val="false"/>
          <w:color w:val="000000"/>
          <w:sz w:val="20"/>
        </w:rPr>
        <w:t>projections of future results of operations or financial condition;</w:t>
      </w:r>
    </w:p>
    <w:p>
      <w:pPr>
        <w:pStyle w:val="TextBody"/>
        <w:bidi w:val="0"/>
        <w:spacing w:lineRule="auto" w:line="288" w:before="60" w:after="283"/>
        <w:ind w:left="0" w:right="0" w:hanging="720"/>
        <w:jc w:val="both"/>
        <w:rPr/>
      </w:pPr>
      <w:r>
        <w:rPr>
          <w:color w:val="000000"/>
        </w:rPr>
        <w:t>•</w:t>
      </w:r>
      <w:r>
        <w:rPr>
          <w:rFonts w:ascii="Times New Roman;serif" w:hAnsi="Times New Roman;serif"/>
          <w:b w:val="false"/>
          <w:color w:val="000000"/>
          <w:sz w:val="20"/>
        </w:rPr>
        <w:t>expectations regarding our business and results of operations of our existing casino properties and prospects for future development;</w:t>
      </w:r>
    </w:p>
    <w:p>
      <w:pPr>
        <w:pStyle w:val="TextBody"/>
        <w:bidi w:val="0"/>
        <w:spacing w:lineRule="auto" w:line="288" w:before="60" w:after="283"/>
        <w:ind w:left="0" w:right="0" w:hanging="720"/>
        <w:jc w:val="both"/>
        <w:rPr/>
      </w:pPr>
      <w:r>
        <w:rPr>
          <w:color w:val="000000"/>
        </w:rPr>
        <w:t>•</w:t>
      </w:r>
      <w:r>
        <w:rPr>
          <w:rFonts w:ascii="Times New Roman;serif" w:hAnsi="Times New Roman;serif"/>
          <w:b w:val="false"/>
          <w:color w:val="000000"/>
          <w:sz w:val="20"/>
        </w:rPr>
        <w:t>the impact of economic trends, inflation, and public health emergencies on our business and financial condition;</w:t>
      </w:r>
    </w:p>
    <w:p>
      <w:pPr>
        <w:pStyle w:val="TextBody"/>
        <w:bidi w:val="0"/>
        <w:spacing w:lineRule="auto" w:line="288" w:before="60" w:after="283"/>
        <w:ind w:left="0" w:right="0" w:hanging="720"/>
        <w:jc w:val="both"/>
        <w:rPr/>
      </w:pPr>
      <w:r>
        <w:rPr>
          <w:color w:val="000000"/>
        </w:rPr>
        <w:t>•</w:t>
      </w:r>
      <w:r>
        <w:rPr>
          <w:rFonts w:ascii="Times New Roman;serif" w:hAnsi="Times New Roman;serif"/>
          <w:b w:val="false"/>
          <w:color w:val="000000"/>
          <w:sz w:val="20"/>
        </w:rPr>
        <w:t>expectations regarding trends that will affect our market and the gaming industry generally, including expansion of internet betting and gaming, and the impact of those trends on our business and results of operations;</w:t>
      </w:r>
    </w:p>
    <w:p>
      <w:pPr>
        <w:pStyle w:val="TextBody"/>
        <w:bidi w:val="0"/>
        <w:spacing w:lineRule="auto" w:line="288" w:before="60" w:after="283"/>
        <w:ind w:left="0" w:right="0" w:hanging="720"/>
        <w:jc w:val="both"/>
        <w:rPr/>
      </w:pPr>
      <w:r>
        <w:rPr>
          <w:color w:val="000000"/>
        </w:rPr>
        <w:t>•</w:t>
      </w:r>
      <w:r>
        <w:rPr>
          <w:rFonts w:ascii="Times New Roman;serif" w:hAnsi="Times New Roman;serif"/>
          <w:b w:val="false"/>
          <w:color w:val="000000"/>
          <w:sz w:val="20"/>
        </w:rPr>
        <w:t>our ability to comply with the covenants in the agreements governing our outstanding indebtedness and leases;</w:t>
      </w:r>
    </w:p>
    <w:p>
      <w:pPr>
        <w:pStyle w:val="TextBody"/>
        <w:bidi w:val="0"/>
        <w:spacing w:lineRule="auto" w:line="288" w:before="60" w:after="283"/>
        <w:ind w:left="0" w:right="0" w:hanging="720"/>
        <w:jc w:val="both"/>
        <w:rPr/>
      </w:pPr>
      <w:r>
        <w:rPr>
          <w:color w:val="000000"/>
        </w:rPr>
        <w:t>•</w:t>
      </w:r>
      <w:r>
        <w:rPr>
          <w:rFonts w:ascii="Times New Roman;serif" w:hAnsi="Times New Roman;serif"/>
          <w:b w:val="false"/>
          <w:color w:val="000000"/>
          <w:sz w:val="20"/>
        </w:rPr>
        <w:t>our ability to meet our projected debt service obligations, operating expenses, and maintenance capital expenditures;</w:t>
      </w:r>
    </w:p>
    <w:p>
      <w:pPr>
        <w:pStyle w:val="TextBody"/>
        <w:bidi w:val="0"/>
        <w:spacing w:lineRule="auto" w:line="288" w:before="60" w:after="283"/>
        <w:ind w:left="0" w:right="0" w:hanging="720"/>
        <w:jc w:val="both"/>
        <w:rPr/>
      </w:pPr>
      <w:r>
        <w:rPr>
          <w:color w:val="000000"/>
        </w:rPr>
        <w:t>•</w:t>
      </w:r>
      <w:r>
        <w:rPr>
          <w:rFonts w:ascii="Times New Roman;serif" w:hAnsi="Times New Roman;serif"/>
          <w:b w:val="false"/>
          <w:color w:val="000000"/>
          <w:sz w:val="20"/>
        </w:rPr>
        <w:t>expectations regarding availability of capital resources;</w:t>
      </w:r>
    </w:p>
    <w:p>
      <w:pPr>
        <w:pStyle w:val="TextBody"/>
        <w:bidi w:val="0"/>
        <w:spacing w:lineRule="auto" w:line="288" w:before="60" w:after="283"/>
        <w:ind w:left="0" w:right="0" w:hanging="720"/>
        <w:jc w:val="both"/>
        <w:rPr/>
      </w:pPr>
      <w:r>
        <w:rPr>
          <w:color w:val="000000"/>
        </w:rPr>
        <w:t>•</w:t>
      </w:r>
      <w:r>
        <w:rPr>
          <w:rFonts w:ascii="Times New Roman;serif" w:hAnsi="Times New Roman;serif"/>
          <w:b w:val="false"/>
          <w:color w:val="000000"/>
          <w:sz w:val="20"/>
        </w:rPr>
        <w:t>our intention to pursue development opportunities and additional acquisitions and divestitures;</w:t>
      </w:r>
    </w:p>
    <w:p>
      <w:pPr>
        <w:pStyle w:val="TextBody"/>
        <w:bidi w:val="0"/>
        <w:spacing w:lineRule="auto" w:line="288" w:before="60" w:after="283"/>
        <w:ind w:left="0" w:right="0" w:hanging="720"/>
        <w:jc w:val="both"/>
        <w:rPr/>
      </w:pPr>
      <w:r>
        <w:rPr>
          <w:color w:val="000000"/>
        </w:rPr>
        <w:t>•</w:t>
      </w:r>
      <w:r>
        <w:rPr>
          <w:rFonts w:ascii="Times New Roman;serif" w:hAnsi="Times New Roman;serif"/>
          <w:b w:val="false"/>
          <w:color w:val="000000"/>
          <w:sz w:val="20"/>
        </w:rPr>
        <w:t>our ability to complete dispositions and divestitures and effectively reinvest the proceeds thereof;</w:t>
      </w:r>
    </w:p>
    <w:p>
      <w:pPr>
        <w:pStyle w:val="TextBody"/>
        <w:bidi w:val="0"/>
        <w:spacing w:lineRule="auto" w:line="288" w:before="60" w:after="283"/>
        <w:ind w:left="0" w:right="0" w:hanging="720"/>
        <w:jc w:val="both"/>
        <w:rPr/>
      </w:pPr>
      <w:r>
        <w:rPr>
          <w:color w:val="000000"/>
        </w:rPr>
        <w:t>•</w:t>
      </w:r>
      <w:r>
        <w:rPr>
          <w:rFonts w:ascii="Times New Roman;serif" w:hAnsi="Times New Roman;serif"/>
          <w:b w:val="false"/>
          <w:color w:val="000000"/>
          <w:sz w:val="20"/>
        </w:rPr>
        <w:t>the ability to identify suitable acquisition opportunities and realize growth and cost synergies from any future acquisitions;</w:t>
      </w:r>
    </w:p>
    <w:p>
      <w:pPr>
        <w:pStyle w:val="TextBody"/>
        <w:bidi w:val="0"/>
        <w:spacing w:lineRule="auto" w:line="288" w:before="60" w:after="283"/>
        <w:ind w:left="0" w:right="0" w:hanging="720"/>
        <w:jc w:val="both"/>
        <w:rPr/>
      </w:pPr>
      <w:r>
        <w:rPr>
          <w:color w:val="000000"/>
        </w:rPr>
        <w:t>•</w:t>
      </w:r>
      <w:r>
        <w:rPr>
          <w:rFonts w:ascii="Times New Roman;serif" w:hAnsi="Times New Roman;serif"/>
          <w:b w:val="false"/>
          <w:color w:val="000000"/>
          <w:sz w:val="20"/>
        </w:rPr>
        <w:t>the impact of regulation on our business and our ability to receive and maintain necessary approvals for our existing properties, future projects and the operation of our online sportsbook, poker and iGaming applications;</w:t>
      </w:r>
    </w:p>
    <w:p>
      <w:pPr>
        <w:pStyle w:val="TextBody"/>
        <w:bidi w:val="0"/>
        <w:spacing w:lineRule="auto" w:line="288" w:before="60" w:after="283"/>
        <w:ind w:left="0" w:right="0" w:hanging="720"/>
        <w:jc w:val="both"/>
        <w:rPr/>
      </w:pPr>
      <w:r>
        <w:rPr>
          <w:color w:val="000000"/>
        </w:rPr>
        <w:t>•</w:t>
      </w:r>
      <w:r>
        <w:rPr>
          <w:rFonts w:ascii="Times New Roman;serif" w:hAnsi="Times New Roman;serif"/>
          <w:b w:val="false"/>
          <w:color w:val="000000"/>
          <w:sz w:val="20"/>
        </w:rPr>
        <w:t>the effect of disruptions or corruption to our information technology and other systems and infrastructure;</w:t>
      </w:r>
    </w:p>
    <w:p>
      <w:pPr>
        <w:pStyle w:val="TextBody"/>
        <w:bidi w:val="0"/>
        <w:spacing w:lineRule="auto" w:line="288" w:before="60" w:after="283"/>
        <w:ind w:left="0" w:right="0" w:hanging="720"/>
        <w:jc w:val="both"/>
        <w:rPr/>
      </w:pPr>
      <w:r>
        <w:rPr>
          <w:color w:val="000000"/>
        </w:rPr>
        <w:t>•</w:t>
      </w:r>
      <w:r>
        <w:rPr>
          <w:rFonts w:ascii="Times New Roman;serif" w:hAnsi="Times New Roman;serif"/>
          <w:b w:val="false"/>
          <w:color w:val="000000"/>
          <w:sz w:val="20"/>
        </w:rPr>
        <w:t>potential compromises of our information systems or unauthorized access to confidential information and customer data;</w:t>
      </w:r>
    </w:p>
    <w:p>
      <w:pPr>
        <w:pStyle w:val="TextBody"/>
        <w:bidi w:val="0"/>
        <w:spacing w:lineRule="auto" w:line="288" w:before="60" w:after="283"/>
        <w:ind w:left="0" w:right="0" w:hanging="720"/>
        <w:jc w:val="both"/>
        <w:rPr/>
      </w:pPr>
      <w:r>
        <w:rPr>
          <w:color w:val="000000"/>
        </w:rPr>
        <w:t>•</w:t>
      </w:r>
      <w:r>
        <w:rPr>
          <w:rFonts w:ascii="Times New Roman;serif" w:hAnsi="Times New Roman;serif"/>
          <w:b w:val="false"/>
          <w:color w:val="000000"/>
          <w:sz w:val="20"/>
        </w:rPr>
        <w:t xml:space="preserve">the impact of the Data Incident (as defined in the 2025 Annual Report) and any other future cybersecurity breaches on our business, financial conditions and results of operations; </w:t>
      </w:r>
    </w:p>
    <w:p>
      <w:pPr>
        <w:pStyle w:val="TextBody"/>
        <w:bidi w:val="0"/>
        <w:spacing w:lineRule="auto" w:line="288" w:before="60" w:after="283"/>
        <w:ind w:left="0" w:right="0" w:hanging="720"/>
        <w:jc w:val="both"/>
        <w:rPr/>
      </w:pPr>
      <w:r>
        <w:rPr>
          <w:color w:val="000000"/>
        </w:rPr>
        <w:t>•</w:t>
      </w:r>
      <w:r>
        <w:rPr>
          <w:rFonts w:ascii="Times New Roman;serif" w:hAnsi="Times New Roman;serif"/>
          <w:b w:val="false"/>
          <w:color w:val="000000"/>
          <w:sz w:val="20"/>
        </w:rPr>
        <w:t>factors impacting our ability to successfully operate our digital betting and iGaming platform and expand its user base;</w:t>
      </w:r>
    </w:p>
    <w:p>
      <w:pPr>
        <w:pStyle w:val="TextBody"/>
        <w:bidi w:val="0"/>
        <w:spacing w:lineRule="auto" w:line="288" w:before="60" w:after="283"/>
        <w:ind w:left="0" w:right="0" w:hanging="720"/>
        <w:jc w:val="both"/>
        <w:rPr/>
      </w:pPr>
      <w:r>
        <w:rPr>
          <w:color w:val="000000"/>
        </w:rPr>
        <w:t>•</w:t>
      </w:r>
      <w:r>
        <w:rPr>
          <w:rFonts w:ascii="Times New Roman;serif" w:hAnsi="Times New Roman;serif"/>
          <w:b w:val="false"/>
          <w:color w:val="000000"/>
          <w:sz w:val="20"/>
        </w:rPr>
        <w:t>our ability to adapt to the very competitive environments in which we operate, including the online market;</w:t>
      </w:r>
    </w:p>
    <w:p>
      <w:pPr>
        <w:pStyle w:val="TextBody"/>
        <w:bidi w:val="0"/>
        <w:spacing w:lineRule="auto" w:line="288" w:before="60" w:after="283"/>
        <w:ind w:left="0" w:right="0" w:hanging="720"/>
        <w:jc w:val="both"/>
        <w:rPr/>
      </w:pPr>
      <w:r>
        <w:rPr>
          <w:color w:val="000000"/>
        </w:rPr>
        <w:t>•</w:t>
      </w:r>
      <w:r>
        <w:rPr>
          <w:rFonts w:ascii="Times New Roman;serif" w:hAnsi="Times New Roman;serif"/>
          <w:b w:val="false"/>
          <w:color w:val="000000"/>
          <w:sz w:val="20"/>
        </w:rPr>
        <w:t>the impact of win rates and liability management risks on our results of operations;</w:t>
      </w:r>
    </w:p>
    <w:p>
      <w:pPr>
        <w:pStyle w:val="TextBody"/>
        <w:bidi w:val="0"/>
        <w:spacing w:lineRule="auto" w:line="288" w:before="60" w:after="283"/>
        <w:ind w:left="0" w:right="0" w:hanging="720"/>
        <w:jc w:val="both"/>
        <w:rPr/>
      </w:pPr>
      <w:r>
        <w:rPr>
          <w:color w:val="000000"/>
        </w:rPr>
        <w:t>•</w:t>
      </w:r>
      <w:r>
        <w:rPr>
          <w:rFonts w:ascii="Times New Roman;serif" w:hAnsi="Times New Roman;serif"/>
          <w:b w:val="false"/>
          <w:color w:val="000000"/>
          <w:sz w:val="20"/>
        </w:rPr>
        <w:t>our reliance on third parties for strategic relationships and essential services;</w:t>
      </w:r>
    </w:p>
    <w:p>
      <w:pPr>
        <w:pStyle w:val="TextBody"/>
        <w:bidi w:val="0"/>
        <w:spacing w:lineRule="auto" w:line="288" w:before="60" w:after="283"/>
        <w:ind w:left="0" w:right="0" w:hanging="720"/>
        <w:jc w:val="both"/>
        <w:rPr/>
      </w:pPr>
      <w:r>
        <w:rPr>
          <w:color w:val="000000"/>
        </w:rPr>
        <w:t>•</w:t>
      </w:r>
      <w:r>
        <w:rPr>
          <w:rFonts w:ascii="Times New Roman;serif" w:hAnsi="Times New Roman;serif"/>
          <w:b w:val="false"/>
          <w:color w:val="000000"/>
          <w:sz w:val="20"/>
        </w:rPr>
        <w:t>costs associated with investments in our online offerings and technological and strategic initiatives;</w:t>
      </w:r>
    </w:p>
    <w:p>
      <w:pPr>
        <w:pStyle w:val="TextBody"/>
        <w:bidi w:val="0"/>
        <w:spacing w:lineRule="auto" w:line="288" w:before="60" w:after="283"/>
        <w:ind w:left="0" w:right="0" w:hanging="720"/>
        <w:jc w:val="both"/>
        <w:rPr/>
      </w:pPr>
      <w:r>
        <w:rPr>
          <w:color w:val="000000"/>
        </w:rPr>
        <w:t>•</w:t>
      </w:r>
      <w:r>
        <w:rPr>
          <w:rFonts w:ascii="Times New Roman;serif" w:hAnsi="Times New Roman;serif"/>
          <w:b w:val="false"/>
          <w:color w:val="000000"/>
          <w:sz w:val="20"/>
        </w:rPr>
        <w:t>risk relating to fraud, theft and cheating;</w:t>
      </w:r>
    </w:p>
    <w:p>
      <w:pPr>
        <w:pStyle w:val="TextBody"/>
        <w:bidi w:val="0"/>
        <w:spacing w:lineRule="auto" w:line="288" w:before="60" w:after="283"/>
        <w:ind w:left="0" w:right="0" w:hanging="720"/>
        <w:jc w:val="both"/>
        <w:rPr/>
      </w:pPr>
      <w:r>
        <w:rPr>
          <w:color w:val="000000"/>
        </w:rPr>
        <w:t>•</w:t>
      </w:r>
      <w:r>
        <w:rPr>
          <w:rFonts w:ascii="Times New Roman;serif" w:hAnsi="Times New Roman;serif"/>
          <w:b w:val="false"/>
          <w:color w:val="000000"/>
          <w:sz w:val="20"/>
        </w:rPr>
        <w:t>our ability to collect gaming receivables from our credit customers;</w:t>
      </w:r>
    </w:p>
    <w:p>
      <w:pPr>
        <w:pStyle w:val="TextBody"/>
        <w:bidi w:val="0"/>
        <w:spacing w:lineRule="auto" w:line="288" w:before="60" w:after="283"/>
        <w:ind w:left="0" w:right="0" w:hanging="720"/>
        <w:jc w:val="both"/>
        <w:rPr/>
      </w:pPr>
      <w:r>
        <w:rPr>
          <w:color w:val="000000"/>
        </w:rPr>
        <w:t>•</w:t>
      </w:r>
      <w:r>
        <w:rPr>
          <w:rFonts w:ascii="Times New Roman;serif" w:hAnsi="Times New Roman;serif"/>
          <w:b w:val="false"/>
          <w:color w:val="000000"/>
          <w:sz w:val="20"/>
        </w:rPr>
        <w:t>the impact of our substantial indebtedness and significant financial commitments, including our obligations under our lease arrangements;</w:t>
      </w:r>
    </w:p>
    <w:p>
      <w:pPr>
        <w:pStyle w:val="TextBody"/>
        <w:bidi w:val="0"/>
        <w:spacing w:lineRule="auto" w:line="288" w:before="60" w:after="283"/>
        <w:ind w:left="0" w:right="0" w:hanging="720"/>
        <w:jc w:val="both"/>
        <w:rPr/>
      </w:pPr>
      <w:r>
        <w:rPr>
          <w:color w:val="000000"/>
        </w:rPr>
        <w:t>•</w:t>
      </w:r>
      <w:r>
        <w:rPr>
          <w:rFonts w:ascii="Times New Roman;serif" w:hAnsi="Times New Roman;serif"/>
          <w:b w:val="false"/>
          <w:color w:val="000000"/>
          <w:sz w:val="20"/>
        </w:rPr>
        <w:t>restrictions and limitations in agreements governing our debt and leased properties could significantly affect our ability to operate our business and our liquidity;</w:t>
      </w:r>
    </w:p>
    <w:p>
      <w:pPr>
        <w:pStyle w:val="TextBody"/>
        <w:bidi w:val="0"/>
        <w:spacing w:lineRule="auto" w:line="288" w:before="60" w:after="283"/>
        <w:ind w:left="0" w:right="0" w:hanging="720"/>
        <w:jc w:val="both"/>
        <w:rPr/>
      </w:pPr>
      <w:r>
        <w:rPr>
          <w:color w:val="000000"/>
        </w:rPr>
        <w:t>•</w:t>
      </w:r>
      <w:r>
        <w:rPr>
          <w:rFonts w:ascii="Times New Roman;serif" w:hAnsi="Times New Roman;serif"/>
          <w:b w:val="false"/>
          <w:color w:val="000000"/>
          <w:sz w:val="20"/>
        </w:rPr>
        <w:t>financial, operational, regulatory or other potential challenges that may arise as a result of leasing of a number of our properties;</w:t>
      </w:r>
    </w:p>
    <w:p>
      <w:pPr>
        <w:pStyle w:val="TextBody"/>
        <w:bidi w:val="0"/>
        <w:spacing w:lineRule="auto" w:line="288" w:before="60" w:after="283"/>
        <w:ind w:left="0" w:right="0" w:hanging="720"/>
        <w:jc w:val="both"/>
        <w:rPr/>
      </w:pPr>
      <w:r>
        <w:rPr>
          <w:color w:val="000000"/>
        </w:rPr>
        <w:t>•</w:t>
      </w:r>
      <w:r>
        <w:rPr>
          <w:rFonts w:ascii="Times New Roman;serif" w:hAnsi="Times New Roman;serif"/>
          <w:b w:val="false"/>
          <w:color w:val="000000"/>
          <w:sz w:val="20"/>
        </w:rPr>
        <w:t>the impact of governmental regulation on our business and the cost of complying or the impact of failing to comply with such regulations;</w:t>
      </w:r>
    </w:p>
    <w:p>
      <w:pPr>
        <w:pStyle w:val="TextBody"/>
        <w:bidi w:val="0"/>
        <w:spacing w:lineRule="auto" w:line="288" w:before="60" w:after="283"/>
        <w:ind w:left="0" w:right="0" w:hanging="720"/>
        <w:jc w:val="both"/>
        <w:rPr/>
      </w:pPr>
      <w:r>
        <w:rPr>
          <w:color w:val="000000"/>
        </w:rPr>
        <w:t>•</w:t>
      </w:r>
      <w:r>
        <w:rPr>
          <w:rFonts w:ascii="Times New Roman;serif" w:hAnsi="Times New Roman;serif"/>
          <w:b w:val="false"/>
          <w:color w:val="000000"/>
          <w:sz w:val="20"/>
        </w:rPr>
        <w:t>changes in gaming taxes and fees in jurisdictions in which we operate;</w:t>
      </w:r>
    </w:p>
    <w:p>
      <w:pPr>
        <w:pStyle w:val="TextBody"/>
        <w:bidi w:val="0"/>
        <w:spacing w:lineRule="auto" w:line="288" w:before="60" w:after="283"/>
        <w:ind w:left="0" w:right="0" w:hanging="720"/>
        <w:jc w:val="both"/>
        <w:rPr/>
      </w:pPr>
      <w:r>
        <w:rPr>
          <w:color w:val="000000"/>
        </w:rPr>
        <w:t>•</w:t>
      </w:r>
      <w:r>
        <w:rPr>
          <w:rFonts w:ascii="Times New Roman;serif" w:hAnsi="Times New Roman;serif"/>
          <w:b w:val="false"/>
          <w:color w:val="000000"/>
          <w:sz w:val="20"/>
        </w:rPr>
        <w:t>risks relating to pending claims or future claims that may be brought against us;</w:t>
      </w:r>
    </w:p>
    <w:p>
      <w:pPr>
        <w:pStyle w:val="TextBody"/>
        <w:bidi w:val="0"/>
        <w:spacing w:lineRule="auto" w:line="288" w:before="60" w:after="283"/>
        <w:ind w:left="0" w:right="0" w:hanging="720"/>
        <w:jc w:val="both"/>
        <w:rPr/>
      </w:pPr>
      <w:r>
        <w:rPr>
          <w:color w:val="000000"/>
        </w:rPr>
        <w:t>•</w:t>
      </w:r>
      <w:r>
        <w:rPr>
          <w:rFonts w:ascii="Times New Roman;serif" w:hAnsi="Times New Roman;serif"/>
          <w:b w:val="false"/>
          <w:color w:val="000000"/>
          <w:sz w:val="20"/>
        </w:rPr>
        <w:t>changes in interest rates and capital and credit markets;</w:t>
      </w:r>
    </w:p>
    <w:p>
      <w:pPr>
        <w:pStyle w:val="TextBody"/>
        <w:bidi w:val="0"/>
        <w:spacing w:lineRule="auto" w:line="288" w:before="60" w:after="283"/>
        <w:ind w:left="0" w:right="0" w:hanging="720"/>
        <w:jc w:val="both"/>
        <w:rPr/>
      </w:pPr>
      <w:r>
        <w:rPr>
          <w:color w:val="000000"/>
        </w:rPr>
        <w:t>•</w:t>
      </w:r>
      <w:r>
        <w:rPr>
          <w:rFonts w:ascii="Times New Roman;serif" w:hAnsi="Times New Roman;serif"/>
          <w:b w:val="false"/>
          <w:color w:val="000000"/>
          <w:sz w:val="20"/>
        </w:rPr>
        <w:t>the effect of seasonal fluctuations;</w:t>
      </w:r>
    </w:p>
    <w:p>
      <w:pPr>
        <w:pStyle w:val="TextBody"/>
        <w:bidi w:val="0"/>
        <w:spacing w:lineRule="auto" w:line="288" w:before="60" w:after="283"/>
        <w:ind w:left="0" w:right="0" w:hanging="720"/>
        <w:jc w:val="both"/>
        <w:rPr/>
      </w:pPr>
      <w:r>
        <w:rPr>
          <w:color w:val="000000"/>
        </w:rPr>
        <w:t>•</w:t>
      </w:r>
      <w:r>
        <w:rPr>
          <w:rFonts w:ascii="Times New Roman;serif" w:hAnsi="Times New Roman;serif"/>
          <w:b w:val="false"/>
          <w:color w:val="000000"/>
          <w:sz w:val="20"/>
        </w:rPr>
        <w:t xml:space="preserve">our particular sensitivity to energy and water prices; </w:t>
      </w:r>
    </w:p>
    <w:p>
      <w:pPr>
        <w:pStyle w:val="TextBody"/>
        <w:bidi w:val="0"/>
        <w:spacing w:lineRule="auto" w:line="288" w:before="60" w:after="283"/>
        <w:ind w:left="0" w:right="0" w:hanging="720"/>
        <w:jc w:val="both"/>
        <w:rPr/>
      </w:pPr>
      <w:r>
        <w:rPr>
          <w:color w:val="000000"/>
        </w:rPr>
        <w:t>•</w:t>
      </w:r>
      <w:r>
        <w:rPr>
          <w:rFonts w:ascii="Times New Roman;serif" w:hAnsi="Times New Roman;serif"/>
          <w:b w:val="false"/>
          <w:color w:val="000000"/>
          <w:sz w:val="20"/>
        </w:rPr>
        <w:t>deterioration in our reputation or the reputation of our brands;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304165"/>
                <wp:effectExtent l="0" t="0" r="0" b="0"/>
                <wp:wrapNone/>
                <wp:docPr id="46" name="Frame45"/>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25bc4ccd358f439aa099948f0102ebf8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25bc4ccd358f439aa099948f0102ebf8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60" w:after="283"/>
        <w:ind w:left="0" w:right="0" w:hanging="360"/>
        <w:jc w:val="both"/>
        <w:rPr/>
      </w:pPr>
      <w:r>
        <w:rPr/>
      </w:r>
    </w:p>
    <w:p>
      <w:pPr>
        <w:pStyle w:val="TextBody"/>
        <w:bidi w:val="0"/>
        <w:spacing w:lineRule="auto" w:line="288" w:before="60" w:after="283"/>
        <w:ind w:left="0" w:right="0" w:hanging="720"/>
        <w:jc w:val="both"/>
        <w:rPr/>
      </w:pPr>
      <w:r>
        <w:rPr>
          <w:color w:val="000000"/>
        </w:rPr>
        <w:t>•</w:t>
      </w:r>
      <w:r>
        <w:rPr>
          <w:rFonts w:ascii="Times New Roman;serif" w:hAnsi="Times New Roman;serif"/>
          <w:b w:val="false"/>
          <w:color w:val="000000"/>
          <w:sz w:val="20"/>
        </w:rPr>
        <w:t>our reliance on information technology, particularly for our digital business;</w:t>
      </w:r>
    </w:p>
    <w:p>
      <w:pPr>
        <w:pStyle w:val="TextBody"/>
        <w:bidi w:val="0"/>
        <w:spacing w:lineRule="auto" w:line="288" w:before="60" w:after="283"/>
        <w:ind w:left="0" w:right="0" w:hanging="720"/>
        <w:jc w:val="both"/>
        <w:rPr/>
      </w:pPr>
      <w:r>
        <w:rPr>
          <w:color w:val="000000"/>
        </w:rPr>
        <w:t>•</w:t>
      </w:r>
      <w:r>
        <w:rPr>
          <w:rFonts w:ascii="Times New Roman;serif" w:hAnsi="Times New Roman;serif"/>
          <w:b w:val="false"/>
          <w:color w:val="000000"/>
          <w:sz w:val="20"/>
        </w:rPr>
        <w:t>our ability to protect our intellectual property rights;</w:t>
      </w:r>
    </w:p>
    <w:p>
      <w:pPr>
        <w:pStyle w:val="TextBody"/>
        <w:bidi w:val="0"/>
        <w:spacing w:lineRule="auto" w:line="288" w:before="60" w:after="283"/>
        <w:ind w:left="0" w:right="0" w:hanging="720"/>
        <w:jc w:val="both"/>
        <w:rPr/>
      </w:pPr>
      <w:r>
        <w:rPr>
          <w:color w:val="000000"/>
        </w:rPr>
        <w:t>•</w:t>
      </w:r>
      <w:r>
        <w:rPr>
          <w:rFonts w:ascii="Times New Roman;serif" w:hAnsi="Times New Roman;serif"/>
          <w:b w:val="false"/>
          <w:color w:val="000000"/>
          <w:sz w:val="20"/>
        </w:rPr>
        <w:t>our reliance on licenses to use the intellectual property of third parties and our ability to renew or extend our existing licenses;</w:t>
      </w:r>
    </w:p>
    <w:p>
      <w:pPr>
        <w:pStyle w:val="TextBody"/>
        <w:bidi w:val="0"/>
        <w:spacing w:lineRule="auto" w:line="288" w:before="60" w:after="283"/>
        <w:ind w:left="0" w:right="0" w:hanging="720"/>
        <w:jc w:val="both"/>
        <w:rPr/>
      </w:pPr>
      <w:r>
        <w:rPr>
          <w:color w:val="000000"/>
        </w:rPr>
        <w:t>•</w:t>
      </w:r>
      <w:r>
        <w:rPr>
          <w:rFonts w:ascii="Times New Roman;serif" w:hAnsi="Times New Roman;serif"/>
          <w:b w:val="false"/>
          <w:color w:val="000000"/>
          <w:sz w:val="20"/>
        </w:rPr>
        <w:t>the effects of war, terrorist activity, acts of violence, natural disasters and other catastrophic events;</w:t>
      </w:r>
    </w:p>
    <w:p>
      <w:pPr>
        <w:pStyle w:val="TextBody"/>
        <w:bidi w:val="0"/>
        <w:spacing w:lineRule="auto" w:line="288" w:before="60" w:after="283"/>
        <w:ind w:left="0" w:right="0" w:hanging="720"/>
        <w:jc w:val="both"/>
        <w:rPr/>
      </w:pPr>
      <w:r>
        <w:rPr>
          <w:color w:val="000000"/>
        </w:rPr>
        <w:t>•</w:t>
      </w:r>
      <w:r>
        <w:rPr>
          <w:rFonts w:ascii="Times New Roman;serif" w:hAnsi="Times New Roman;serif"/>
          <w:b w:val="false"/>
          <w:color w:val="000000"/>
          <w:sz w:val="20"/>
        </w:rPr>
        <w:t>increased scrutiny and changing expectations regarding our environmental, social and governance practices and reporting;</w:t>
      </w:r>
    </w:p>
    <w:p>
      <w:pPr>
        <w:pStyle w:val="TextBody"/>
        <w:bidi w:val="0"/>
        <w:spacing w:lineRule="auto" w:line="288" w:before="60" w:after="283"/>
        <w:ind w:left="0" w:right="0" w:hanging="720"/>
        <w:jc w:val="both"/>
        <w:rPr/>
      </w:pPr>
      <w:r>
        <w:rPr>
          <w:color w:val="000000"/>
        </w:rPr>
        <w:t>•</w:t>
      </w:r>
      <w:r>
        <w:rPr>
          <w:rFonts w:ascii="Times New Roman;serif" w:hAnsi="Times New Roman;serif"/>
          <w:b w:val="false"/>
          <w:color w:val="000000"/>
          <w:sz w:val="20"/>
        </w:rPr>
        <w:t>our reliance on key personnel and the intense competition to attract and retain management and key employees in the gaming industry;</w:t>
      </w:r>
    </w:p>
    <w:p>
      <w:pPr>
        <w:pStyle w:val="TextBody"/>
        <w:bidi w:val="0"/>
        <w:spacing w:lineRule="auto" w:line="288" w:before="60" w:after="283"/>
        <w:ind w:left="0" w:right="0" w:hanging="720"/>
        <w:jc w:val="both"/>
        <w:rPr/>
      </w:pPr>
      <w:r>
        <w:rPr>
          <w:color w:val="000000"/>
        </w:rPr>
        <w:t>•</w:t>
      </w:r>
      <w:r>
        <w:rPr>
          <w:rFonts w:ascii="Times New Roman;serif" w:hAnsi="Times New Roman;serif"/>
          <w:b w:val="false"/>
          <w:color w:val="000000"/>
          <w:sz w:val="20"/>
        </w:rPr>
        <w:t>work stoppages and other labor problems;</w:t>
      </w:r>
    </w:p>
    <w:p>
      <w:pPr>
        <w:pStyle w:val="TextBody"/>
        <w:bidi w:val="0"/>
        <w:spacing w:lineRule="auto" w:line="288" w:before="60" w:after="283"/>
        <w:ind w:left="0" w:right="0" w:hanging="720"/>
        <w:jc w:val="both"/>
        <w:rPr/>
      </w:pPr>
      <w:r>
        <w:rPr>
          <w:color w:val="000000"/>
        </w:rPr>
        <w:t>•</w:t>
      </w:r>
      <w:r>
        <w:rPr>
          <w:rFonts w:ascii="Times New Roman;serif" w:hAnsi="Times New Roman;serif"/>
          <w:b w:val="false"/>
          <w:color w:val="000000"/>
          <w:sz w:val="20"/>
        </w:rPr>
        <w:t>our ability to secure and retain performers and other entertainment offerings on acceptable terms; and</w:t>
      </w:r>
    </w:p>
    <w:p>
      <w:pPr>
        <w:pStyle w:val="TextBody"/>
        <w:bidi w:val="0"/>
        <w:spacing w:lineRule="auto" w:line="288" w:before="60" w:after="283"/>
        <w:ind w:left="0" w:right="0" w:hanging="720"/>
        <w:jc w:val="both"/>
        <w:rPr/>
      </w:pPr>
      <w:r>
        <w:rPr>
          <w:color w:val="000000"/>
        </w:rPr>
        <w:t>•</w:t>
      </w:r>
      <w:r>
        <w:rPr>
          <w:rFonts w:ascii="Times New Roman;serif" w:hAnsi="Times New Roman;serif"/>
          <w:b w:val="false"/>
          <w:color w:val="000000"/>
          <w:sz w:val="20"/>
        </w:rPr>
        <w:t>other factors described in “Risk Factors” and “Management’s Discussion and Analysis of Financial Condition and Results of Operations” contained in this Quarterly Report on Form 10-Q, our most recent Annual Report on Form 10-K and any subsequent Quarterly Reports on Form 10-Q filed with the SEC.</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 light of these and other risks, uncertainties and assumptions, the forward-looking events discussed in this report might not occur. These forward-looking statements speak only as of the date on which this statement is made, even if subsequently made available on our website or otherwise, and we do not intend to update publicly any forward-looking statement to reflect events or circumstances that occur after the date on which the statement is made, except as may be required by law.</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You should also be aware that while we, from time to time, communicate with securities analysts, we do not disclose to them any material non-public information, internal forecasts or other confidential business information. Therefore, you should not assume that we agree with any statement or report issued by any analyst, irrespective of the content of the statement or report.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To the extent that reports issued by securities analysts contain projections, forecasts or opinions, those reports are not our responsibility and are not endorsed by 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BF2115"/>
          <w:sz w:val="24"/>
        </w:rPr>
      </w:pPr>
      <w:r>
        <w:rPr>
          <w:rFonts w:ascii="Times New Roman;serif" w:hAnsi="Times New Roman;serif"/>
          <w:b/>
          <w:color w:val="BF2115"/>
          <w:sz w:val="24"/>
        </w:rPr>
        <w:t>Item 1A. Risk Factors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following risk factors update and supplement the risk factors contained in the Company’s Annual Report on Form 10-K for the year ended December 31, 2025. We may disclose changes to such factors or disclose additional factors from time to time in our filings with the SEC.</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The announcement and pendency of our agreement to be acquired by Merger Sub may have an adverse effect on our business, operating results and our stock price, and may result in the loss of employees, customers, suppliers, and other business partners.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are subject to risks in connection with the announcement and pendency of the Merger, including, but not limited to, the following:</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market reaction to the announcement of the Merger;</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changes in our business, operations, financial position, and prospects;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market assessments of the likelihood that the Merger will be consummated;</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the merger consideration offered per share will not be increased to account for any positive changes in our business, assets, liabilities, prospects, outlook, financial condition, or results of operations during the pendency of the Merger, including any successful execution of our current strategy as an independent company or in the event of any change in the market price of, analyst estimates of, or projections relating to, our common stock;</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potential adverse effects on our relationships with our current customers, suppliers and other business partners, or those with which we are seeking to establish business relationships, due to uncertainties about the Merger;</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the pendency and outcome of the legal proceedings that have been or may be instituted against us, our directors, executive officers and others relating to the transactions contemplated by the Merger Agreement; and</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the possibility of disruption to our business, including increased costs and diversion of management time and resources that could otherwise have been devoted to other opportunities that may have been beneficial to 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304165"/>
                <wp:effectExtent l="0" t="0" r="0" b="0"/>
                <wp:wrapNone/>
                <wp:docPr id="47" name="Frame46"/>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25bc4ccd358f439aa099948f0102ebf8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25bc4ccd358f439aa099948f0102ebf8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60" w:after="283"/>
        <w:ind w:left="0" w:right="0" w:hanging="360"/>
        <w:jc w:val="both"/>
        <w:rPr/>
      </w:pPr>
      <w:r>
        <w:rPr/>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The Merger is subject to certain conditions, some or all of which may not be satisfied, and the Merger may not be completed on a timely basis, if at all.</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obligations of Fertitta Gaming and the Company to complete the Merger are subject to the satisfaction or waiver of a number of conditions, including, among others, (i) the approval of the Merger by the holders of at least a majority of all of the outstanding shares of Company Common Stock, (ii) the expiration or termination of the applicable waiting period under the HSR Act and (iii) the receipt of certain gaming regulatory approvals.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Although Fertitta Gaming and the Company have agreed in the Merger Agreement to use their reasonable best efforts to complete the Transaction as promptly as practicable, many of the closing conditions are not within Fertitta Gaming’s or the Company’s control, and neither company can predict when or if these conditions will be satisfied. If any of these conditions are not satisfied or waived prior to May 27, 2027, which deadline may be extended to August 27, 2027 and November 27, 2027 in certain circumstances, it is possible that the Merger Agreement will be terminated. The failure to satisfy all of the required conditions could delay the completion of the Merger for a significant period of time or prevent it from occurring. Any delay in completing the Merger could cause us not to realize some or all of the benefits that we expect to achieve if the Merger is successfully completed within the expected timeframe. There can be no assurance that all closing conditions will be satisfied or waived, or that the Merger will be completed, within the expected timeframe or at all.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If the parties determine to waive any of the conditions to the closing of the Merger, such decision may have an adverse effect on the Company and our stockholders.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Failure to complete the Merger could negatively affect our stock price and our future business and financial results.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If the Merger is not completed, our ongoing business, financial condition, financial results and stock price may be materially adversely affected. Without realizing any of the benefits of having completed the Merger, we will be subject to a number of risks, including the following:</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 xml:space="preserve">the market price of our common stock could decline to the extent that the current market price reflects a market assumption that the Merger will be completed;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we may experience negative reactions from our employees and may not be able to retain key management personnel and other key employees;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we will have incurred, and will continue to incur, significant non-recurring costs in connection with the Merger that we may be unable to recover;</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we may experience negative reactions from the financial markets or from suppliers, customers and regulators;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time and resources committed by our management to matters relating to the Merger could otherwise have been devoted to pursuing other beneficial opportunities for the Company;</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we could owe a termination fee of up to $200 million to Fertitta Gaming under certain circumstances;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if the Merger Agreement is terminated and our Board seeks another business combination, there can be no assurance that we will be able to find a party willing to enter into a transaction on terms equivalent to or more attractive than the terms to which Fertitta Gaming has agreed in the Merger Agreement; and</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litigation related to any failure to complete the Merger or related to any enforcement proceeding commenced against us or Fertitta Gaming to perform their respective obligations pursuant to the Merger Agreement.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If any of these risks materialize it could materially adversely impact our ongoing business, financial condition, financial results and stock price. Similarly, delays in the completion of the Merger could, among other things, result in additional transaction costs, loss of revenue or other negative effects associated with uncertainty about completion of the Merger.</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We will incur direct and indirect costs as a result of the Merger, which may be more expensive to complete than anticipated.</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have incurred, and will continue to incur, substantial costs, expenses and fees for professional services and other transaction costs in connection with the Merger. The Merger may be more expensive to complete than anticipated as a result of unexpected factors or events, including, but not limited to, delays in consents or approvals or developments in the political environment. The Company may incur additional costs or suffer loss of business under third-party contracts that are terminated or that contain change in control or other provisions that may be triggered by the completion of the Merger, and/or losses of, or decreases in orders by, customers, and may also incur costs to maintain employee morale and to retain certain key management personnel and employees. The Company will also incur transaction fees and costs related to formulating operational plans, and the execution of these plans may lead to additional unanticipated costs and time delays. Factors beyond our control could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304165"/>
                <wp:effectExtent l="0" t="0" r="0" b="0"/>
                <wp:wrapNone/>
                <wp:docPr id="48" name="Frame47"/>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25bc4ccd358f439aa099948f0102ebf8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25bc4ccd358f439aa099948f0102ebf8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60" w:after="283"/>
        <w:ind w:left="0" w:right="0" w:hanging="360"/>
        <w:jc w:val="both"/>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materially affect the total amount or timing of these expenses, many of which, by their nature, are difficult to estimate accurately. Many of these fees and costs are payable by us regardless of whether the Merger is consummated. </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We are subject to business uncertainties and contractual restrictions while the Merger is pending, which could adversely affect our business, operating results and our stock price.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Under the terms of the Merger Agreement, we are subject to certain restrictions on the conduct of our business prior to completing the Merger, generally requiring us to conduct our businesses in all material respects in the ordinary course of business, to use reasonable best efforts to cooperate in seeking regulatory approvals, and to not engage in certain specified activities without Fertitta Gaming’s prior consent. We may find that these and other obligations in the Merger Agreement may delay or prevent us from responding, or limit our ability to respond, effectively to competitive pressures, industry developments and future business opportunities that may arise during such period, even if our management and board of directors think such responses may be advisable. Such limitations could adversely affect our business, operating results and our stock price and our perceived acquisition value, regardless of whether the Merger is completed. These risks described may be exacerbated by delays or other adverse developments with respect to the completion of the Merger.</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The business relationships of the Company and its subsidiaries may be subject to disruption due to uncertainty associated with the Transaction, which could have an adverse effect on our results of operations, cash flows and financial position.</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Parties with which we, or our subsidiaries, do business may be uncertain as to the effects the Merger may have on them, including with respect to current or future business relationships with us or our subsidiaries. These relationships may be subject to disruption as customers, suppliers and other persons with whom we have a business relationship may delay or defer certain business decisions or might decide to terminate, change or renegotiate their relationships with us or consider entering into business relationships with parties other than us or our respective subsidiaries. These disruptions could have an adverse effect on our results of operations, cash flows and financial position. The risk, and adverse effect, of any disruption could be exacerbated by a delay in completion of the Merger or termination of the Merger Agreement.</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Uncertainties associated with the Merger may cause a loss of our employees during the pendency of the Merger and under Fertitta Gaming’s ownership following the Merger.</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Our current and prospective employees may experience uncertainty about their future roles under Fertitta Gaming’s management following the Merger, which may materially adversely affect our ability to attract, retain, and motivate key personnel during the pendency of the Merger. Our employees could lose productivity as a result of uncertainty regarding their employment following the Merger. Key personnel may depart the Company because of issues relating to the uncertainty and difficulty of the post-closing operations of the Company’s business or a desire not to remain with the Company under Fertitta Gaming’s management following the Transaction. Accordingly, no assurance can be given that we will be able to retain key employees to the same extent that we have been able to in the past. The Company may lose significant expertise and talent relating to the business of the Company. The loss of any member of the senior management team could impair the Company’s ability to execute its business plan and growth strategy, have a negative impact on its revenues and the effective working relationships that its executive management have developed and cause employee morale problems and the loss of additional key employees, agents, managers and clients.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The Merger Agreement contains provisions that limit our ability to pursue alternatives to the Merger, which could discourage a potential competing acquirer of the Company from proposing an alternative transaction.</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Merger Agreement contains provisions that, subject to certain exceptions, limit our ability to solicit, initiate, or knowingly encourage or facilitate, any proposal or inquiry that constitutes, or could reasonably be expected to lead to, an Alternative Proposal (as defined in the Merger Agreement), or take certain other restricted actions in connection therewith. It is possible that these or other provisions in the Merger Agreement might discourage a potential competing acquirer that might have an interest in acquiring all or a significant portion of the Company or pursuing an alternative transaction from considering or proposing such a transaction.</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Legal proceedings against the Company and Fertitta Gaming could result in substantial costs, an injunction preventing the completion of the Merger and/or a judgment resulting in the payment of damages.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It is possible that litigation against the Company, Fertitta Gaming, their respective affiliates and/or their respective boards of directors and management may be filed in the future. Even if a lawsuit is unsuccessful, defending against these claims can result in substantial costs. An adverse judgment could result in monetary damages, which could have a negative impact on the Company’s liquidity and financial condition. Such potential lawsuits could prevent or delay the completion of the Transaction and result in significant costs to the Company and/or Fertitta Gaming, including any costs associated with the indemnification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304165"/>
                <wp:effectExtent l="0" t="0" r="0" b="0"/>
                <wp:wrapNone/>
                <wp:docPr id="49" name="Frame48"/>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25bc4ccd358f439aa099948f0102ebf8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25bc4ccd358f439aa099948f0102ebf8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60" w:after="283"/>
        <w:ind w:left="0" w:right="0" w:hanging="360"/>
        <w:jc w:val="both"/>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of directors and officers. There can be no assurance that any of the defendants will be successful in the outcome of any potential lawsuits.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BF2115"/>
          <w:sz w:val="24"/>
        </w:rPr>
      </w:pPr>
      <w:r>
        <w:rPr>
          <w:rFonts w:ascii="Times New Roman;serif" w:hAnsi="Times New Roman;serif"/>
          <w:b/>
          <w:color w:val="BF2115"/>
          <w:sz w:val="24"/>
        </w:rPr>
        <w:t>Item 2. Unregistered Sales of Equity Securities and Use of Proceeds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BF2115"/>
          <w:sz w:val="24"/>
        </w:rPr>
      </w:pPr>
      <w:r>
        <w:rPr>
          <w:rFonts w:ascii="Times New Roman;serif" w:hAnsi="Times New Roman;serif"/>
          <w:b/>
          <w:color w:val="BF2115"/>
          <w:sz w:val="24"/>
        </w:rPr>
        <w:t>Item 3. Defaults Upon Senior Securities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BF2115"/>
          <w:sz w:val="24"/>
        </w:rPr>
      </w:pPr>
      <w:r>
        <w:rPr>
          <w:rFonts w:ascii="Times New Roman;serif" w:hAnsi="Times New Roman;serif"/>
          <w:b/>
          <w:color w:val="BF2115"/>
          <w:sz w:val="24"/>
        </w:rPr>
        <w:t>Item 4. Mine Safety Disclosures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BF2115"/>
          <w:sz w:val="24"/>
        </w:rPr>
      </w:pPr>
      <w:r>
        <w:rPr>
          <w:rFonts w:ascii="Times New Roman;serif" w:hAnsi="Times New Roman;serif"/>
          <w:b/>
          <w:color w:val="BF2115"/>
          <w:sz w:val="24"/>
        </w:rPr>
        <w:t>Item 5. Other Information</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 None.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(b) None.</w:t>
      </w:r>
    </w:p>
    <w:p>
      <w:pPr>
        <w:pStyle w:val="TextBody"/>
        <w:bidi w:val="0"/>
        <w:spacing w:lineRule="auto" w:line="288" w:before="180" w:after="283"/>
        <w:jc w:val="both"/>
        <w:rPr/>
      </w:pPr>
      <w:r>
        <w:rPr>
          <w:rFonts w:ascii="Times New Roman;serif" w:hAnsi="Times New Roman;serif"/>
          <w:b w:val="false"/>
          <w:color w:val="000000"/>
          <w:sz w:val="20"/>
        </w:rPr>
        <w:t xml:space="preserve">(c) </w:t>
      </w:r>
      <w:r>
        <w:rPr>
          <w:rFonts w:ascii="Times New Roman;serif" w:hAnsi="Times New Roman;serif"/>
          <w:b/>
          <w:color w:val="000000"/>
          <w:sz w:val="20"/>
        </w:rPr>
        <w:t>Rule 10b5-1 Trading Plans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2026, none of our directors or officers (as defined in Rule 16a-1(f) of the Exchange Act) adopted, modified or terminated a “Rule 10b5-1 trading arrangement” or “non-Rule 10b5-1 trading arrangement,” as defined in Item 408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304165"/>
                <wp:effectExtent l="0" t="0" r="0" b="0"/>
                <wp:wrapNone/>
                <wp:docPr id="50" name="Frame49"/>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25bc4ccd358f439aa099948f0102ebf8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25bc4ccd358f439aa099948f0102ebf8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60" w:after="283"/>
        <w:ind w:left="0" w:right="0" w:hanging="360"/>
        <w:jc w:val="both"/>
        <w:rPr/>
      </w:pPr>
      <w:r>
        <w:rPr/>
      </w:r>
    </w:p>
    <w:p>
      <w:pPr>
        <w:pStyle w:val="TextBody"/>
        <w:bidi w:val="0"/>
        <w:spacing w:lineRule="auto" w:line="288" w:before="0" w:after="0"/>
        <w:jc w:val="left"/>
        <w:rPr>
          <w:rFonts w:ascii="Times New Roman;serif" w:hAnsi="Times New Roman;serif"/>
          <w:b/>
          <w:color w:val="BF2115"/>
          <w:sz w:val="24"/>
        </w:rPr>
      </w:pPr>
      <w:r>
        <w:rPr>
          <w:rFonts w:ascii="Times New Roman;serif" w:hAnsi="Times New Roman;serif"/>
          <w:b/>
          <w:color w:val="BF2115"/>
          <w:sz w:val="24"/>
        </w:rPr>
        <w:t>Item 6. Exhibits</w:t>
      </w:r>
    </w:p>
    <w:tbl>
      <w:tblPr>
        <w:tblW w:w="10205"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2360"/>
        <w:gridCol w:w="2261"/>
        <w:gridCol w:w="2269"/>
        <w:gridCol w:w="109"/>
        <w:gridCol w:w="109"/>
        <w:gridCol w:w="109"/>
        <w:gridCol w:w="642"/>
        <w:gridCol w:w="522"/>
        <w:gridCol w:w="524"/>
        <w:gridCol w:w="109"/>
        <w:gridCol w:w="158"/>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0" w:type="dxa"/>
            <w:tcBorders/>
            <w:vAlign w:val="center"/>
          </w:tcPr>
          <w:p>
            <w:pPr>
              <w:pStyle w:val="TableContents"/>
              <w:bidi w:val="0"/>
              <w:spacing w:before="0" w:after="283"/>
              <w:jc w:val="left"/>
              <w:rPr>
                <w:sz w:val="4"/>
                <w:szCs w:val="4"/>
              </w:rPr>
            </w:pPr>
            <w:r>
              <w:rPr>
                <w:sz w:val="4"/>
                <w:szCs w:val="4"/>
              </w:rPr>
            </w:r>
          </w:p>
        </w:tc>
        <w:tc>
          <w:tcPr>
            <w:tcW w:w="2261" w:type="dxa"/>
            <w:tcBorders/>
            <w:vAlign w:val="center"/>
          </w:tcPr>
          <w:p>
            <w:pPr>
              <w:pStyle w:val="TableContents"/>
              <w:bidi w:val="0"/>
              <w:spacing w:before="0" w:after="283"/>
              <w:jc w:val="left"/>
              <w:rPr>
                <w:sz w:val="4"/>
                <w:szCs w:val="4"/>
              </w:rPr>
            </w:pPr>
            <w:r>
              <w:rPr>
                <w:sz w:val="4"/>
                <w:szCs w:val="4"/>
              </w:rPr>
            </w:r>
          </w:p>
        </w:tc>
        <w:tc>
          <w:tcPr>
            <w:tcW w:w="2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Exhibit</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Description of 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Method of Filing</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0"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3">
              <w:r>
                <w:rPr>
                  <w:rStyle w:val="InternetLink"/>
                  <w:rFonts w:ascii="Times New Roman;serif" w:hAnsi="Times New Roman;serif"/>
                  <w:b w:val="false"/>
                  <w:color w:val="0000FF"/>
                  <w:sz w:val="18"/>
                  <w:u w:val="single"/>
                </w:rPr>
                <w:t>Agreement and Plan of Merger, dated as of May 27, 2026, by and among Caesars Entertainment, Inc., Fertitta Gaming Holdco, LLC, Empire Merger Sub, Inc., Landry’s Fertitta, LLC, solely for the purposes of Section 9.14 therein and Hospitality Headquarters, Inc., solely for the purposes of Section 9.14(j) therein.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Previously filed on Form 8-K filed on May 28, 2026.</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0"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4">
              <w:r>
                <w:rPr>
                  <w:rStyle w:val="InternetLink"/>
                  <w:rFonts w:ascii="Times New Roman;serif" w:hAnsi="Times New Roman;serif"/>
                  <w:b w:val="false"/>
                  <w:color w:val="0000FF"/>
                  <w:sz w:val="18"/>
                  <w:u w:val="single"/>
                </w:rPr>
                <w:t>Amended and Restated Certificate of Incorporation of Caesars Entertainment,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Previously filed on Form 8-K filed on June 16, 2023.</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0"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5">
              <w:r>
                <w:rPr>
                  <w:rStyle w:val="InternetLink"/>
                  <w:rFonts w:ascii="Times New Roman;serif" w:hAnsi="Times New Roman;serif"/>
                  <w:b w:val="false"/>
                  <w:color w:val="0000FF"/>
                  <w:sz w:val="18"/>
                  <w:u w:val="single"/>
                </w:rPr>
                <w:t>Amended and Restated Bylaws of Caesars Entertainment,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8"/>
              </w:rPr>
            </w:pPr>
            <w:r>
              <w:rPr>
                <w:rFonts w:ascii="Times New Roman;serif" w:hAnsi="Times New Roman;serif"/>
                <w:b w:val="false"/>
                <w:color w:val="000000"/>
                <w:sz w:val="18"/>
              </w:rPr>
              <w:t>Previously filed on Form 8-K filed on July 28, 2025.</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0"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a2026q2cei-ex311.htm">
              <w:r>
                <w:rPr>
                  <w:rStyle w:val="InternetLink"/>
                  <w:rFonts w:ascii="Times New Roman;serif" w:hAnsi="Times New Roman;serif"/>
                  <w:b w:val="false"/>
                  <w:color w:val="0000FF"/>
                  <w:sz w:val="18"/>
                  <w:u w:val="single"/>
                </w:rPr>
                <w:t>Certification of Thomas R. Reeg pursuant to Rule 13a-14a and Rule 15d-14(a)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Filed herewith.</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0"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a2026q2cei-ex312.htm">
              <w:r>
                <w:rPr>
                  <w:rStyle w:val="InternetLink"/>
                  <w:rFonts w:ascii="Times New Roman;serif" w:hAnsi="Times New Roman;serif"/>
                  <w:b w:val="false"/>
                  <w:color w:val="0000FF"/>
                  <w:sz w:val="18"/>
                  <w:u w:val="single"/>
                </w:rPr>
                <w:t>Certification of Bret Yunker pursuant to Rule 13a-14a and Rule 15d-14(a)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Filed herewith.</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0"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a2026q2cei-ex321.htm">
              <w:r>
                <w:rPr>
                  <w:rStyle w:val="InternetLink"/>
                  <w:rFonts w:ascii="Times New Roman;serif" w:hAnsi="Times New Roman;serif"/>
                  <w:b w:val="false"/>
                  <w:color w:val="0000FF"/>
                  <w:sz w:val="18"/>
                  <w:u w:val="single"/>
                </w:rPr>
                <w:t>Certification of Thomas R. Reeg in accordance with 18 U.S.C. Section 1350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Filed herewith.</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0"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a2026q2cei-ex322.htm">
              <w:r>
                <w:rPr>
                  <w:rStyle w:val="InternetLink"/>
                  <w:rFonts w:ascii="Times New Roman;serif" w:hAnsi="Times New Roman;serif"/>
                  <w:b w:val="false"/>
                  <w:color w:val="0000FF"/>
                  <w:sz w:val="18"/>
                  <w:u w:val="single"/>
                </w:rPr>
                <w:t>Certification of Bret Yunker in accordance with 18 U.S.C. Section 1350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Filed herewith.</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0"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Inline XBRL Instance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Filed herewith.</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0"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Filed herewith.</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0"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Filed herewith.</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0"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Filed herewith.</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0"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Inline 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Filed herewith.</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0"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Filed herewith.</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0"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Cover Page Interactive Data File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Filed herewith.</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3052"/>
        <w:gridCol w:w="3052"/>
        <w:gridCol w:w="3059"/>
        <w:gridCol w:w="109"/>
        <w:gridCol w:w="109"/>
        <w:gridCol w:w="15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2" w:type="dxa"/>
            <w:tcBorders/>
            <w:vAlign w:val="center"/>
          </w:tcPr>
          <w:p>
            <w:pPr>
              <w:pStyle w:val="TableContents"/>
              <w:bidi w:val="0"/>
              <w:spacing w:before="0" w:after="283"/>
              <w:jc w:val="left"/>
              <w:rPr>
                <w:sz w:val="4"/>
                <w:szCs w:val="4"/>
              </w:rPr>
            </w:pPr>
            <w:r>
              <w:rPr>
                <w:sz w:val="4"/>
                <w:szCs w:val="4"/>
              </w:rPr>
            </w:r>
          </w:p>
        </w:tc>
        <w:tc>
          <w:tcPr>
            <w:tcW w:w="3052" w:type="dxa"/>
            <w:tcBorders/>
            <w:vAlign w:val="center"/>
          </w:tcPr>
          <w:p>
            <w:pPr>
              <w:pStyle w:val="TableContents"/>
              <w:bidi w:val="0"/>
              <w:spacing w:before="0" w:after="283"/>
              <w:jc w:val="left"/>
              <w:rPr>
                <w:sz w:val="4"/>
                <w:szCs w:val="4"/>
              </w:rPr>
            </w:pPr>
            <w:r>
              <w:rPr>
                <w:sz w:val="4"/>
                <w:szCs w:val="4"/>
              </w:rPr>
            </w:r>
          </w:p>
        </w:tc>
        <w:tc>
          <w:tcPr>
            <w:tcW w:w="30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Schedules have been omitted pursuant to Item 601(b)(2) of Regulation S-K. The Company hereby undertakes to furnish supplementally copies of any of the omitted schedules upon request by the SEC.</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304165"/>
                <wp:effectExtent l="0" t="0" r="0" b="0"/>
                <wp:wrapNone/>
                <wp:docPr id="51" name="Frame50"/>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25bc4ccd358f439aa099948f0102ebf8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25bc4ccd358f439aa099948f0102ebf8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before="60" w:after="283"/>
        <w:ind w:left="0" w:right="0" w:hanging="360"/>
        <w:jc w:val="both"/>
        <w:rPr/>
      </w:pPr>
      <w:r>
        <w:rPr/>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6194" w:type="dxa"/>
        <w:jc w:val="left"/>
        <w:tblInd w:w="0" w:type="dxa"/>
        <w:tblLayout w:type="fixed"/>
        <w:tblCellMar>
          <w:top w:w="28" w:type="dxa"/>
          <w:left w:w="28" w:type="dxa"/>
          <w:bottom w:w="28" w:type="dxa"/>
          <w:right w:w="28" w:type="dxa"/>
        </w:tblCellMar>
      </w:tblPr>
      <w:tblGrid>
        <w:gridCol w:w="618"/>
        <w:gridCol w:w="544"/>
        <w:gridCol w:w="547"/>
        <w:gridCol w:w="1313"/>
        <w:gridCol w:w="1313"/>
        <w:gridCol w:w="1859"/>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859"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CAESARS ENTERTAINMENT, INC.</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July 28, 2026</w:t>
            </w:r>
          </w:p>
        </w:tc>
        <w:tc>
          <w:tcPr>
            <w:tcW w:w="448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 Thomas R. Reeg</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Thomas R. Reeg</w:t>
            </w:r>
          </w:p>
          <w:p>
            <w:pPr>
              <w:pStyle w:val="TableContents"/>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Chief Executive Officer (Principal Executive Officer)</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5"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 </w:t>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July 28, 2026</w:t>
            </w:r>
          </w:p>
        </w:tc>
        <w:tc>
          <w:tcPr>
            <w:tcW w:w="448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 Bret Yunker</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Bret Yunker</w:t>
            </w:r>
          </w:p>
          <w:p>
            <w:pPr>
              <w:pStyle w:val="TableContents"/>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Chief Financial Officer (Principal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304165"/>
                <wp:effectExtent l="0" t="0" r="0" b="0"/>
                <wp:wrapNone/>
                <wp:docPr id="52" name="Frame51"/>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25bc4ccd358f439aa099948f0102ebf8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25bc4ccd358f439aa099948f0102ebf8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120" w:after="283"/>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CERTIFICATION PURSUANT TO RULE 13a-14(a) AND 15d-14(a)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 Thomas R. Reeg, certify that:</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Caesars Entertainment, Inc.;</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Date: July 28, 2026</w:t>
      </w:r>
    </w:p>
    <w:tbl>
      <w:tblPr>
        <w:tblW w:w="2846" w:type="dxa"/>
        <w:jc w:val="left"/>
        <w:tblInd w:w="0" w:type="dxa"/>
        <w:tblLayout w:type="fixed"/>
        <w:tblCellMar>
          <w:top w:w="28" w:type="dxa"/>
          <w:left w:w="28" w:type="dxa"/>
          <w:bottom w:w="28" w:type="dxa"/>
          <w:right w:w="28" w:type="dxa"/>
        </w:tblCellMar>
      </w:tblPr>
      <w:tblGrid>
        <w:gridCol w:w="124"/>
        <w:gridCol w:w="109"/>
        <w:gridCol w:w="109"/>
        <w:gridCol w:w="731"/>
        <w:gridCol w:w="731"/>
        <w:gridCol w:w="104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THOMAS R. REEG</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Thomas R. Reeg</w:t>
            </w:r>
          </w:p>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Chief Executive Officer</w:t>
            </w:r>
          </w:p>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CERTIFICATION PURSUANT TO RULE 13a-14(a) AND 15d-14(a)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 Bret Yunker, certify that:</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Caesars Entertainment, Inc.;</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Date: July 28, 2026 </w:t>
      </w:r>
    </w:p>
    <w:tbl>
      <w:tblPr>
        <w:tblW w:w="2861" w:type="dxa"/>
        <w:jc w:val="left"/>
        <w:tblInd w:w="0" w:type="dxa"/>
        <w:tblLayout w:type="fixed"/>
        <w:tblCellMar>
          <w:top w:w="28" w:type="dxa"/>
          <w:left w:w="28" w:type="dxa"/>
          <w:bottom w:w="28" w:type="dxa"/>
          <w:right w:w="28" w:type="dxa"/>
        </w:tblCellMar>
      </w:tblPr>
      <w:tblGrid>
        <w:gridCol w:w="124"/>
        <w:gridCol w:w="109"/>
        <w:gridCol w:w="109"/>
        <w:gridCol w:w="737"/>
        <w:gridCol w:w="737"/>
        <w:gridCol w:w="104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BRET YUNKER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Bret Yunker</w:t>
            </w:r>
          </w:p>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w:t>
            </w:r>
          </w:p>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Thomas R. Reeg</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Chief Executive Officer</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 Thomas R. Reeg, Chief Executive Officer of Caesars Entertainment, Inc. (the “Company”), do hereby certify in accordance with 18 U.S.C. 1350, as adopted pursuant to Section 906 of the Sarbanes-Oxley Act of 2002, that, to my knowledge:</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1.The Quarterly Report on Form 10-Q of the Company for the period ended June 30, 2026 (the “Periodic Report”) fully complies with the requirements of Section 13(a) or 15(d) of the Securities Exchange Act of 1934 (15 U.S.C. 78m or 78o(d)); and</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Periodic Report fairly represents, in all material respects, the financial condition and results of operations of the Company.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Date: July 28, 2026</w:t>
      </w:r>
    </w:p>
    <w:tbl>
      <w:tblPr>
        <w:tblW w:w="2397" w:type="dxa"/>
        <w:jc w:val="left"/>
        <w:tblInd w:w="0" w:type="dxa"/>
        <w:tblLayout w:type="fixed"/>
        <w:tblCellMar>
          <w:top w:w="28" w:type="dxa"/>
          <w:left w:w="28" w:type="dxa"/>
          <w:bottom w:w="28" w:type="dxa"/>
          <w:right w:w="28" w:type="dxa"/>
        </w:tblCellMar>
      </w:tblPr>
      <w:tblGrid>
        <w:gridCol w:w="124"/>
        <w:gridCol w:w="109"/>
        <w:gridCol w:w="109"/>
        <w:gridCol w:w="600"/>
        <w:gridCol w:w="600"/>
        <w:gridCol w:w="85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THOMAS R. REEG</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Thomas R. Reeg</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Bret Yunker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Chief Financial Officer</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 Bret Yunker, Chief Financial Officer of Caesars Entertainment, Inc. (the “Company”), do hereby certify in accordance with 18 U.S.C. 1350, as adopted pursuant to Section 906 of the Sarbanes-Oxley Act of 2002, that, to my knowledge:</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1.The Quarterly Report on Form 10-Q of the Company for the period ended June 30, 2026 (the “Periodic Report”) fully complies with the requirements of Section 13(a) or 15(d) of the Securities Exchange Act of 1934 (15 U.S.C. 78m or 78o(d)); and</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Periodic Report fairly represents, in all material respects, the financial condition and results of operations of the Company.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Date: July 28, 2026</w:t>
      </w:r>
    </w:p>
    <w:tbl>
      <w:tblPr>
        <w:tblW w:w="2412" w:type="dxa"/>
        <w:jc w:val="left"/>
        <w:tblInd w:w="0" w:type="dxa"/>
        <w:tblLayout w:type="fixed"/>
        <w:tblCellMar>
          <w:top w:w="28" w:type="dxa"/>
          <w:left w:w="28" w:type="dxa"/>
          <w:bottom w:w="28" w:type="dxa"/>
          <w:right w:w="28" w:type="dxa"/>
        </w:tblCellMar>
      </w:tblPr>
      <w:tblGrid>
        <w:gridCol w:w="124"/>
        <w:gridCol w:w="109"/>
        <w:gridCol w:w="109"/>
        <w:gridCol w:w="606"/>
        <w:gridCol w:w="606"/>
        <w:gridCol w:w="8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BRET YUNKER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Bret Yunker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590895/000119312526242995/d143382dex21.htm" TargetMode="External"/><Relationship Id="rId4" Type="http://schemas.openxmlformats.org/officeDocument/2006/relationships/hyperlink" Target="https://www.sec.gov/Archives/edgar/data/1590895/000119312523169019/d522744dex31.htm" TargetMode="External"/><Relationship Id="rId5" Type="http://schemas.openxmlformats.org/officeDocument/2006/relationships/hyperlink" Target="https://www.sec.gov/Archives/edgar/data/1590895/000159089525000122/exhibit31arbylawsadoptedju.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26578</Words>
  <Characters>143286</Characters>
  <CharactersWithSpaces>167459</CharactersWithSpaces>
  <Paragraphs>4155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