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ri-10q_20190630.htm"/>
      <w:bookmarkStart w:id="1" w:name="kseri10q_20190630"/>
      <w:bookmarkEnd w:id="0"/>
      <w:bookmarkEnd w:id="1"/>
      <w:r>
        <w:rPr/>
        <w:t> </w:t>
      </w:r>
    </w:p>
    <w:p>
      <w:pPr>
        <w:pStyle w:val="TextBody"/>
        <w:pBdr>
          <w:bottom w:val="double" w:sz="6" w:space="1" w:color="000000"/>
        </w:pBdr>
        <w:spacing w:before="0" w:after="0"/>
        <w:rPr/>
      </w:pPr>
      <w:r>
        <w:rPr/>
        <w:t> </w:t>
      </w:r>
    </w:p>
    <w:p>
      <w:pPr>
        <w:pStyle w:val="TextBody"/>
        <w:spacing w:before="60" w:after="0"/>
        <w:jc w:val="center"/>
        <w:rPr>
          <w:rFonts w:ascii="Times New Roman" w:hAnsi="Times New Roman"/>
          <w:b/>
          <w:i w:val="false"/>
          <w:caps w:val="false"/>
          <w:smallCaps w:val="false"/>
          <w:sz w:val="30"/>
        </w:rPr>
      </w:pPr>
      <w:r>
        <w:rPr>
          <w:rFonts w:ascii="Times New Roman" w:hAnsi="Times New Roman"/>
          <w:b/>
          <w:i w:val="false"/>
          <w:caps w:val="false"/>
          <w:smallCaps w:val="false"/>
          <w:sz w:val="30"/>
        </w:rPr>
        <w:t>UNITED STATES</w:t>
      </w:r>
    </w:p>
    <w:p>
      <w:pPr>
        <w:pStyle w:val="TextBody"/>
        <w:spacing w:before="0" w:after="0"/>
        <w:jc w:val="center"/>
        <w:rPr>
          <w:rFonts w:ascii="Times New Roman" w:hAnsi="Times New Roman"/>
          <w:b/>
          <w:i w:val="false"/>
          <w:caps w:val="false"/>
          <w:smallCaps w:val="false"/>
          <w:sz w:val="30"/>
        </w:rPr>
      </w:pPr>
      <w:r>
        <w:rPr>
          <w:rFonts w:ascii="Times New Roman" w:hAnsi="Times New Roman"/>
          <w:b/>
          <w:i w:val="false"/>
          <w:caps w:val="false"/>
          <w:smallCaps w:val="false"/>
          <w:sz w:val="30"/>
        </w:rPr>
        <w:t>SECURITIES AND EXCHANGE COMMISSION</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spacing w:before="140" w:after="0"/>
        <w:jc w:val="center"/>
        <w:rPr>
          <w:rFonts w:ascii="Times New Roman" w:hAnsi="Times New Roman"/>
          <w:b/>
          <w:i w:val="false"/>
          <w:caps w:val="false"/>
          <w:smallCaps w:val="false"/>
          <w:sz w:val="30"/>
        </w:rPr>
      </w:pPr>
      <w:r>
        <w:rPr>
          <w:rFonts w:ascii="Times New Roman" w:hAnsi="Times New Roman"/>
          <w:b/>
          <w:i w:val="false"/>
          <w:caps w:val="false"/>
          <w:smallCaps w:val="false"/>
          <w:sz w:val="30"/>
        </w:rPr>
        <w:t>FORM 10</w:t>
        <w:noBreakHyphen/>
        <w:t>Q</w:t>
      </w:r>
    </w:p>
    <w:p>
      <w:pPr>
        <w:pStyle w:val="TextBody"/>
        <w:spacing w:before="140" w:after="0"/>
        <w:rPr>
          <w:rFonts w:ascii="Times New Roman" w:hAnsi="Times New Roman"/>
          <w:b/>
          <w:i w:val="false"/>
          <w:caps w:val="false"/>
          <w:smallCaps w:val="false"/>
          <w:sz w:val="17"/>
        </w:rPr>
      </w:pPr>
      <w:r>
        <w:rPr>
          <w:rFonts w:ascii="Times New Roman" w:hAnsi="Times New Roman"/>
          <w:b/>
          <w:i w:val="false"/>
          <w:caps w:val="false"/>
          <w:smallCaps w:val="false"/>
          <w:sz w:val="17"/>
        </w:rPr>
        <w:t>(Mark One)</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tcPr>
          <w:p>
            <w:pPr>
              <w:pStyle w:val="TableContents"/>
              <w:spacing w:before="0" w:after="0"/>
              <w:rPr>
                <w:caps w:val="false"/>
                <w:smallCaps w:val="false"/>
              </w:rPr>
            </w:pPr>
            <w:r>
              <w:rPr>
                <w:caps w:val="false"/>
                <w:smallCaps w:val="false"/>
              </w:rPr>
              <w:t>☒</w:t>
            </w:r>
          </w:p>
        </w:tc>
        <w:tc>
          <w:tcPr>
            <w:tcW w:w="9875"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1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For the quarterly period ended June 30, 2019</w:t>
      </w:r>
    </w:p>
    <w:p>
      <w:pPr>
        <w:pStyle w:val="TextBody"/>
        <w:spacing w:before="1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OR</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tcPr>
          <w:p>
            <w:pPr>
              <w:pStyle w:val="TableContents"/>
              <w:spacing w:before="140" w:after="0"/>
              <w:rPr>
                <w:caps w:val="false"/>
                <w:smallCaps w:val="false"/>
              </w:rPr>
            </w:pPr>
            <w:r>
              <w:rPr>
                <w:caps w:val="false"/>
                <w:smallCaps w:val="false"/>
              </w:rPr>
              <w:t>☐</w:t>
            </w:r>
          </w:p>
        </w:tc>
        <w:tc>
          <w:tcPr>
            <w:tcW w:w="9860" w:type="dxa"/>
            <w:tcBorders/>
            <w:shd w:fill="auto" w:val="clear"/>
          </w:tcPr>
          <w:p>
            <w:pPr>
              <w:pStyle w:val="TableContents"/>
              <w:spacing w:before="140" w:after="0"/>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1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For the transition period                 to                 </w:t>
      </w:r>
    </w:p>
    <w:p>
      <w:pPr>
        <w:pStyle w:val="TextBody"/>
        <w:spacing w:before="0" w:after="0"/>
        <w:jc w:val="center"/>
        <w:rPr/>
      </w:pPr>
      <w:r>
        <w:rPr/>
        <w:t> </w:t>
      </w:r>
    </w:p>
    <w:tbl>
      <w:tblPr>
        <w:tblW w:w="2335" w:type="dxa"/>
        <w:jc w:val="left"/>
        <w:tblInd w:w="0" w:type="dxa"/>
        <w:tblCellMar>
          <w:top w:w="0" w:type="dxa"/>
          <w:left w:w="0" w:type="dxa"/>
          <w:bottom w:w="0" w:type="dxa"/>
          <w:right w:w="0" w:type="dxa"/>
        </w:tblCellMar>
      </w:tblPr>
      <w:tblGrid>
        <w:gridCol w:w="1550"/>
        <w:gridCol w:w="785"/>
      </w:tblGrid>
      <w:tr>
        <w:trPr/>
        <w:tc>
          <w:tcPr>
            <w:tcW w:w="1550" w:type="dxa"/>
            <w:tcBorders/>
            <w:shd w:fill="auto" w:val="clear"/>
            <w:vAlign w:val="bottom"/>
          </w:tcPr>
          <w:p>
            <w:pPr>
              <w:pStyle w:val="TableContents"/>
              <w:spacing w:before="0" w:after="0"/>
              <w:ind w:left="0" w:right="0" w:hanging="0"/>
              <w:jc w:val="right"/>
              <w:rPr>
                <w:rFonts w:ascii="Times New Roman" w:hAnsi="Times New Roman"/>
                <w:b/>
                <w:i w:val="false"/>
                <w:caps w:val="false"/>
                <w:smallCaps w:val="false"/>
                <w:sz w:val="17"/>
              </w:rPr>
            </w:pPr>
            <w:r>
              <w:rPr>
                <w:rFonts w:ascii="Times New Roman" w:hAnsi="Times New Roman"/>
                <w:b/>
                <w:i w:val="false"/>
                <w:caps w:val="false"/>
                <w:smallCaps w:val="false"/>
                <w:sz w:val="17"/>
              </w:rPr>
              <w:t>Commission File No. </w:t>
            </w:r>
          </w:p>
        </w:tc>
        <w:tc>
          <w:tcPr>
            <w:tcW w:w="785" w:type="dxa"/>
            <w:tcBorders/>
            <w:shd w:fill="auto" w:val="clear"/>
            <w:vAlign w:val="bottom"/>
          </w:tcPr>
          <w:p>
            <w:pPr>
              <w:pStyle w:val="TableContents"/>
              <w:spacing w:before="0" w:after="0"/>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001</w:t>
            </w:r>
            <w:r>
              <w:rPr>
                <w:rFonts w:ascii="Arial" w:hAnsi="Arial"/>
                <w:b w:val="false"/>
                <w:i w:val="false"/>
                <w:caps w:val="false"/>
                <w:smallCaps w:val="false"/>
                <w:color w:val="000000"/>
                <w:sz w:val="15"/>
                <w:highlight w:val="white"/>
              </w:rPr>
              <w:t>-</w:t>
            </w:r>
            <w:r>
              <w:rPr>
                <w:rFonts w:ascii="Times New Roman" w:hAnsi="Times New Roman"/>
                <w:b/>
                <w:i w:val="false"/>
                <w:caps w:val="false"/>
                <w:smallCaps w:val="false"/>
                <w:sz w:val="17"/>
              </w:rPr>
              <w:t>36629</w:t>
            </w:r>
          </w:p>
        </w:tc>
      </w:tr>
    </w:tbl>
    <w:p>
      <w:pPr>
        <w:pStyle w:val="TextBody"/>
        <w:spacing w:before="140" w:after="0"/>
        <w:jc w:val="center"/>
        <w:rPr>
          <w:rFonts w:ascii="Times New Roman" w:hAnsi="Times New Roman"/>
          <w:b/>
          <w:i w:val="false"/>
          <w:caps w:val="false"/>
          <w:smallCaps w:val="false"/>
          <w:sz w:val="40"/>
        </w:rPr>
      </w:pPr>
      <w:r>
        <w:rPr>
          <w:rFonts w:ascii="Times New Roman" w:hAnsi="Times New Roman"/>
          <w:b/>
          <w:i w:val="false"/>
          <w:caps w:val="false"/>
          <w:smallCaps w:val="false"/>
          <w:sz w:val="40"/>
        </w:rPr>
        <w:t>ELDORADO RESORTS, INC.</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(Exact name of registrant as specified in its charter)</w:t>
      </w:r>
    </w:p>
    <w:p>
      <w:pPr>
        <w:pStyle w:val="TextBody"/>
        <w:spacing w:before="0" w:after="0"/>
        <w:rPr/>
      </w:pPr>
      <w:r>
        <w:rPr/>
        <w:t> </w:t>
      </w:r>
    </w:p>
    <w:tbl>
      <w:tblPr>
        <w:tblW w:w="2995" w:type="dxa"/>
        <w:jc w:val="left"/>
        <w:tblInd w:w="0" w:type="dxa"/>
        <w:tblCellMar>
          <w:top w:w="0" w:type="dxa"/>
          <w:left w:w="0" w:type="dxa"/>
          <w:bottom w:w="0" w:type="dxa"/>
          <w:right w:w="0" w:type="dxa"/>
        </w:tblCellMar>
      </w:tblPr>
      <w:tblGrid>
        <w:gridCol w:w="1880"/>
        <w:gridCol w:w="1115"/>
      </w:tblGrid>
      <w:tr>
        <w:trPr/>
        <w:tc>
          <w:tcPr>
            <w:tcW w:w="1880" w:type="dxa"/>
            <w:tcBorders/>
            <w:shd w:fill="auto" w:val="clear"/>
          </w:tcPr>
          <w:p>
            <w:pPr>
              <w:pStyle w:val="TableContents"/>
              <w:spacing w:before="0" w:after="0"/>
              <w:ind w:left="0" w:right="0" w:hanging="0"/>
              <w:jc w:val="center"/>
              <w:rPr>
                <w:rFonts w:ascii="Times New Roman" w:hAnsi="Times New Roman"/>
                <w:b/>
                <w:i w:val="false"/>
                <w:caps w:val="false"/>
                <w:smallCaps w:val="false"/>
                <w:sz w:val="17"/>
              </w:rPr>
            </w:pPr>
            <w:r>
              <w:rPr>
                <w:rFonts w:ascii="Times New Roman" w:hAnsi="Times New Roman"/>
                <w:b/>
                <w:i w:val="false"/>
                <w:caps w:val="false"/>
                <w:smallCaps w:val="false"/>
                <w:sz w:val="17"/>
              </w:rPr>
              <w:t>Nevada</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sz w:val="17"/>
              </w:rPr>
            </w:pPr>
            <w:r>
              <w:rPr>
                <w:rFonts w:ascii="Times New Roman" w:hAnsi="Times New Roman"/>
                <w:b/>
                <w:i w:val="false"/>
                <w:caps w:val="false"/>
                <w:smallCaps w:val="false"/>
                <w:sz w:val="17"/>
              </w:rPr>
              <w:t>46</w:t>
            </w:r>
            <w:r>
              <w:rPr>
                <w:rFonts w:ascii="Arial" w:hAnsi="Arial"/>
                <w:b w:val="false"/>
                <w:i w:val="false"/>
                <w:caps w:val="false"/>
                <w:smallCaps w:val="false"/>
                <w:color w:val="000000"/>
                <w:sz w:val="15"/>
                <w:highlight w:val="white"/>
              </w:rPr>
              <w:t>-</w:t>
            </w:r>
            <w:r>
              <w:rPr>
                <w:rFonts w:ascii="Times New Roman" w:hAnsi="Times New Roman"/>
                <w:b/>
                <w:i w:val="false"/>
                <w:caps w:val="false"/>
                <w:smallCaps w:val="false"/>
                <w:sz w:val="17"/>
              </w:rPr>
              <w:t>3657681</w:t>
            </w:r>
          </w:p>
        </w:tc>
      </w:tr>
      <w:tr>
        <w:trPr/>
        <w:tc>
          <w:tcPr>
            <w:tcW w:w="1880" w:type="dxa"/>
            <w:tcBorders/>
            <w:shd w:fill="auto" w:val="clear"/>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(State or other jurisdiction of</w:t>
            </w:r>
          </w:p>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incorporation or organization)</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(I.R.S. Employer</w:t>
            </w:r>
          </w:p>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Identification No.)</w:t>
            </w:r>
          </w:p>
        </w:tc>
      </w:tr>
    </w:tbl>
    <w:p>
      <w:pPr>
        <w:pStyle w:val="TextBody"/>
        <w:spacing w:before="1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100 West Liberty Street, Suite 1150, Reno, Nevada 89501</w:t>
      </w:r>
    </w:p>
    <w:p>
      <w:pPr>
        <w:pStyle w:val="TextBody"/>
        <w:spacing w:before="0" w:after="0"/>
        <w:jc w:val="center"/>
        <w:rPr>
          <w:rFonts w:ascii="Times New Roman" w:hAnsi="Times New Roman"/>
          <w:b/>
          <w:i w:val="false"/>
          <w:caps w:val="false"/>
          <w:smallCaps w:val="false"/>
          <w:sz w:val="13"/>
        </w:rPr>
      </w:pPr>
      <w:r>
        <w:rPr>
          <w:rFonts w:ascii="Times New Roman" w:hAnsi="Times New Roman"/>
          <w:b/>
          <w:i w:val="false"/>
          <w:caps w:val="false"/>
          <w:smallCaps w:val="false"/>
          <w:sz w:val="13"/>
        </w:rPr>
        <w:t>(Address and zip code of principal executive offices)</w:t>
      </w:r>
    </w:p>
    <w:p>
      <w:pPr>
        <w:pStyle w:val="TextBody"/>
        <w:spacing w:before="1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(775) 328</w:t>
        <w:noBreakHyphen/>
        <w:t>0100</w:t>
      </w:r>
    </w:p>
    <w:p>
      <w:pPr>
        <w:pStyle w:val="TextBody"/>
        <w:spacing w:before="0" w:after="0"/>
        <w:jc w:val="center"/>
        <w:rPr>
          <w:rFonts w:ascii="Times New Roman" w:hAnsi="Times New Roman"/>
          <w:b/>
          <w:i w:val="false"/>
          <w:caps w:val="false"/>
          <w:smallCaps w:val="false"/>
          <w:sz w:val="13"/>
        </w:rPr>
      </w:pPr>
      <w:r>
        <w:rPr>
          <w:rFonts w:ascii="Times New Roman" w:hAnsi="Times New Roman"/>
          <w:b/>
          <w:i w:val="false"/>
          <w:caps w:val="false"/>
          <w:smallCaps w:val="false"/>
          <w:sz w:val="13"/>
        </w:rPr>
        <w:t>(Registrant’s telephone number, including area code)</w:t>
      </w:r>
    </w:p>
    <w:p>
      <w:pPr>
        <w:pStyle w:val="TextBody"/>
        <w:spacing w:before="0" w:after="0"/>
        <w:jc w:val="center"/>
        <w:rPr>
          <w:rFonts w:ascii="Times New Roman" w:hAnsi="Times New Roman"/>
          <w:b/>
          <w:i w:val="false"/>
          <w:caps w:val="false"/>
          <w:smallCaps w:val="false"/>
          <w:sz w:val="13"/>
        </w:rPr>
      </w:pPr>
      <w:r>
        <w:rPr>
          <w:rFonts w:ascii="Times New Roman" w:hAnsi="Times New Roman"/>
          <w:b/>
          <w:i w:val="false"/>
          <w:caps w:val="false"/>
          <w:smallCaps w:val="false"/>
          <w:sz w:val="13"/>
        </w:rPr>
        <w:t>N/A</w:t>
      </w:r>
    </w:p>
    <w:p>
      <w:pPr>
        <w:pStyle w:val="TextBody"/>
        <w:spacing w:before="0" w:after="0"/>
        <w:jc w:val="center"/>
        <w:rPr>
          <w:rFonts w:ascii="Times New Roman" w:hAnsi="Times New Roman"/>
          <w:b w:val="false"/>
          <w:i w:val="false"/>
          <w:caps w:val="false"/>
          <w:smallCaps w:val="false"/>
          <w:sz w:val="13"/>
        </w:rPr>
      </w:pPr>
      <w:r>
        <w:rPr>
          <w:rFonts w:ascii="Times New Roman" w:hAnsi="Times New Roman"/>
          <w:b w:val="false"/>
          <w:i w:val="false"/>
          <w:caps w:val="false"/>
          <w:smallCaps w:val="false"/>
          <w:sz w:val="13"/>
        </w:rPr>
        <w:t>(Former name, former address and former fiscal year, if changed since last report)</w:t>
      </w:r>
    </w:p>
    <w:p>
      <w:pPr>
        <w:pStyle w:val="TextBody"/>
        <w:spacing w:before="40" w:after="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Securities registered pursuant to Section 12(b) of the Act:</w:t>
      </w:r>
    </w:p>
    <w:p>
      <w:pPr>
        <w:pStyle w:val="TextBody"/>
        <w:spacing w:before="0" w:after="0"/>
        <w:rPr/>
      </w:pPr>
      <w:r>
        <w:rPr/>
        <w:t> </w:t>
      </w:r>
    </w:p>
    <w:tbl>
      <w:tblPr>
        <w:tblW w:w="5805" w:type="dxa"/>
        <w:jc w:val="left"/>
        <w:tblInd w:w="0" w:type="dxa"/>
        <w:tblCellMar>
          <w:top w:w="0" w:type="dxa"/>
          <w:left w:w="0" w:type="dxa"/>
          <w:bottom w:w="0" w:type="dxa"/>
          <w:right w:w="0" w:type="dxa"/>
        </w:tblCellMar>
      </w:tblPr>
      <w:tblGrid>
        <w:gridCol w:w="2255"/>
        <w:gridCol w:w="1250"/>
        <w:gridCol w:w="2300"/>
      </w:tblGrid>
      <w:tr>
        <w:trPr/>
        <w:tc>
          <w:tcPr>
            <w:tcW w:w="2255" w:type="dxa"/>
            <w:tcBorders/>
            <w:shd w:fill="FFFFFF" w:val="clear"/>
          </w:tcPr>
          <w:p>
            <w:pPr>
              <w:pStyle w:val="TableContents"/>
              <w:spacing w:before="4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Title of each class</w:t>
            </w:r>
          </w:p>
        </w:tc>
        <w:tc>
          <w:tcPr>
            <w:tcW w:w="1250" w:type="dxa"/>
            <w:tcBorders/>
            <w:shd w:fill="FFFFFF" w:val="clear"/>
          </w:tcPr>
          <w:p>
            <w:pPr>
              <w:pStyle w:val="TableContents"/>
              <w:spacing w:before="40" w:after="0"/>
              <w:ind w:left="0" w:right="0" w:hanging="0"/>
              <w:jc w:val="center"/>
              <w:rPr>
                <w:rFonts w:ascii="Times New Roman" w:hAnsi="Times New Roman"/>
                <w:b/>
                <w:i w:val="false"/>
                <w:caps w:val="false"/>
                <w:smallCaps w:val="false"/>
                <w:color w:val="000000"/>
                <w:sz w:val="15"/>
                <w:u w:val="single"/>
              </w:rPr>
            </w:pPr>
            <w:r>
              <w:rPr>
                <w:rFonts w:ascii="Times New Roman" w:hAnsi="Times New Roman"/>
                <w:b/>
                <w:i w:val="false"/>
                <w:caps w:val="false"/>
                <w:smallCaps w:val="false"/>
                <w:color w:val="000000"/>
                <w:sz w:val="15"/>
                <w:u w:val="single"/>
              </w:rPr>
              <w:t>Trading Symbol(s)</w:t>
            </w:r>
          </w:p>
        </w:tc>
        <w:tc>
          <w:tcPr>
            <w:tcW w:w="2300" w:type="dxa"/>
            <w:tcBorders/>
            <w:shd w:fill="FFFFFF" w:val="clear"/>
          </w:tcPr>
          <w:p>
            <w:pPr>
              <w:pStyle w:val="TableContents"/>
              <w:spacing w:before="4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Name of each exchange on which registered</w:t>
            </w:r>
          </w:p>
        </w:tc>
      </w:tr>
      <w:tr>
        <w:trPr/>
        <w:tc>
          <w:tcPr>
            <w:tcW w:w="2255" w:type="dxa"/>
            <w:tcBorders/>
            <w:shd w:fill="FFFFFF" w:val="clear"/>
          </w:tcPr>
          <w:p>
            <w:pPr>
              <w:pStyle w:val="TableContents"/>
              <w:spacing w:before="4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Common Stock, $.00001 par value</w:t>
            </w:r>
          </w:p>
        </w:tc>
        <w:tc>
          <w:tcPr>
            <w:tcW w:w="1250" w:type="dxa"/>
            <w:tcBorders/>
            <w:shd w:fill="FFFFFF" w:val="clear"/>
          </w:tcPr>
          <w:p>
            <w:pPr>
              <w:pStyle w:val="TableContents"/>
              <w:spacing w:before="4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ERI</w:t>
            </w:r>
          </w:p>
        </w:tc>
        <w:tc>
          <w:tcPr>
            <w:tcW w:w="2300" w:type="dxa"/>
            <w:tcBorders/>
            <w:shd w:fill="FFFFFF" w:val="clear"/>
          </w:tcPr>
          <w:p>
            <w:pPr>
              <w:pStyle w:val="TableContents"/>
              <w:spacing w:before="4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NASDAQ Stock Market</w:t>
            </w:r>
          </w:p>
        </w:tc>
      </w:tr>
    </w:tbl>
    <w:p>
      <w:pPr>
        <w:pStyle w:val="TextBody"/>
        <w:spacing w:before="1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1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1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Indicate by check mark whether the registrant is a large accelerated filer, an accelerated filer, a non</w:t>
        <w:noBreakHyphen/>
        <w:t>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spacing w:before="0" w:after="0"/>
        <w:rPr/>
      </w:pPr>
      <w:r>
        <w:rPr/>
        <w:t> </w:t>
      </w:r>
    </w:p>
    <w:tbl>
      <w:tblPr>
        <w:tblW w:w="4385" w:type="dxa"/>
        <w:jc w:val="left"/>
        <w:tblInd w:w="0" w:type="dxa"/>
        <w:tblCellMar>
          <w:top w:w="0" w:type="dxa"/>
          <w:left w:w="0" w:type="dxa"/>
          <w:bottom w:w="0" w:type="dxa"/>
          <w:right w:w="0" w:type="dxa"/>
        </w:tblCellMar>
      </w:tblPr>
      <w:tblGrid>
        <w:gridCol w:w="1940"/>
        <w:gridCol w:w="230"/>
        <w:gridCol w:w="60"/>
        <w:gridCol w:w="1925"/>
        <w:gridCol w:w="230"/>
      </w:tblGrid>
      <w:tr>
        <w:trPr/>
        <w:tc>
          <w:tcPr>
            <w:tcW w:w="19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Large accelerated filer</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pPr>
            <w:r>
              <w:rPr/>
              <w:t> </w:t>
            </w:r>
          </w:p>
        </w:tc>
        <w:tc>
          <w:tcPr>
            <w:tcW w:w="19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Accelerated filer</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19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Non</w:t>
              <w:noBreakHyphen/>
              <w:t>accelerated filer</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pPr>
            <w:r>
              <w:rPr/>
              <w:t> </w:t>
            </w:r>
          </w:p>
        </w:tc>
        <w:tc>
          <w:tcPr>
            <w:tcW w:w="19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Smaller reporting company</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19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Emerging growth company</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pPr>
            <w:r>
              <w:rPr/>
              <w:t> </w:t>
            </w:r>
          </w:p>
        </w:tc>
        <w:tc>
          <w:tcPr>
            <w:tcW w:w="1925" w:type="dxa"/>
            <w:tcBorders/>
            <w:shd w:fill="FFFFFF" w:val="clear"/>
            <w:vAlign w:val="bottom"/>
          </w:tcPr>
          <w:p>
            <w:pPr>
              <w:pStyle w:val="TableContents"/>
              <w:spacing w:before="0" w:after="0"/>
              <w:ind w:left="0" w:right="0" w:hanging="0"/>
              <w:rPr/>
            </w:pPr>
            <w:r>
              <w:rPr/>
              <w:t> </w:t>
            </w:r>
          </w:p>
        </w:tc>
        <w:tc>
          <w:tcPr>
            <w:tcW w:w="230" w:type="dxa"/>
            <w:tcBorders/>
            <w:shd w:fill="FFFFFF" w:val="clear"/>
            <w:vAlign w:val="bottom"/>
          </w:tcPr>
          <w:p>
            <w:pPr>
              <w:pStyle w:val="TableContents"/>
              <w:spacing w:before="0" w:after="0"/>
              <w:ind w:left="0" w:right="0" w:hanging="0"/>
              <w:jc w:val="center"/>
              <w:rPr/>
            </w:pPr>
            <w:r>
              <w:rPr/>
              <w:t> </w:t>
            </w:r>
          </w:p>
        </w:tc>
      </w:tr>
    </w:tbl>
    <w:p>
      <w:pPr>
        <w:pStyle w:val="TextBody"/>
        <w:spacing w:before="1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4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Indicate by check mark whether the registrant is a shell company (as defined in Rule 12b</w:t>
        <w:noBreakHyphen/>
        <w:t>2 of the Exchange Act).    Yes  ☐    No  ☒</w:t>
      </w:r>
    </w:p>
    <w:p>
      <w:pPr>
        <w:pStyle w:val="TextBody"/>
        <w:spacing w:before="1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number of shares of the Registrant’s Common Stock, $0.00001 par value per share, outstanding as of August 7, 2019 was 77,768,206.</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ELDORADO RESORTS, INC.</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QUARTERLY REPORT FOR THE THREE MONTHS ENDED</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JUNE 30, 2019</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TABLE OF CONTENTS</w:t>
      </w:r>
    </w:p>
    <w:p>
      <w:pPr>
        <w:pStyle w:val="TextBody"/>
        <w:spacing w:before="0" w:after="0"/>
        <w:rPr/>
      </w:pPr>
      <w:r>
        <w:rPr/>
        <w:t> </w:t>
      </w:r>
    </w:p>
    <w:tbl>
      <w:tblPr>
        <w:tblW w:w="9780" w:type="dxa"/>
        <w:jc w:val="left"/>
        <w:tblInd w:w="0" w:type="dxa"/>
        <w:tblCellMar>
          <w:top w:w="0" w:type="dxa"/>
          <w:left w:w="0" w:type="dxa"/>
          <w:bottom w:w="28" w:type="dxa"/>
          <w:right w:w="0" w:type="dxa"/>
        </w:tblCellMar>
      </w:tblPr>
      <w:tblGrid>
        <w:gridCol w:w="635"/>
        <w:gridCol w:w="8780"/>
        <w:gridCol w:w="60"/>
        <w:gridCol w:w="305"/>
      </w:tblGrid>
      <w:tr>
        <w:trPr/>
        <w:tc>
          <w:tcPr>
            <w:tcW w:w="9415" w:type="dxa"/>
            <w:gridSpan w:val="2"/>
            <w:tcBorders>
              <w:bottom w:val="single" w:sz="6" w:space="0" w:color="000000"/>
            </w:tcBorders>
            <w:shd w:fill="auto" w:val="clear"/>
          </w:tcPr>
          <w:p>
            <w:pPr>
              <w:pStyle w:val="TableContents"/>
              <w:spacing w:before="0" w:after="0"/>
              <w:ind w:left="0" w:right="0" w:hanging="0"/>
              <w:jc w:val="right"/>
              <w:rPr/>
            </w:pPr>
            <w:r>
              <w:rPr/>
              <w:t> </w:t>
            </w:r>
          </w:p>
        </w:tc>
        <w:tc>
          <w:tcPr>
            <w:tcW w:w="60" w:type="dxa"/>
            <w:tcBorders>
              <w:bottom w:val="single" w:sz="6" w:space="0" w:color="000000"/>
            </w:tcBorders>
            <w:shd w:fill="auto" w:val="clear"/>
          </w:tcPr>
          <w:p>
            <w:pPr>
              <w:pStyle w:val="TableContents"/>
              <w:spacing w:before="0" w:after="0"/>
              <w:ind w:left="0" w:right="0" w:hanging="0"/>
              <w:jc w:val="center"/>
              <w:rPr/>
            </w:pPr>
            <w:r>
              <w:rPr/>
              <w:t> </w:t>
            </w:r>
          </w:p>
        </w:tc>
        <w:tc>
          <w:tcPr>
            <w:tcW w:w="30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Page</w:t>
            </w:r>
          </w:p>
        </w:tc>
      </w:tr>
      <w:tr>
        <w:trPr/>
        <w:tc>
          <w:tcPr>
            <w:tcW w:w="9415" w:type="dxa"/>
            <w:gridSpan w:val="2"/>
            <w:tcBorders/>
            <w:shd w:fill="auto" w:val="clear"/>
            <w:tcMar>
              <w:bottom w:w="0" w:type="dxa"/>
            </w:tcMar>
            <w:vAlign w:val="bottom"/>
          </w:tcPr>
          <w:p>
            <w:pPr>
              <w:pStyle w:val="TableContents"/>
              <w:spacing w:before="60" w:after="0"/>
              <w:ind w:left="0" w:right="0" w:hanging="0"/>
              <w:rPr/>
            </w:pPr>
            <w:hyperlink w:anchor="PART_IFINANCIAL_INFORMATION">
              <w:r>
                <w:rPr>
                  <w:rStyle w:val="InternetLink"/>
                  <w:rFonts w:ascii="Times New Roman" w:hAnsi="Times New Roman"/>
                  <w:b/>
                  <w:i w:val="false"/>
                  <w:caps w:val="false"/>
                  <w:smallCaps w:val="false"/>
                  <w:sz w:val="17"/>
                  <w:u w:val="single"/>
                </w:rPr>
                <w:t>PART I. FINANCIAL INFORMATION</w:t>
              </w:r>
            </w:hyperlink>
          </w:p>
        </w:tc>
        <w:tc>
          <w:tcPr>
            <w:tcW w:w="60" w:type="dxa"/>
            <w:tcBorders/>
            <w:shd w:fill="auto" w:val="clear"/>
            <w:tcMar>
              <w:bottom w:w="0" w:type="dxa"/>
            </w:tcMar>
          </w:tcPr>
          <w:p>
            <w:pPr>
              <w:pStyle w:val="TableContents"/>
              <w:spacing w:before="60" w:after="0"/>
              <w:ind w:left="0" w:right="0" w:hanging="0"/>
              <w:rPr/>
            </w:pPr>
            <w:r>
              <w:rPr/>
              <w:t> </w:t>
            </w:r>
          </w:p>
        </w:tc>
        <w:tc>
          <w:tcPr>
            <w:tcW w:w="305" w:type="dxa"/>
            <w:tcBorders/>
            <w:shd w:fill="auto" w:val="clear"/>
            <w:tcMar>
              <w:bottom w:w="0" w:type="dxa"/>
            </w:tcMar>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r>
      <w:tr>
        <w:trPr/>
        <w:tc>
          <w:tcPr>
            <w:tcW w:w="635" w:type="dxa"/>
            <w:tcBorders/>
            <w:shd w:fill="auto" w:val="clear"/>
            <w:tcMar>
              <w:bottom w:w="0" w:type="dxa"/>
            </w:tcMar>
          </w:tcPr>
          <w:p>
            <w:pPr>
              <w:pStyle w:val="TableContents"/>
              <w:spacing w:before="6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1.</w:t>
            </w:r>
          </w:p>
        </w:tc>
        <w:tc>
          <w:tcPr>
            <w:tcW w:w="8780" w:type="dxa"/>
            <w:tcBorders/>
            <w:shd w:fill="auto" w:val="clear"/>
            <w:tcMar>
              <w:bottom w:w="0" w:type="dxa"/>
            </w:tcMar>
            <w:vAlign w:val="bottom"/>
          </w:tcPr>
          <w:p>
            <w:pPr>
              <w:pStyle w:val="TableContents"/>
              <w:spacing w:before="60" w:after="0"/>
              <w:ind w:left="0" w:right="0" w:hanging="0"/>
              <w:rPr/>
            </w:pPr>
            <w:hyperlink w:anchor="ITEM_1_FINANCIAL_STATEMENTS">
              <w:r>
                <w:rPr>
                  <w:rStyle w:val="InternetLink"/>
                  <w:rFonts w:ascii="Times New Roman" w:hAnsi="Times New Roman"/>
                  <w:b w:val="false"/>
                  <w:i w:val="false"/>
                  <w:caps w:val="false"/>
                  <w:smallCaps w:val="false"/>
                  <w:sz w:val="17"/>
                  <w:u w:val="single"/>
                </w:rPr>
                <w:t>FINANCIAL STATEMENTS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r>
      <w:tr>
        <w:trPr/>
        <w:tc>
          <w:tcPr>
            <w:tcW w:w="635" w:type="dxa"/>
            <w:tcBorders/>
            <w:shd w:fill="auto" w:val="clear"/>
            <w:tcMar>
              <w:bottom w:w="0" w:type="dxa"/>
            </w:tcMar>
          </w:tcPr>
          <w:p>
            <w:pPr>
              <w:pStyle w:val="TableContents"/>
              <w:spacing w:before="60" w:after="0"/>
              <w:ind w:left="0" w:right="0" w:hanging="180"/>
              <w:rPr/>
            </w:pPr>
            <w:r>
              <w:rPr/>
              <w:t> </w:t>
            </w:r>
          </w:p>
        </w:tc>
        <w:tc>
          <w:tcPr>
            <w:tcW w:w="8780" w:type="dxa"/>
            <w:tcBorders/>
            <w:shd w:fill="auto" w:val="clear"/>
            <w:tcMar>
              <w:bottom w:w="0" w:type="dxa"/>
            </w:tcMar>
            <w:vAlign w:val="bottom"/>
          </w:tcPr>
          <w:p>
            <w:pPr>
              <w:pStyle w:val="TableContents"/>
              <w:spacing w:before="60" w:after="0"/>
              <w:ind w:left="0" w:right="0" w:hanging="0"/>
              <w:rPr/>
            </w:pPr>
            <w:hyperlink w:anchor="CONSOLIDATED_BALANCE_SHEETS">
              <w:r>
                <w:rPr>
                  <w:rStyle w:val="InternetLink"/>
                  <w:rFonts w:ascii="Times New Roman" w:hAnsi="Times New Roman"/>
                  <w:b w:val="false"/>
                  <w:i w:val="false"/>
                  <w:caps w:val="false"/>
                  <w:smallCaps w:val="false"/>
                  <w:sz w:val="17"/>
                  <w:u w:val="single"/>
                </w:rPr>
                <w:t>Consolidated Balance Sheets at June 30, 2019 (unaudited) and December 31, 2018</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r>
      <w:tr>
        <w:trPr/>
        <w:tc>
          <w:tcPr>
            <w:tcW w:w="635" w:type="dxa"/>
            <w:tcBorders/>
            <w:shd w:fill="auto" w:val="clear"/>
            <w:tcMar>
              <w:bottom w:w="0" w:type="dxa"/>
            </w:tcMar>
          </w:tcPr>
          <w:p>
            <w:pPr>
              <w:pStyle w:val="TableContents"/>
              <w:spacing w:before="60" w:after="0"/>
              <w:ind w:left="0" w:right="0" w:hanging="180"/>
              <w:rPr/>
            </w:pPr>
            <w:r>
              <w:rPr/>
              <w:t> </w:t>
            </w:r>
          </w:p>
        </w:tc>
        <w:tc>
          <w:tcPr>
            <w:tcW w:w="8780" w:type="dxa"/>
            <w:tcBorders/>
            <w:shd w:fill="auto" w:val="clear"/>
            <w:tcMar>
              <w:bottom w:w="0" w:type="dxa"/>
            </w:tcMar>
            <w:vAlign w:val="bottom"/>
          </w:tcPr>
          <w:p>
            <w:pPr>
              <w:pStyle w:val="TableContents"/>
              <w:spacing w:before="60" w:after="0"/>
              <w:ind w:left="245" w:right="0" w:hanging="245"/>
              <w:rPr/>
            </w:pPr>
            <w:hyperlink w:anchor="CONSOLIDATED_STATEMENTS_OPERATIONS">
              <w:r>
                <w:rPr>
                  <w:rStyle w:val="InternetLink"/>
                  <w:rFonts w:ascii="Times New Roman" w:hAnsi="Times New Roman"/>
                  <w:b w:val="false"/>
                  <w:i w:val="false"/>
                  <w:caps w:val="false"/>
                  <w:smallCaps w:val="false"/>
                  <w:sz w:val="17"/>
                  <w:u w:val="single"/>
                </w:rPr>
                <w:t>Consolidated Statements of Income for the Three and Six Months Ended June 30, 2019 and 2018 (unaudited)</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tc>
      </w:tr>
      <w:tr>
        <w:trPr/>
        <w:tc>
          <w:tcPr>
            <w:tcW w:w="635" w:type="dxa"/>
            <w:tcBorders/>
            <w:shd w:fill="auto" w:val="clear"/>
            <w:tcMar>
              <w:bottom w:w="0" w:type="dxa"/>
            </w:tcMar>
          </w:tcPr>
          <w:p>
            <w:pPr>
              <w:pStyle w:val="TableContents"/>
              <w:spacing w:before="60" w:after="0"/>
              <w:ind w:left="0" w:right="0" w:hanging="180"/>
              <w:rPr/>
            </w:pPr>
            <w:r>
              <w:rPr/>
              <w:t> </w:t>
            </w:r>
          </w:p>
        </w:tc>
        <w:tc>
          <w:tcPr>
            <w:tcW w:w="8780" w:type="dxa"/>
            <w:tcBorders/>
            <w:shd w:fill="auto" w:val="clear"/>
            <w:tcMar>
              <w:bottom w:w="0" w:type="dxa"/>
            </w:tcMar>
            <w:vAlign w:val="bottom"/>
          </w:tcPr>
          <w:p>
            <w:pPr>
              <w:pStyle w:val="TableContents"/>
              <w:spacing w:before="60" w:after="0"/>
              <w:ind w:left="245" w:right="0" w:hanging="245"/>
              <w:rPr/>
            </w:pPr>
            <w:hyperlink w:anchor="CONSOLIDATED_STATEMENTS_COMPREHENSIVE_IN">
              <w:r>
                <w:rPr>
                  <w:rStyle w:val="InternetLink"/>
                  <w:rFonts w:ascii="Times New Roman" w:hAnsi="Times New Roman"/>
                  <w:b w:val="false"/>
                  <w:i w:val="false"/>
                  <w:caps w:val="false"/>
                  <w:smallCaps w:val="false"/>
                  <w:sz w:val="17"/>
                  <w:u w:val="single"/>
                </w:rPr>
                <w:t>Consolidated Statements of Comprehensive Income for the Three and Six Months Ended June 30, 2019 and 2018 (unaudited)</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tc>
      </w:tr>
      <w:tr>
        <w:trPr/>
        <w:tc>
          <w:tcPr>
            <w:tcW w:w="635" w:type="dxa"/>
            <w:tcBorders/>
            <w:shd w:fill="auto" w:val="clear"/>
            <w:tcMar>
              <w:bottom w:w="0" w:type="dxa"/>
            </w:tcMar>
          </w:tcPr>
          <w:p>
            <w:pPr>
              <w:pStyle w:val="TableContents"/>
              <w:spacing w:before="60" w:after="0"/>
              <w:ind w:left="0" w:right="0" w:hanging="180"/>
              <w:rPr/>
            </w:pPr>
            <w:r>
              <w:rPr/>
              <w:t> </w:t>
            </w:r>
          </w:p>
        </w:tc>
        <w:tc>
          <w:tcPr>
            <w:tcW w:w="8780" w:type="dxa"/>
            <w:tcBorders/>
            <w:shd w:fill="auto" w:val="clear"/>
            <w:tcMar>
              <w:bottom w:w="0" w:type="dxa"/>
            </w:tcMar>
            <w:vAlign w:val="bottom"/>
          </w:tcPr>
          <w:p>
            <w:pPr>
              <w:pStyle w:val="TableContents"/>
              <w:spacing w:before="60" w:after="0"/>
              <w:ind w:left="245" w:right="0" w:hanging="245"/>
              <w:rPr/>
            </w:pPr>
            <w:hyperlink w:anchor="CONSOLIDATED_STATEMENTS_STOCKHOLDERS_EQU">
              <w:r>
                <w:rPr>
                  <w:rStyle w:val="InternetLink"/>
                  <w:rFonts w:ascii="Times New Roman" w:hAnsi="Times New Roman"/>
                  <w:b w:val="false"/>
                  <w:i w:val="false"/>
                  <w:caps w:val="false"/>
                  <w:smallCaps w:val="false"/>
                  <w:sz w:val="17"/>
                  <w:u w:val="single"/>
                </w:rPr>
                <w:t>Consolidated Statements of Stockholders’ Equity for the Six Months Ended June 30, 2019 and 2018 (unaudited)</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tc>
      </w:tr>
      <w:tr>
        <w:trPr/>
        <w:tc>
          <w:tcPr>
            <w:tcW w:w="635" w:type="dxa"/>
            <w:tcBorders/>
            <w:shd w:fill="auto" w:val="clear"/>
            <w:tcMar>
              <w:bottom w:w="0" w:type="dxa"/>
            </w:tcMar>
          </w:tcPr>
          <w:p>
            <w:pPr>
              <w:pStyle w:val="TableContents"/>
              <w:spacing w:before="60" w:after="0"/>
              <w:ind w:left="0" w:right="0" w:hanging="180"/>
              <w:rPr/>
            </w:pPr>
            <w:r>
              <w:rPr/>
              <w:t> </w:t>
            </w:r>
          </w:p>
        </w:tc>
        <w:tc>
          <w:tcPr>
            <w:tcW w:w="8780" w:type="dxa"/>
            <w:tcBorders/>
            <w:shd w:fill="auto" w:val="clear"/>
            <w:tcMar>
              <w:bottom w:w="0" w:type="dxa"/>
            </w:tcMar>
            <w:vAlign w:val="bottom"/>
          </w:tcPr>
          <w:p>
            <w:pPr>
              <w:pStyle w:val="TableContents"/>
              <w:spacing w:before="60" w:after="0"/>
              <w:ind w:left="0" w:right="0" w:hanging="0"/>
              <w:rPr/>
            </w:pPr>
            <w:hyperlink w:anchor="CONSOLIDATED_STATEMENTS_CASH_FLOWS">
              <w:r>
                <w:rPr>
                  <w:rStyle w:val="InternetLink"/>
                  <w:rFonts w:ascii="Times New Roman" w:hAnsi="Times New Roman"/>
                  <w:b w:val="false"/>
                  <w:i w:val="false"/>
                  <w:caps w:val="false"/>
                  <w:smallCaps w:val="false"/>
                  <w:sz w:val="17"/>
                  <w:u w:val="single"/>
                </w:rPr>
                <w:t>Consolidated Statements of Cash Flows for the Six Months Ended June 30, 2019 and 2018 (unaudited)</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w:t>
            </w:r>
          </w:p>
        </w:tc>
      </w:tr>
      <w:tr>
        <w:trPr/>
        <w:tc>
          <w:tcPr>
            <w:tcW w:w="635" w:type="dxa"/>
            <w:tcBorders/>
            <w:shd w:fill="auto" w:val="clear"/>
            <w:tcMar>
              <w:bottom w:w="0" w:type="dxa"/>
            </w:tcMar>
          </w:tcPr>
          <w:p>
            <w:pPr>
              <w:pStyle w:val="TableContents"/>
              <w:spacing w:before="60" w:after="0"/>
              <w:ind w:left="0" w:right="0" w:hanging="180"/>
              <w:rPr/>
            </w:pPr>
            <w:r>
              <w:rPr/>
              <w:t> </w:t>
            </w:r>
          </w:p>
        </w:tc>
        <w:tc>
          <w:tcPr>
            <w:tcW w:w="8780" w:type="dxa"/>
            <w:tcBorders/>
            <w:shd w:fill="auto" w:val="clear"/>
            <w:tcMar>
              <w:bottom w:w="0" w:type="dxa"/>
            </w:tcMar>
            <w:vAlign w:val="bottom"/>
          </w:tcPr>
          <w:p>
            <w:pPr>
              <w:pStyle w:val="TableContents"/>
              <w:spacing w:before="60" w:after="0"/>
              <w:ind w:left="0" w:right="0" w:hanging="0"/>
              <w:rPr/>
            </w:pPr>
            <w:hyperlink w:anchor="CONDENSED_NOTES_TO_UNAUDITED_CONSOLIDATE">
              <w:r>
                <w:rPr>
                  <w:rStyle w:val="InternetLink"/>
                  <w:rFonts w:ascii="Times New Roman" w:hAnsi="Times New Roman"/>
                  <w:b w:val="false"/>
                  <w:i w:val="false"/>
                  <w:caps w:val="false"/>
                  <w:smallCaps w:val="false"/>
                  <w:sz w:val="17"/>
                  <w:u w:val="single"/>
                </w:rPr>
                <w:t>Condensed Notes to Consolidated Financial Statements (unaudited)</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2.</w:t>
            </w:r>
          </w:p>
        </w:tc>
        <w:tc>
          <w:tcPr>
            <w:tcW w:w="8780" w:type="dxa"/>
            <w:tcBorders/>
            <w:shd w:fill="auto" w:val="clear"/>
            <w:tcMar>
              <w:bottom w:w="0" w:type="dxa"/>
            </w:tcMar>
            <w:vAlign w:val="bottom"/>
          </w:tcPr>
          <w:p>
            <w:pPr>
              <w:pStyle w:val="TableContents"/>
              <w:spacing w:before="60" w:after="0"/>
              <w:ind w:left="245" w:right="0" w:hanging="245"/>
              <w:rPr/>
            </w:pPr>
            <w:hyperlink w:anchor="ITEM_2_MANAGEMENTS_DISCUSSION_ANALYSIS_F">
              <w:r>
                <w:rPr>
                  <w:rStyle w:val="InternetLink"/>
                  <w:rFonts w:ascii="Times New Roman" w:hAnsi="Times New Roman"/>
                  <w:b w:val="false"/>
                  <w:i w:val="false"/>
                  <w:caps w:val="false"/>
                  <w:smallCaps w:val="false"/>
                  <w:sz w:val="17"/>
                  <w:u w:val="single"/>
                </w:rPr>
                <w:t>MANAGEMENT’S DISCUSSION AND ANALYSIS OF FINANCIAL CONDITION AND RESULTS OF OPERATIONS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44</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3.</w:t>
            </w:r>
          </w:p>
        </w:tc>
        <w:tc>
          <w:tcPr>
            <w:tcW w:w="8780" w:type="dxa"/>
            <w:tcBorders/>
            <w:shd w:fill="auto" w:val="clear"/>
            <w:tcMar>
              <w:bottom w:w="0" w:type="dxa"/>
            </w:tcMar>
            <w:vAlign w:val="bottom"/>
          </w:tcPr>
          <w:p>
            <w:pPr>
              <w:pStyle w:val="TableContents"/>
              <w:spacing w:before="60" w:after="0"/>
              <w:ind w:left="0" w:right="0" w:hanging="0"/>
              <w:rPr/>
            </w:pPr>
            <w:hyperlink w:anchor="ITEM_3_QUANTITATIVE_QUALITATIVE_DISCLOSU">
              <w:r>
                <w:rPr>
                  <w:rStyle w:val="InternetLink"/>
                  <w:rFonts w:ascii="Times New Roman" w:hAnsi="Times New Roman"/>
                  <w:b w:val="false"/>
                  <w:i w:val="false"/>
                  <w:caps w:val="false"/>
                  <w:smallCaps w:val="false"/>
                  <w:sz w:val="17"/>
                  <w:u w:val="single"/>
                </w:rPr>
                <w:t>QUANTITATIVE AND QUALITATIVE DISCLOSURES ABOUT MARKET RISK</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67</w:t>
            </w:r>
          </w:p>
        </w:tc>
      </w:tr>
      <w:tr>
        <w:trPr/>
        <w:tc>
          <w:tcPr>
            <w:tcW w:w="635" w:type="dxa"/>
            <w:tcBorders/>
            <w:shd w:fill="auto" w:val="clear"/>
            <w:tcMar>
              <w:bottom w:w="0" w:type="dxa"/>
            </w:tcMar>
            <w:vAlign w:val="bottom"/>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4.</w:t>
            </w:r>
          </w:p>
        </w:tc>
        <w:tc>
          <w:tcPr>
            <w:tcW w:w="8780" w:type="dxa"/>
            <w:tcBorders/>
            <w:shd w:fill="auto" w:val="clear"/>
            <w:tcMar>
              <w:bottom w:w="0" w:type="dxa"/>
            </w:tcMar>
            <w:vAlign w:val="bottom"/>
          </w:tcPr>
          <w:p>
            <w:pPr>
              <w:pStyle w:val="TableContents"/>
              <w:spacing w:before="60" w:after="0"/>
              <w:ind w:left="0" w:right="0" w:hanging="0"/>
              <w:rPr/>
            </w:pPr>
            <w:hyperlink w:anchor="ITEM_4_CONTROLS_PROCEDURES">
              <w:r>
                <w:rPr>
                  <w:rStyle w:val="InternetLink"/>
                  <w:rFonts w:ascii="Times New Roman" w:hAnsi="Times New Roman"/>
                  <w:b w:val="false"/>
                  <w:i w:val="false"/>
                  <w:caps w:val="false"/>
                  <w:smallCaps w:val="false"/>
                  <w:sz w:val="17"/>
                  <w:u w:val="single"/>
                </w:rPr>
                <w:t>CONTROLS AND PROCEDURES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67</w:t>
            </w:r>
          </w:p>
        </w:tc>
      </w:tr>
      <w:tr>
        <w:trPr/>
        <w:tc>
          <w:tcPr>
            <w:tcW w:w="9415" w:type="dxa"/>
            <w:gridSpan w:val="2"/>
            <w:tcBorders/>
            <w:shd w:fill="auto" w:val="clear"/>
            <w:tcMar>
              <w:bottom w:w="0" w:type="dxa"/>
            </w:tcMar>
            <w:vAlign w:val="bottom"/>
          </w:tcPr>
          <w:p>
            <w:pPr>
              <w:pStyle w:val="TableContents"/>
              <w:spacing w:before="60" w:after="0"/>
              <w:ind w:left="0" w:right="0" w:hanging="0"/>
              <w:rPr/>
            </w:pPr>
            <w:hyperlink w:anchor="PART_II">
              <w:r>
                <w:rPr>
                  <w:rStyle w:val="InternetLink"/>
                  <w:rFonts w:ascii="Times New Roman" w:hAnsi="Times New Roman"/>
                  <w:b/>
                  <w:i w:val="false"/>
                  <w:caps w:val="false"/>
                  <w:smallCaps w:val="false"/>
                  <w:sz w:val="17"/>
                  <w:u w:val="single"/>
                </w:rPr>
                <w:t>PART II. OTHER INFORMATION</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69</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1.</w:t>
            </w:r>
          </w:p>
        </w:tc>
        <w:tc>
          <w:tcPr>
            <w:tcW w:w="8780" w:type="dxa"/>
            <w:tcBorders/>
            <w:shd w:fill="auto" w:val="clear"/>
            <w:tcMar>
              <w:bottom w:w="0" w:type="dxa"/>
            </w:tcMar>
            <w:vAlign w:val="bottom"/>
          </w:tcPr>
          <w:p>
            <w:pPr>
              <w:pStyle w:val="TableContents"/>
              <w:spacing w:before="60" w:after="0"/>
              <w:ind w:left="0" w:right="0" w:hanging="0"/>
              <w:rPr/>
            </w:pPr>
            <w:hyperlink w:anchor="ITEM_1_LEGAL_PROCEEDINGS">
              <w:r>
                <w:rPr>
                  <w:rStyle w:val="InternetLink"/>
                  <w:rFonts w:ascii="Times New Roman" w:hAnsi="Times New Roman"/>
                  <w:b w:val="false"/>
                  <w:i w:val="false"/>
                  <w:caps w:val="false"/>
                  <w:smallCaps w:val="false"/>
                  <w:sz w:val="17"/>
                  <w:u w:val="single"/>
                </w:rPr>
                <w:t>LEGAL PROCEEDINGS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69</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1A.</w:t>
            </w:r>
          </w:p>
        </w:tc>
        <w:tc>
          <w:tcPr>
            <w:tcW w:w="8780" w:type="dxa"/>
            <w:tcBorders/>
            <w:shd w:fill="auto" w:val="clear"/>
            <w:tcMar>
              <w:bottom w:w="0" w:type="dxa"/>
            </w:tcMar>
            <w:vAlign w:val="bottom"/>
          </w:tcPr>
          <w:p>
            <w:pPr>
              <w:pStyle w:val="TableContents"/>
              <w:spacing w:before="60" w:after="0"/>
              <w:ind w:left="0" w:right="0" w:hanging="0"/>
              <w:rPr/>
            </w:pPr>
            <w:hyperlink w:anchor="ITEM_1A_RISK_FACTORS">
              <w:r>
                <w:rPr>
                  <w:rStyle w:val="InternetLink"/>
                  <w:rFonts w:ascii="Times New Roman" w:hAnsi="Times New Roman"/>
                  <w:b w:val="false"/>
                  <w:i w:val="false"/>
                  <w:caps w:val="false"/>
                  <w:smallCaps w:val="false"/>
                  <w:sz w:val="17"/>
                  <w:u w:val="single"/>
                </w:rPr>
                <w:t>RISK FACTORS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69</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2.</w:t>
            </w:r>
          </w:p>
        </w:tc>
        <w:tc>
          <w:tcPr>
            <w:tcW w:w="8780" w:type="dxa"/>
            <w:tcBorders/>
            <w:shd w:fill="auto" w:val="clear"/>
            <w:tcMar>
              <w:bottom w:w="0" w:type="dxa"/>
            </w:tcMar>
            <w:vAlign w:val="bottom"/>
          </w:tcPr>
          <w:p>
            <w:pPr>
              <w:pStyle w:val="TableContents"/>
              <w:spacing w:before="60" w:after="0"/>
              <w:ind w:left="0" w:right="0" w:hanging="0"/>
              <w:rPr/>
            </w:pPr>
            <w:hyperlink w:anchor="ITEM_2_UNREGISTERED_SALES_EQUITY_SECURIT">
              <w:r>
                <w:rPr>
                  <w:rStyle w:val="InternetLink"/>
                  <w:rFonts w:ascii="Times New Roman" w:hAnsi="Times New Roman"/>
                  <w:b w:val="false"/>
                  <w:i w:val="false"/>
                  <w:caps w:val="false"/>
                  <w:smallCaps w:val="false"/>
                  <w:sz w:val="17"/>
                  <w:u w:val="single"/>
                </w:rPr>
                <w:t>UNREGISTERED SALES OF EQUITY SECURITIES AND USE OF PROCEEDS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76</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3.</w:t>
            </w:r>
          </w:p>
        </w:tc>
        <w:tc>
          <w:tcPr>
            <w:tcW w:w="8780" w:type="dxa"/>
            <w:tcBorders/>
            <w:shd w:fill="auto" w:val="clear"/>
            <w:tcMar>
              <w:bottom w:w="0" w:type="dxa"/>
            </w:tcMar>
            <w:vAlign w:val="bottom"/>
          </w:tcPr>
          <w:p>
            <w:pPr>
              <w:pStyle w:val="TableContents"/>
              <w:spacing w:before="60" w:after="0"/>
              <w:ind w:left="0" w:right="0" w:hanging="0"/>
              <w:rPr/>
            </w:pPr>
            <w:hyperlink w:anchor="ITEM_3_DEFAULTS_UPON_SENIOR_SECURITIES">
              <w:r>
                <w:rPr>
                  <w:rStyle w:val="InternetLink"/>
                  <w:rFonts w:ascii="Times New Roman" w:hAnsi="Times New Roman"/>
                  <w:b w:val="false"/>
                  <w:i w:val="false"/>
                  <w:caps w:val="false"/>
                  <w:smallCaps w:val="false"/>
                  <w:sz w:val="17"/>
                  <w:u w:val="single"/>
                </w:rPr>
                <w:t>DEFAULTS UPON SENIOR SECURITIES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76</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4.</w:t>
            </w:r>
          </w:p>
        </w:tc>
        <w:tc>
          <w:tcPr>
            <w:tcW w:w="8780" w:type="dxa"/>
            <w:tcBorders/>
            <w:shd w:fill="auto" w:val="clear"/>
            <w:tcMar>
              <w:bottom w:w="0" w:type="dxa"/>
            </w:tcMar>
            <w:vAlign w:val="bottom"/>
          </w:tcPr>
          <w:p>
            <w:pPr>
              <w:pStyle w:val="TableContents"/>
              <w:spacing w:before="60" w:after="0"/>
              <w:ind w:left="0" w:right="0" w:hanging="0"/>
              <w:rPr/>
            </w:pPr>
            <w:hyperlink w:anchor="ITEM_4_MINE_SAFETY_DISCLOSURES">
              <w:r>
                <w:rPr>
                  <w:rStyle w:val="InternetLink"/>
                  <w:rFonts w:ascii="Times New Roman" w:hAnsi="Times New Roman"/>
                  <w:b w:val="false"/>
                  <w:i w:val="false"/>
                  <w:caps w:val="false"/>
                  <w:smallCaps w:val="false"/>
                  <w:sz w:val="17"/>
                  <w:u w:val="single"/>
                </w:rPr>
                <w:t>MINE SAFETY DISCLOSURES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76</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5.</w:t>
            </w:r>
          </w:p>
        </w:tc>
        <w:tc>
          <w:tcPr>
            <w:tcW w:w="8780" w:type="dxa"/>
            <w:tcBorders/>
            <w:shd w:fill="auto" w:val="clear"/>
            <w:tcMar>
              <w:bottom w:w="0" w:type="dxa"/>
            </w:tcMar>
            <w:vAlign w:val="bottom"/>
          </w:tcPr>
          <w:p>
            <w:pPr>
              <w:pStyle w:val="TableContents"/>
              <w:spacing w:before="60" w:after="0"/>
              <w:ind w:left="0" w:right="0" w:hanging="0"/>
              <w:rPr/>
            </w:pPr>
            <w:hyperlink w:anchor="ITEM_5_OR_INFORMATION">
              <w:r>
                <w:rPr>
                  <w:rStyle w:val="InternetLink"/>
                  <w:rFonts w:ascii="Times New Roman" w:hAnsi="Times New Roman"/>
                  <w:b w:val="false"/>
                  <w:i w:val="false"/>
                  <w:caps w:val="false"/>
                  <w:smallCaps w:val="false"/>
                  <w:sz w:val="17"/>
                  <w:u w:val="single"/>
                </w:rPr>
                <w:t>OTHER INFORMATION</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76</w:t>
            </w:r>
          </w:p>
        </w:tc>
      </w:tr>
      <w:tr>
        <w:trPr/>
        <w:tc>
          <w:tcPr>
            <w:tcW w:w="635" w:type="dxa"/>
            <w:tcBorders/>
            <w:shd w:fill="auto" w:val="clear"/>
            <w:tcMar>
              <w:bottom w:w="0" w:type="dxa"/>
            </w:tcMar>
          </w:tcPr>
          <w:p>
            <w:pPr>
              <w:pStyle w:val="TableContents"/>
              <w:spacing w:before="60" w:after="0"/>
              <w:ind w:left="187" w:right="0" w:hanging="187"/>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6.</w:t>
            </w:r>
          </w:p>
        </w:tc>
        <w:tc>
          <w:tcPr>
            <w:tcW w:w="8780" w:type="dxa"/>
            <w:tcBorders/>
            <w:shd w:fill="auto" w:val="clear"/>
            <w:tcMar>
              <w:bottom w:w="0" w:type="dxa"/>
            </w:tcMar>
            <w:vAlign w:val="bottom"/>
          </w:tcPr>
          <w:p>
            <w:pPr>
              <w:pStyle w:val="TableContents"/>
              <w:spacing w:before="60" w:after="0"/>
              <w:ind w:left="0" w:right="0" w:hanging="0"/>
              <w:rPr/>
            </w:pPr>
            <w:hyperlink w:anchor="ITEM_6_EXHIBITS">
              <w:r>
                <w:rPr>
                  <w:rStyle w:val="InternetLink"/>
                  <w:rFonts w:ascii="Times New Roman" w:hAnsi="Times New Roman"/>
                  <w:b w:val="false"/>
                  <w:i w:val="false"/>
                  <w:caps w:val="false"/>
                  <w:smallCaps w:val="false"/>
                  <w:sz w:val="17"/>
                  <w:u w:val="single"/>
                </w:rPr>
                <w:t>EXHIBITS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77</w:t>
            </w:r>
          </w:p>
        </w:tc>
      </w:tr>
      <w:tr>
        <w:trPr/>
        <w:tc>
          <w:tcPr>
            <w:tcW w:w="9415" w:type="dxa"/>
            <w:gridSpan w:val="2"/>
            <w:tcBorders/>
            <w:shd w:fill="auto" w:val="clear"/>
            <w:tcMar>
              <w:bottom w:w="0" w:type="dxa"/>
            </w:tcMar>
            <w:vAlign w:val="bottom"/>
          </w:tcPr>
          <w:p>
            <w:pPr>
              <w:pStyle w:val="TableContents"/>
              <w:spacing w:before="0" w:after="0"/>
              <w:ind w:left="0" w:right="0" w:hanging="0"/>
              <w:rPr/>
            </w:pPr>
            <w:hyperlink w:anchor="SIGNATURES">
              <w:r>
                <w:rPr>
                  <w:rStyle w:val="InternetLink"/>
                  <w:rFonts w:ascii="Times New Roman" w:hAnsi="Times New Roman"/>
                  <w:b/>
                  <w:i w:val="false"/>
                  <w:caps w:val="false"/>
                  <w:smallCaps w:val="false"/>
                  <w:sz w:val="17"/>
                  <w:u w:val="single"/>
                </w:rPr>
                <w:t>SIGNATURES</w:t>
              </w:r>
            </w:hyperlink>
          </w:p>
        </w:tc>
        <w:tc>
          <w:tcPr>
            <w:tcW w:w="60" w:type="dxa"/>
            <w:tcBorders/>
            <w:shd w:fill="auto" w:val="clear"/>
            <w:tcMar>
              <w:bottom w:w="0" w:type="dxa"/>
            </w:tcMar>
          </w:tcPr>
          <w:p>
            <w:pPr>
              <w:pStyle w:val="TableContents"/>
              <w:spacing w:before="60" w:after="0"/>
              <w:ind w:left="0" w:right="0" w:hanging="0"/>
              <w:jc w:val="right"/>
              <w:rPr/>
            </w:pPr>
            <w:r>
              <w:rPr/>
              <w:t> </w:t>
            </w:r>
          </w:p>
        </w:tc>
        <w:tc>
          <w:tcPr>
            <w:tcW w:w="305" w:type="dxa"/>
            <w:tcBorders/>
            <w:shd w:fill="auto" w:val="clear"/>
            <w:tcMar>
              <w:bottom w:w="0" w:type="dxa"/>
            </w:tcMar>
            <w:vAlign w:val="bottom"/>
          </w:tcPr>
          <w:p>
            <w:pPr>
              <w:pStyle w:val="TableContents"/>
              <w:spacing w:before="6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78</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bookmarkStart w:id="2" w:name="PART_IFINANCIAL_INFORMATION"/>
      <w:bookmarkEnd w:id="2"/>
      <w:r>
        <w:rPr>
          <w:rFonts w:ascii="Times New Roman" w:hAnsi="Times New Roman"/>
          <w:b/>
          <w:i w:val="false"/>
          <w:caps w:val="false"/>
          <w:smallCaps w:val="false"/>
          <w:sz w:val="17"/>
        </w:rPr>
        <w:t>PART I-FINANCIAL INFORMATION</w:t>
      </w:r>
    </w:p>
    <w:p>
      <w:pPr>
        <w:pStyle w:val="TextBody"/>
        <w:spacing w:before="80" w:after="0"/>
        <w:jc w:val="center"/>
        <w:rPr>
          <w:rFonts w:ascii="Times New Roman" w:hAnsi="Times New Roman"/>
          <w:b/>
          <w:i w:val="false"/>
          <w:caps w:val="false"/>
          <w:smallCaps w:val="false"/>
          <w:sz w:val="17"/>
        </w:rPr>
      </w:pPr>
      <w:bookmarkStart w:id="3" w:name="ITEM_1_FINANCIAL_STATEMENTS"/>
      <w:bookmarkEnd w:id="3"/>
      <w:r>
        <w:rPr>
          <w:rFonts w:ascii="Times New Roman" w:hAnsi="Times New Roman"/>
          <w:b/>
          <w:i w:val="false"/>
          <w:caps w:val="false"/>
          <w:smallCaps w:val="false"/>
          <w:sz w:val="17"/>
        </w:rPr>
        <w:t>Item 1.  Financial Statements.</w:t>
      </w:r>
    </w:p>
    <w:p>
      <w:pPr>
        <w:pStyle w:val="TextBody"/>
        <w:spacing w:before="12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ELDORADO RESORTS, INC.</w:t>
      </w:r>
    </w:p>
    <w:p>
      <w:pPr>
        <w:pStyle w:val="TextBody"/>
        <w:spacing w:before="0" w:after="0"/>
        <w:jc w:val="center"/>
        <w:rPr>
          <w:rFonts w:ascii="Times New Roman" w:hAnsi="Times New Roman"/>
          <w:b/>
          <w:i w:val="false"/>
          <w:caps w:val="false"/>
          <w:smallCaps w:val="false"/>
          <w:sz w:val="17"/>
        </w:rPr>
      </w:pPr>
      <w:bookmarkStart w:id="4" w:name="CONSOLIDATED_BALANCE_SHEETS"/>
      <w:bookmarkEnd w:id="4"/>
      <w:r>
        <w:rPr>
          <w:rFonts w:ascii="Times New Roman" w:hAnsi="Times New Roman"/>
          <w:b/>
          <w:i w:val="false"/>
          <w:caps w:val="false"/>
          <w:smallCaps w:val="false"/>
          <w:sz w:val="17"/>
        </w:rPr>
        <w:t>CONSOLIDATED BALANCE SHEETS</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(dollars in thousands)</w:t>
      </w:r>
    </w:p>
    <w:p>
      <w:pPr>
        <w:pStyle w:val="TextBody"/>
        <w:spacing w:before="0" w:after="0"/>
        <w:rPr/>
      </w:pPr>
      <w:r>
        <w:rPr/>
        <w:t> </w:t>
      </w:r>
    </w:p>
    <w:tbl>
      <w:tblPr>
        <w:tblW w:w="7325" w:type="dxa"/>
        <w:jc w:val="left"/>
        <w:tblInd w:w="0" w:type="dxa"/>
        <w:tblCellMar>
          <w:top w:w="0" w:type="dxa"/>
          <w:left w:w="0" w:type="dxa"/>
          <w:bottom w:w="0" w:type="dxa"/>
          <w:right w:w="0" w:type="dxa"/>
        </w:tblCellMar>
      </w:tblPr>
      <w:tblGrid>
        <w:gridCol w:w="5225"/>
        <w:gridCol w:w="60"/>
        <w:gridCol w:w="110"/>
        <w:gridCol w:w="60"/>
        <w:gridCol w:w="740"/>
        <w:gridCol w:w="80"/>
        <w:gridCol w:w="60"/>
        <w:gridCol w:w="110"/>
        <w:gridCol w:w="60"/>
        <w:gridCol w:w="740"/>
        <w:gridCol w:w="80"/>
      </w:tblGrid>
      <w:tr>
        <w:trPr/>
        <w:tc>
          <w:tcPr>
            <w:tcW w:w="522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(unaudited)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183,139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230,752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Restricted cash and investments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24,718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24,892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Marketable securities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22,679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16,957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Accounts receivable,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60,059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60,169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Due from affiliates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3,043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Inventories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19,016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20,595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Income taxes receivable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15,731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Prepaid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40,335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48,002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Assets held for sale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349,649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155,771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702,638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573,196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Investment in and advances to unconsolidated affiliates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131,382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1,892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Property and equipment,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2,713,805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2,882,606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Gaming licenses and other intangibles,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1,219,378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1,362,006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Goodwill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967,397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1,008,316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Other assets, net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347,402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83,446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assets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6,082,002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5,911,462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LIABILITIES AND STOCKHOLDERS’ EQUITY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CURRENT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Current portion of long-term debt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Accounts payable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56,413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58,524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Accrued property, gaming and other taxes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50,228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51,931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Accrued payroll and related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75,160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87,332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Accrued interest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38,754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42,780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Income taxes payable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17,951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47,475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Accrued other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130,784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102,982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Liabilities related to assets held for sale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13,621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10,691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current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383,240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402,177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Long-term financing obligation to GLPI</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965,208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959,835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Long-term debt, less current portion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3,018,455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3,261,273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Deferred income taxes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192,128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200,010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Other long-term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437,452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59,014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4,996,483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4,882,309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Commitments and contingencies (Note 14)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STOCKHOLDERS' EQUITY: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Common stock, 200,000,000 shares authorized, 77,543,101</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and 77,215,066 issued and outstanding, net of treasury shares, par value</w:t>
            </w:r>
          </w:p>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16"/>
              </w:rPr>
              <w:t>$0.00001 as of June 30, 2019 and December 31, 2018, respectively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Paid-in capital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752,021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748,076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Retained earnings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342,627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290,206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Treasury stock at cost, 223,823 shares held at June 30, 2019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6"/>
              </w:rPr>
              <w:t>December 31, 2018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(9,131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(9,131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522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Accumulated other comprehensive income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stockholders’ equity</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1,085,519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1,029,153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2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liabilities and stockholders’ equity</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6,082,002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5,911,462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condensed notes are an integral part of these consolidated financial statements.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ELDORADO RESORTS, INC.</w:t>
      </w:r>
    </w:p>
    <w:p>
      <w:pPr>
        <w:pStyle w:val="TextBody"/>
        <w:spacing w:before="0" w:after="0"/>
        <w:jc w:val="center"/>
        <w:rPr>
          <w:rFonts w:ascii="Times New Roman" w:hAnsi="Times New Roman"/>
          <w:b/>
          <w:i w:val="false"/>
          <w:caps w:val="false"/>
          <w:smallCaps w:val="false"/>
          <w:sz w:val="17"/>
        </w:rPr>
      </w:pPr>
      <w:bookmarkStart w:id="5" w:name="CONSOLIDATED_STATEMENTS_OPERATIONS"/>
      <w:bookmarkEnd w:id="5"/>
      <w:r>
        <w:rPr>
          <w:rFonts w:ascii="Times New Roman" w:hAnsi="Times New Roman"/>
          <w:b/>
          <w:i w:val="false"/>
          <w:caps w:val="false"/>
          <w:smallCaps w:val="false"/>
          <w:sz w:val="17"/>
        </w:rPr>
        <w:t>CONSOLIDATED STATEMENTS OF INCOME</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(dollars in thousands, except per share data)</w:t>
      </w:r>
    </w:p>
    <w:p>
      <w:pPr>
        <w:pStyle w:val="TextBody"/>
        <w:spacing w:before="12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(unaudited)</w:t>
      </w:r>
    </w:p>
    <w:p>
      <w:pPr>
        <w:pStyle w:val="TextBody"/>
        <w:spacing w:before="0" w:after="0"/>
        <w:rPr/>
      </w:pPr>
      <w:r>
        <w:rPr/>
        <w:t> </w:t>
      </w:r>
    </w:p>
    <w:tbl>
      <w:tblPr>
        <w:tblW w:w="8600" w:type="dxa"/>
        <w:jc w:val="left"/>
        <w:tblInd w:w="0" w:type="dxa"/>
        <w:tblCellMar>
          <w:top w:w="0" w:type="dxa"/>
          <w:left w:w="0" w:type="dxa"/>
          <w:bottom w:w="0" w:type="dxa"/>
          <w:right w:w="0" w:type="dxa"/>
        </w:tblCellMar>
      </w:tblPr>
      <w:tblGrid>
        <w:gridCol w:w="4040"/>
        <w:gridCol w:w="60"/>
        <w:gridCol w:w="110"/>
        <w:gridCol w:w="60"/>
        <w:gridCol w:w="830"/>
        <w:gridCol w:w="80"/>
        <w:gridCol w:w="60"/>
        <w:gridCol w:w="110"/>
        <w:gridCol w:w="60"/>
        <w:gridCol w:w="830"/>
        <w:gridCol w:w="80"/>
        <w:gridCol w:w="60"/>
        <w:gridCol w:w="110"/>
        <w:gridCol w:w="60"/>
        <w:gridCol w:w="830"/>
        <w:gridCol w:w="80"/>
        <w:gridCol w:w="60"/>
        <w:gridCol w:w="110"/>
        <w:gridCol w:w="60"/>
        <w:gridCol w:w="830"/>
        <w:gridCol w:w="80"/>
      </w:tblGrid>
      <w:tr>
        <w:trPr/>
        <w:tc>
          <w:tcPr>
            <w:tcW w:w="404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4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4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4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4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Casino and pari-mutuel commissions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456,997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348,720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927,848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692,248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Food and beverage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75,428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54,293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150,637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106,491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Hotel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78,484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38,926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143,175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69,667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26,212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14,863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51,284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28,588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revenues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637,121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456,802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1,272,944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896,994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Casino and pari-mutuel commissions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203,240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169,945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413,546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339,496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Food and beverage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59,497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44,770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119,882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89,546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Hotel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25,136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13,695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48,786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26,201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10,723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8,310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21,972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15,715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Marketing and promotions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32,080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21,832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64,381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43,133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General and administrative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117,431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73,745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237,319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147,947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21,051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12,232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37,805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23,801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Impairment charges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9,815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56,533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31,910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114,290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63,444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operating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525,691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376,439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1,058,939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759,098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(Loss) gain on sale or disposal of property and equipment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423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21,952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(283</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Transaction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(7,292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(3,404</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(9,186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(5,952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(Loss) income from unconsolidated affiliates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4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102,550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77,414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226,154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131,608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expense,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(71,798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(31,405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(145,308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(62,656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Unrealized loss on restricted investments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(1,398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(2,858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other expense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(73,196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(31,405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(148,166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(62,656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before income taxes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29,354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46,009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77,988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68,952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Provision for income taxes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(10,418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(9,213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(20,823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(11,301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4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18,936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36,796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57,165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57,651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 per share of common stock:</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Basic</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0.48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Diluted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0.47</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0.73</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basic shares outstanding</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77,682,759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77,458,584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77,625,303</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77,406,447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diluted shares outstanding</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78,725,289</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78,258,629</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78,657,552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78,169,629</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condensed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ELDORADO RESORTS, INC.</w:t>
      </w:r>
    </w:p>
    <w:p>
      <w:pPr>
        <w:pStyle w:val="TextBody"/>
        <w:spacing w:before="0" w:after="0"/>
        <w:jc w:val="center"/>
        <w:rPr>
          <w:rFonts w:ascii="Times New Roman" w:hAnsi="Times New Roman"/>
          <w:b/>
          <w:i w:val="false"/>
          <w:caps w:val="false"/>
          <w:smallCaps w:val="false"/>
          <w:sz w:val="17"/>
        </w:rPr>
      </w:pPr>
      <w:bookmarkStart w:id="6" w:name="CONSOLIDATED_STATEMENTS_COMPREHENSIVE_IN"/>
      <w:bookmarkEnd w:id="6"/>
      <w:r>
        <w:rPr>
          <w:rFonts w:ascii="Times New Roman" w:hAnsi="Times New Roman"/>
          <w:b/>
          <w:i w:val="false"/>
          <w:caps w:val="false"/>
          <w:smallCaps w:val="false"/>
          <w:sz w:val="17"/>
        </w:rPr>
        <w:t>CONSOLIDATED STATEMENTS OF COMPREHENSIVE INCOME</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(dollars in thousands)</w:t>
      </w:r>
    </w:p>
    <w:p>
      <w:pPr>
        <w:pStyle w:val="TextBody"/>
        <w:spacing w:before="12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(unaudited)</w:t>
      </w:r>
    </w:p>
    <w:p>
      <w:pPr>
        <w:pStyle w:val="TextBody"/>
        <w:spacing w:before="0" w:after="0"/>
        <w:rPr/>
      </w:pPr>
      <w:r>
        <w:rPr/>
        <w:t> </w:t>
      </w:r>
    </w:p>
    <w:tbl>
      <w:tblPr>
        <w:tblW w:w="6030" w:type="dxa"/>
        <w:jc w:val="left"/>
        <w:tblInd w:w="0" w:type="dxa"/>
        <w:tblCellMar>
          <w:top w:w="0" w:type="dxa"/>
          <w:left w:w="0" w:type="dxa"/>
          <w:bottom w:w="0" w:type="dxa"/>
          <w:right w:w="0" w:type="dxa"/>
        </w:tblCellMar>
      </w:tblPr>
      <w:tblGrid>
        <w:gridCol w:w="2810"/>
        <w:gridCol w:w="60"/>
        <w:gridCol w:w="110"/>
        <w:gridCol w:w="60"/>
        <w:gridCol w:w="515"/>
        <w:gridCol w:w="60"/>
        <w:gridCol w:w="60"/>
        <w:gridCol w:w="110"/>
        <w:gridCol w:w="60"/>
        <w:gridCol w:w="515"/>
        <w:gridCol w:w="60"/>
        <w:gridCol w:w="60"/>
        <w:gridCol w:w="110"/>
        <w:gridCol w:w="60"/>
        <w:gridCol w:w="515"/>
        <w:gridCol w:w="60"/>
        <w:gridCol w:w="60"/>
        <w:gridCol w:w="110"/>
        <w:gridCol w:w="60"/>
        <w:gridCol w:w="515"/>
        <w:gridCol w:w="60"/>
      </w:tblGrid>
      <w:tr>
        <w:trPr/>
        <w:tc>
          <w:tcPr>
            <w:tcW w:w="281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18,936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36,796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57,165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57,651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comprehensive income, net of tax</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Comprehensive income, net of tax</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18,936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36,796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57,165</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57,651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condensed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ELDORADO RESORTS, INC.</w:t>
      </w:r>
    </w:p>
    <w:p>
      <w:pPr>
        <w:pStyle w:val="TextBody"/>
        <w:spacing w:before="0" w:after="0"/>
        <w:jc w:val="center"/>
        <w:rPr>
          <w:rFonts w:ascii="Times New Roman" w:hAnsi="Times New Roman"/>
          <w:b/>
          <w:i w:val="false"/>
          <w:caps w:val="false"/>
          <w:smallCaps w:val="false"/>
          <w:sz w:val="17"/>
        </w:rPr>
      </w:pPr>
      <w:bookmarkStart w:id="7" w:name="CONSOLIDATED_STATEMENTS_STOCKHOLDERS_EQU"/>
      <w:bookmarkEnd w:id="7"/>
      <w:r>
        <w:rPr>
          <w:rFonts w:ascii="Times New Roman" w:hAnsi="Times New Roman"/>
          <w:b/>
          <w:i w:val="false"/>
          <w:caps w:val="false"/>
          <w:smallCaps w:val="false"/>
          <w:sz w:val="17"/>
        </w:rPr>
        <w:t>CONSOLIDATED STATEMENTS OF STOCKHOLDERS’ EQUITY</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(dollars in thousands)</w:t>
      </w:r>
    </w:p>
    <w:p>
      <w:pPr>
        <w:pStyle w:val="TextBody"/>
        <w:spacing w:before="12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(unaudited)</w:t>
      </w:r>
    </w:p>
    <w:p>
      <w:pPr>
        <w:pStyle w:val="TextBody"/>
        <w:spacing w:before="0" w:after="0"/>
        <w:rPr/>
      </w:pPr>
      <w:r>
        <w:rPr/>
        <w:t> </w:t>
      </w:r>
    </w:p>
    <w:tbl>
      <w:tblPr>
        <w:tblW w:w="9765" w:type="dxa"/>
        <w:jc w:val="left"/>
        <w:tblInd w:w="0" w:type="dxa"/>
        <w:tblCellMar>
          <w:top w:w="0" w:type="dxa"/>
          <w:left w:w="0" w:type="dxa"/>
          <w:bottom w:w="28" w:type="dxa"/>
          <w:right w:w="0" w:type="dxa"/>
        </w:tblCellMar>
      </w:tblPr>
      <w:tblGrid>
        <w:gridCol w:w="3260"/>
        <w:gridCol w:w="60"/>
        <w:gridCol w:w="60"/>
        <w:gridCol w:w="710"/>
        <w:gridCol w:w="65"/>
        <w:gridCol w:w="60"/>
        <w:gridCol w:w="111"/>
        <w:gridCol w:w="70"/>
        <w:gridCol w:w="304"/>
        <w:gridCol w:w="60"/>
        <w:gridCol w:w="60"/>
        <w:gridCol w:w="95"/>
        <w:gridCol w:w="60"/>
        <w:gridCol w:w="515"/>
        <w:gridCol w:w="65"/>
        <w:gridCol w:w="60"/>
        <w:gridCol w:w="95"/>
        <w:gridCol w:w="60"/>
        <w:gridCol w:w="515"/>
        <w:gridCol w:w="65"/>
        <w:gridCol w:w="60"/>
        <w:gridCol w:w="214"/>
        <w:gridCol w:w="135"/>
        <w:gridCol w:w="586"/>
        <w:gridCol w:w="60"/>
        <w:gridCol w:w="60"/>
        <w:gridCol w:w="60"/>
        <w:gridCol w:w="60"/>
        <w:gridCol w:w="515"/>
        <w:gridCol w:w="60"/>
        <w:gridCol w:w="60"/>
        <w:gridCol w:w="95"/>
        <w:gridCol w:w="60"/>
        <w:gridCol w:w="410"/>
        <w:gridCol w:w="65"/>
        <w:gridCol w:w="60"/>
        <w:gridCol w:w="95"/>
        <w:gridCol w:w="60"/>
        <w:gridCol w:w="635"/>
        <w:gridCol w:w="65"/>
      </w:tblGrid>
      <w:tr>
        <w:trPr/>
        <w:tc>
          <w:tcPr>
            <w:tcW w:w="32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0" w:type="dxa"/>
            <w:gridSpan w:val="7"/>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4"/>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0" w:type="dxa"/>
            <w:gridSpan w:val="3"/>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5" w:type="dxa"/>
            <w:gridSpan w:val="3"/>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0"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Treasury Stock</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Paid-in</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Retained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Earnings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Comprehensive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Balance, 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77,438,889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748,076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290,206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223,823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(9,131</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1,029,153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Cumulative change in accounting principle, net of tax</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(4,744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(4,744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32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Issuance of restricted stock units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330,641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4,948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4,948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38,229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38,229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Shares withheld related to net share settlement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of stock awards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(106,542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(4,322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(4,322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326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Balance, March 31, 2019</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77,662,988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748,702</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323,691</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223,823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(9,131</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1,063,264</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Issuance of restricted stock units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169,248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6,509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6,509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18,936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18,936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Shares withheld related to net share settlement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of stock awards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(65,312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(3,190</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(3,190</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32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Balance, June 30, 2019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77,766,924</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752,021</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342,627</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223,823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(9,131</w:t>
            </w:r>
          </w:p>
        </w:tc>
        <w:tc>
          <w:tcPr>
            <w:tcW w:w="6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1,085,519</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doub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top w:val="doub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Balance, December 31, 2017</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76,825,966</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746,547</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194,972</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3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79</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941,598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Issuance of restricted stock units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645,047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3,679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3,679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20,855</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20,855</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Shares withheld related to net share settlement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of stock awards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(229,898</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(7,502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(7,502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326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Balance, March 31, 2018</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77,241,115</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742,724</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215,827</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3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79</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958,630</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Issuance of restricted stock units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64,833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3,471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3,472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36,796</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36,796</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Exercise of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50,336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bottom w:val="single" w:sz="6" w:space="0" w:color="000000"/>
            </w:tcBorders>
            <w:shd w:fill="auto" w:val="clear"/>
            <w:vAlign w:val="bottom"/>
          </w:tcPr>
          <w:p>
            <w:pPr>
              <w:pStyle w:val="TableContents"/>
              <w:spacing w:before="0" w:after="0"/>
              <w:ind w:left="274"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Shares withheld related to net share settlement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of stock awards</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bottom w:val="single" w:sz="6" w:space="0" w:color="000000"/>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(19,674</w:t>
            </w:r>
          </w:p>
        </w:tc>
        <w:tc>
          <w:tcPr>
            <w:tcW w:w="6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bottom w:val="sing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(2,175</w:t>
            </w:r>
          </w:p>
        </w:tc>
        <w:tc>
          <w:tcPr>
            <w:tcW w:w="6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(2,175</w:t>
            </w:r>
          </w:p>
        </w:tc>
        <w:tc>
          <w:tcPr>
            <w:tcW w:w="6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326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Balance, June 30, 2018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77,336,610</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744,020</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252,623</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996,723</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condensed notes are an integral part of these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ELDORADO RESORTS, INC.</w:t>
      </w:r>
    </w:p>
    <w:p>
      <w:pPr>
        <w:pStyle w:val="TextBody"/>
        <w:spacing w:before="0" w:after="0"/>
        <w:jc w:val="center"/>
        <w:rPr>
          <w:rFonts w:ascii="Times New Roman" w:hAnsi="Times New Roman"/>
          <w:b/>
          <w:i w:val="false"/>
          <w:caps w:val="false"/>
          <w:smallCaps w:val="false"/>
          <w:sz w:val="17"/>
        </w:rPr>
      </w:pPr>
      <w:bookmarkStart w:id="8" w:name="CONSOLIDATED_STATEMENTS_CASH_FLOWS"/>
      <w:bookmarkEnd w:id="8"/>
      <w:r>
        <w:rPr>
          <w:rFonts w:ascii="Times New Roman" w:hAnsi="Times New Roman"/>
          <w:b/>
          <w:i w:val="false"/>
          <w:caps w:val="false"/>
          <w:smallCaps w:val="false"/>
          <w:sz w:val="17"/>
        </w:rPr>
        <w:t>CONSOLIDATED STATEMENTS OF CASH FLOWS</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(dollars in thousands)</w:t>
      </w:r>
    </w:p>
    <w:p>
      <w:pPr>
        <w:pStyle w:val="TextBody"/>
        <w:spacing w:before="12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(unaudited)</w:t>
      </w:r>
    </w:p>
    <w:p>
      <w:pPr>
        <w:pStyle w:val="TextBody"/>
        <w:spacing w:before="0" w:after="0"/>
        <w:rPr/>
      </w:pPr>
      <w:r>
        <w:rPr/>
        <w:t> </w:t>
      </w:r>
    </w:p>
    <w:tbl>
      <w:tblPr>
        <w:tblW w:w="6440" w:type="dxa"/>
        <w:jc w:val="left"/>
        <w:tblInd w:w="0" w:type="dxa"/>
        <w:tblCellMar>
          <w:top w:w="0" w:type="dxa"/>
          <w:left w:w="0" w:type="dxa"/>
          <w:bottom w:w="0" w:type="dxa"/>
          <w:right w:w="0" w:type="dxa"/>
        </w:tblCellMar>
      </w:tblPr>
      <w:tblGrid>
        <w:gridCol w:w="5045"/>
        <w:gridCol w:w="60"/>
        <w:gridCol w:w="80"/>
        <w:gridCol w:w="60"/>
        <w:gridCol w:w="455"/>
        <w:gridCol w:w="65"/>
        <w:gridCol w:w="60"/>
        <w:gridCol w:w="80"/>
        <w:gridCol w:w="60"/>
        <w:gridCol w:w="410"/>
        <w:gridCol w:w="65"/>
      </w:tblGrid>
      <w:tr>
        <w:trPr/>
        <w:tc>
          <w:tcPr>
            <w:tcW w:w="504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Six Months Ended</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7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June 30,</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9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2019</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5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2"/>
              </w:rPr>
            </w:pPr>
            <w:r>
              <w:rPr>
                <w:rFonts w:ascii="Times New Roman" w:hAnsi="Times New Roman"/>
                <w:b/>
                <w:i w:val="false"/>
                <w:caps w:val="false"/>
                <w:smallCaps w:val="false"/>
                <w:color w:val="000000"/>
                <w:sz w:val="12"/>
              </w:rPr>
              <w:t>2018</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CASH FLOWS FROM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Net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57,165</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57,651</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Adjustments to reconcile net income to net cash provided by operating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114,290</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63,444</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Amortization of deferred financing costs, discount and debt premium</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9,186</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2,533</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Deferred revenue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(3,182</w:t>
            </w:r>
          </w:p>
        </w:tc>
        <w:tc>
          <w:tcPr>
            <w:tcW w:w="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Unrealized loss on restricted investment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2,858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Lease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1,332</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854</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Stock compensation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11,457</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7,151</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(Gain) loss on sale or disposal of property and equipment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(21,952</w:t>
            </w:r>
          </w:p>
        </w:tc>
        <w:tc>
          <w:tcPr>
            <w:tcW w:w="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283</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Impairment charges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958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9,815</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Provision (benefit) for deferred income taxes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(6,671</w:t>
            </w:r>
          </w:p>
        </w:tc>
        <w:tc>
          <w:tcPr>
            <w:tcW w:w="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10,461</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Other</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1,248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1,852</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Change in operating assets and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Accounts receivable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(3,786</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7,507</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Prepaid expenses and other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3,347</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(1,722</w:t>
            </w:r>
          </w:p>
        </w:tc>
        <w:tc>
          <w:tcPr>
            <w:tcW w:w="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Income taxes payable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(8,636</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Accounts payable and accrued other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(29,756</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(11,325</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Net cash provided by operating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127,858</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148,504</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CASH FLOWS FROM INVESTING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Purchase of property and equipment,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(97,114</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(55,181</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Sale of restricted investments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4,985</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Proceeds from sale of property and equipment, net of cash sold</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167,609</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840</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Escrow deposit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(15,000</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Net cash provided by (used in) investing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75,480</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(69,341</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CASH FLOWS FROM FINANCING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Net payments under Revolving Credit Facility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(245,000</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Debt issuance costs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(449</w:t>
            </w:r>
          </w:p>
        </w:tc>
        <w:tc>
          <w:tcPr>
            <w:tcW w:w="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(305</w:t>
            </w:r>
          </w:p>
        </w:tc>
        <w:tc>
          <w:tcPr>
            <w:tcW w:w="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Taxes paid related to net share settlement of equity awards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(7,512</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(9,677</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Payments on other long-term payables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(243</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(344</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Net cash used in financing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(253,204</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(10,326</w:t>
            </w:r>
          </w:p>
        </w:tc>
        <w:tc>
          <w:tcPr>
            <w:tcW w:w="6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(Decrease) Increase in cash, cash equivalents and restricted cash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(49,866</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68,837</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Cash, cash equivalents and restricted cash, beginning of period</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246,691</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147,749</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Cash, cash equivalents and restricted cash, end of period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196,825</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216,586</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RECONCILIATION OF CASH, CASH EQUIVALENTS AND RESTRICTED CASH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2"/>
              </w:rPr>
              <w:t>AMOUNTS REPORTED WITHIN THE CONDENSED CONSOLIDATED BALANCE SHEETS: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Cash and cash equivalents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183,139</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202,016</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Restricted cash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7,258</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4,683</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Restricted and escrow cash included in other noncurrent assets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6,428</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9,887</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Total cash, cash equivalents and restricted cash</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196,825</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216,586</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SUPPLEMENTAL DISCLOSURE OF CASH FLOW INFORMATION: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Interest paid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134,083</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58,694</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Income taxes paid (refunded),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38,210</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(3,829</w:t>
            </w:r>
          </w:p>
        </w:tc>
        <w:tc>
          <w:tcPr>
            <w:tcW w:w="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w:t>
            </w:r>
          </w:p>
        </w:tc>
      </w:tr>
      <w:tr>
        <w:trPr/>
        <w:tc>
          <w:tcPr>
            <w:tcW w:w="50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NON-CASH FINANCING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0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Payables for capital expenditures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14,525</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2"/>
              </w:rPr>
            </w:pPr>
            <w:r>
              <w:rPr>
                <w:rFonts w:ascii="Times New Roman" w:hAnsi="Times New Roman"/>
                <w:b w:val="false"/>
                <w:i w:val="false"/>
                <w:caps w:val="false"/>
                <w:smallCaps w:val="false"/>
                <w:color w:val="000000"/>
                <w:sz w:val="12"/>
              </w:rPr>
              <w:t>10,294</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condensed notes are an integral part of these consolidated financial statements.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ELDORADO RESORTS, INC.</w:t>
      </w:r>
    </w:p>
    <w:p>
      <w:pPr>
        <w:pStyle w:val="TextBody"/>
        <w:spacing w:before="0" w:after="0"/>
        <w:jc w:val="center"/>
        <w:rPr>
          <w:rFonts w:ascii="Times New Roman" w:hAnsi="Times New Roman"/>
          <w:b/>
          <w:i w:val="false"/>
          <w:caps w:val="false"/>
          <w:smallCaps w:val="false"/>
          <w:sz w:val="17"/>
        </w:rPr>
      </w:pPr>
      <w:bookmarkStart w:id="9" w:name="CONDENSED_NOTES_TO_UNAUDITED_CONSOLIDATE"/>
      <w:bookmarkEnd w:id="9"/>
      <w:r>
        <w:rPr>
          <w:rFonts w:ascii="Times New Roman" w:hAnsi="Times New Roman"/>
          <w:b/>
          <w:i w:val="false"/>
          <w:caps w:val="false"/>
          <w:smallCaps w:val="false"/>
          <w:sz w:val="17"/>
        </w:rPr>
        <w:t>CONDENSED NOTES TO CONSOLIDATED FINANCIAL STATEMENTS</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(unaudited)</w:t>
      </w:r>
    </w:p>
    <w:p>
      <w:pPr>
        <w:pStyle w:val="TextBody"/>
        <w:spacing w:before="240" w:after="0"/>
        <w:rPr>
          <w:rFonts w:ascii="Times New Roman" w:hAnsi="Times New Roman"/>
          <w:b/>
          <w:i w:val="false"/>
          <w:caps w:val="false"/>
          <w:smallCaps w:val="false"/>
          <w:sz w:val="17"/>
        </w:rPr>
      </w:pPr>
      <w:r>
        <w:rPr>
          <w:rFonts w:ascii="Times New Roman" w:hAnsi="Times New Roman"/>
          <w:b/>
          <w:i w:val="false"/>
          <w:caps w:val="false"/>
          <w:smallCaps w:val="false"/>
          <w:sz w:val="17"/>
        </w:rPr>
        <w:t>Note 1. Organization and Basis of Presentation</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Organization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unaudited consolidated financial statements include the accounts of Eldorado Resorts, Inc. (“ERI” or the “Company”), a Nevada corporation formed in September 2013, and its consolidated subsidiaries. The Company acquired Mountaineer, Presque Isle Downs and Scioto Downs in September 2014 pursuant to a merger with MTR Gaming Group, Inc. (“MTR Gaming”) and in November 2015 it acquired Circus Reno and the interests in the Silver Legacy that it did not own prior to such date.</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May 1, 2017, the Company completed its acquisition of Isle of Capri Casinos, Inc. pursuant to the Agreement and Plan of Merger dated as of September 19, 2016 with Isle of Capri Casinos, Inc. (“Isle” or “Isle of Capri”). As a result of the Isle Merger, Isle became a wholly-owned subsidiary of ERI.</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August 7, 2018, the Company completed its acquisition of the outstanding partnership interests of Elgin Riverboat Resort – Riverboat Casino d/b/a Grand Victoria Casino, an Illinois partnership (“Elgin”), the owner of Grand Victoria Casino, located in Elgin, Illinois (the “Elgin Acquisition”). On October 1, 2018, the Company completed its acquisition of Tropicana Entertainment, Inc. (“Tropicana”), and added seven properties to its portfolio (the “Tropicana Acquisition”).</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January 11, 2019 and March 8, 2019, respectively, the Company closed on its sales of Presque Isle Downs &amp; Casino (“Presque Isle Downs”) and Lady Luck Casino Nemacolin (“Nemacolin”), which are both located in Pennsylvania.</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we owned and operated the following properties: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Resort Casino Reno (“Eldorado Reno”)—A 814-room hotel, casino and entertainment facility connected via an enclosed skywalk to Silver Legacy and Circus Reno located in downtown Reno, Nevada that includes 1,008 slot machines, 36 table games and a race and sportsbook;</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Silver Legacy Resort Casino (“Silver Legacy”)—A 1,685-room themed hotel and casino connected via an enclosed skywalk to Eldorado Reno and Circus Reno that includes 984 slot machines, 48 table games, a 13-table poker room and a race and sportsbook;</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Circus Circus Reno (“Circus Reno”)—A 1,571-room hotel-casino and entertainment complex connected via an enclosed skywalk to Eldorado Reno and Silver Legacy that includes 567 slot machines and a race and sportsbook;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Resort Casino Shreveport (“Eldorado Shreveport”)—A 403-room, all suite art deco-style hotel and tri-level riverboat dockside casino situated on the Red River in Shreveport, Louisiana that includes 1,406 slot machines, 46 table games and an eight-table poker room;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Mountaineer Casino, Racetrack &amp; Resort (“Mountaineer”)—A 357-room hotel, casino, entertainment and live thoroughbred horse racing facility located on the Ohio River at the northern tip of West Virginia’s northwestern panhandle that includes 1,362 slot machines, 32 table games, a 10-table poker room and a race and sportsbook;</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Gaming Scioto Downs (“Scioto Downs”)—A modern “racino” on an approximately 208-acre site offering 2,194 video lottery terminals (“VLTs”), harness racing and a 118-room third party hotel connected to Scioto Downs located 15 minutes from downtown Columbus, Ohio.</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Isle Casino Hotel—Black Hawk (“Isle Black Hawk”)—A land-based casino on an approximately 10-acre site in Black Hawk, Colorado that includes 928 slot machines, 20 table games, a 10-table poker room and a 240-room hotel;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Lady Luck Casino—Black Hawk (“Lady Luck Black Hawk”)—A land-based casino across the intersection from Isle Casino Hotel in Black Hawk Colorado, that includes 430 slot machines, seven table games and a 164-room hotel with a parking structure connecting Isle Black Hawk and Lady Luck Black Hawk;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10035"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Isle Casino Racing Pompano Park (“Pompano”)—A casino and harness racing track on an approximately 223-acre owned site in Pompano Beach, Florida that includes 1,454 slot machines and a 41-table poker room; </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Isle Casino Bettendorf (“Bettendorf”)—A land-based single-level casino located off Interstate 74 in Bettendorf, Iowa that includes 972 slot machines and 14 table games with 509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Isle Casino Waterloo (“Waterloo”)—A single-level land-based casino in Waterloo, Iowa that includes 917 slot machines, 23 table games, and a 194-room hotel;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Isle of Capri Casino Hotel Lake Charles (“Lake Charles”)—A gaming vessel on an approximately 19-acre site in Lake Charles, Louisiana, with 1,160 slot machines, 34 table games, 11 poker tables, and two hotels offering 493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Isle of Capri Casino Lula (“Lula”)—Two dockside casinos in Lula, Mississippi with 869 slot machines and 17 table games, two on-site hotels with a total of 486 rooms and a 28-space RV Park;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Lady Luck Casino Vicksburg (“Vicksburg”)—A dockside casino in Vicksburg, Mississippi that includes 599 slot machines and a hotel with a total of 89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Isle of Capri Casino Boonville (“Boonville”)—A single-level dockside casino in Boonville, Missouri that includes 872 slot machines, 20 table games and a 140-room hotel;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Isle Casino Cape Girardeau (“Cape Girardeau”)—A dockside casino and pavilion and entertainment center in Cape Girardeau, Missouri that includes 851 slot machines, 20 table games and four poker tables;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Lady Luck Casino Caruthersville (“Caruthersville”)—A riverboat casino located along the Mississippi River in Caruthersville, Missouri that includes 513 slot machines and nine table games;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of Capri Casino Kansas City (“Kansas City”)—A dockside casino located close to downtown Kansas City, Missouri offering 935 slot machines and 13 table games;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Tropicana Casino and Resort, Atlantic City (“Trop AC”)—A casino and resort situated on approximately 15 acres with approximately 660 feet of ocean frontage in Atlantic City, New Jersey that includes 2,323 slot machines, 107 table games, 18 poker tables, a race and sportsbook and 2,364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Tropicana Evansville (“Evansville”)—A casino hotel and entertainment complex in Evansville, Indiana featuring 1,118 slot machines, 35 table games, six poker tables and two on-site hotels with a total of 338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Lumière Place Casino (“Lumière”)—A casino located on approximately 20 acres, located in historic downtown St. Louis, Missouri near business and entertainment districts that overlooks the Mississippi River with 1,385 slot machines, 46 table games, 10 poker tables and 494 hotel rooms (including a 200-room Four Seasons Hotel);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Tropicana Laughlin Hotel and Casino (“Laughlin”)—A casino in Laughlin, Nevada that includes 917 slot machines, 13 table games, a race and sportsbook and 1,487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MontBleu Casino Resort &amp; Spa (“MontBleu”)—A casino situated on approximately 21 acres in South Lake Tahoe, Nevada surrounded by the Sierra Nevada Mountains featuring 425 slot machines, 17 table games, a race and sportsbook and 438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Trop Casino Greenville (“Greenville”)—A landside gaming facility located in Greenville, Mississippi with 600 slot machines, four table games and 40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Belle of Baton Rouge Casino &amp; Hotel (“Baton Rouge”)—A dockside riverboat situated on approximately 23 acres on the Mississippi River in the downtown historic district of Baton Rouge featuring 773 slot machines, 14 table games and 288 hotel rooms; and </w:t>
            </w:r>
          </w:p>
        </w:tc>
      </w:tr>
    </w:tbl>
    <w:tbl>
      <w:tblPr>
        <w:tblW w:w="8425" w:type="dxa"/>
        <w:jc w:val="left"/>
        <w:tblInd w:w="0" w:type="dxa"/>
        <w:tblCellMar>
          <w:top w:w="0" w:type="dxa"/>
          <w:left w:w="0" w:type="dxa"/>
          <w:bottom w:w="0" w:type="dxa"/>
          <w:right w:w="0" w:type="dxa"/>
        </w:tblCellMar>
      </w:tblPr>
      <w:tblGrid>
        <w:gridCol w:w="60"/>
        <w:gridCol w:w="110"/>
        <w:gridCol w:w="825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25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Grand Victoria Casino (“Elgin”)—A casino located in Elgin, Illinois featuring 1,088 slot machines and 30 table games.</w:t>
            </w:r>
          </w:p>
        </w:tc>
      </w:tr>
    </w:tbl>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Reclassifications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Certain reclassifications of prior year presentations have been made to conform to the current period presentation.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8</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Basis of Presentation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Elgin and Tropicana acquisitions, the Company’s principal operating activities occurred in four geographic regions and reportable segments. Following the Elgin and Tropicana acquisitions, a fifth segment, Central, was added. The reportable segments are based on the similar characteristics of the operating segments within the regions in which they operate: West, Midwest, South, East, and Central. (See Note 16 for a listing of properties included in each segment).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presentation of information herein for periods prior to our acquisitions of Elgin and Tropicana and after our acquisitions of Elgin and Tropicana are not fully comparable because the results of operations for Elgin and Tropicana are not included for periods prior to August 7, 2018 and October 1, 2018, respectively. Additionally, the Company closed on its sales of Presque Isle Downs and Nemacolin in January 2019 and March 2019, respectively. (See Note 5).</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These unaudited consolidated financial statements should be read in conjunction with the consolidated financial statements and notes thereto included in the Company’s Annual Report on Form 10-K for the year ended December 31, 2018.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Recently Issued Accounting Pronouncements</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Pronouncements Implemented in 2019</w:t>
      </w:r>
    </w:p>
    <w:p>
      <w:pPr>
        <w:pStyle w:val="TextBody"/>
        <w:spacing w:before="0" w:after="0"/>
        <w:rPr/>
      </w:pPr>
      <w:r>
        <w:rPr/>
        <w:t> </w:t>
      </w:r>
    </w:p>
    <w:p>
      <w:pPr>
        <w:pStyle w:val="TextBody"/>
        <w:spacing w:before="0" w:after="0"/>
        <w:rPr/>
      </w:pPr>
      <w:r>
        <w:rPr/>
        <w:t xml:space="preserve">In February 2016 (as amended through December 2018), the FASB issued ASU No. 2016-02 codified as Accounting Standards Codification (“ASC”) 842, Leases, (“ASC 842”) which addresses the recognition and measurement of leases. Under the new guidance, for all leases, at the commencement date, lessees were required to recognize a lease liability, which is a lessee’s obligation to make lease payments arising from a lease. The liability is measured on a discounted basis.  Lessees also recognized a right-of-use (“ROU”) asset, which is an asset that represents the lessee’s right to control the use of a specified asset for the lease term. Under the new guidance, lessor accounting is largely unchanged. The effective date is for the annual and interim periods beginning after December 15, 2018. ASC 842 requires a transition adoption election using either 1) a modified retrospective approach with periods prior to the adoption date being recast or 2) a prospective approach with a cumulative-effect adjustment recognized to the opening balance of retained earnings on the adoption date with prior periods continuing to be reported under prior lease accounting guidance.  </w:t>
      </w:r>
    </w:p>
    <w:p>
      <w:pPr>
        <w:pStyle w:val="TextBody"/>
        <w:spacing w:before="0" w:after="0"/>
        <w:rPr/>
      </w:pPr>
      <w:r>
        <w:rPr/>
        <w:t> </w:t>
      </w:r>
    </w:p>
    <w:p>
      <w:pPr>
        <w:pStyle w:val="TextBody"/>
        <w:spacing w:before="0" w:after="0"/>
        <w:rPr/>
      </w:pPr>
      <w:r>
        <w:rPr/>
        <w:t>The Company adopted ASC 842 on January 1, 2019 using the prospective approach, and therefore, comparative periods will continue to be reported under prior lease accounting guidance consistent with previously issued financial statements. We elected the package of practical expedients permitted under the transition guidance within ASC 842, which among other things, allowed us to carry forward the historical lease identification, lease classification and treatment of initial direct costs for leases entered into prior to January 1, 2019. We also made an accounting policy election to not record short-term leases with an initial term of 12 months or less on the balance sheet for all classes of underlying assets. We have also elected to not adopt the hindsight practical expedient for determining lease terms.</w:t>
      </w:r>
    </w:p>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Our operating leases, in which we are the lessee, are recorded on the balance sheet as a ROU asset with a corresponding lease liability. The lease liability will be remeasured each reporting period with a corresponding change to the ROU asset.  The adoption of this guidance did not have an impact on net income; however, upon adoption we recorded a cumulative adjustment to our retained earnings of $4.7 million, net of tax, primarily related to the Company’s lease and management agreements at its Bettendorf location. (See Note 2).  Adoption of this guidance did not have a material impact on the Company’s other financing leases.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9</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Pronouncements to Be Implemented in Future Periods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June 2016 (modified in November 2018), the FASB issued ASU No 2016-13, Financial Instruments – Credit Losses related to timing on recognizing impairment losses on financial assets.  The new guidance lowers the threshold on when losses are incurred, from a determination that a loss is probable to a determination that a loss is expected.  The change in guidance will be applicable to our evaluation of the CRDA investments (see Note 8).  The guidance is effective for interim and annual periods beginning after December 15, 2019, and early adoption is allowed for interim and annual periods beginning after December 15, 2018.  Adoption of the guidance requires a modified-retrospective approach and a cumulative adjustment to retained earnings to the first reporting period that the update is effective.  We expect to adopt the new guidance on January 1, 2020 and currently we do not expect a cumulative effect on our Consolidated Financial Statements.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The amendment is effective for annual and interim periods beginning after December 15, 2019, with early adoption allowed. We expect to adopt the new guidance on January 1, 2020 and are evaluating the qualitative and quantitative effects of the new guidance. We do not believe it will have a significant impact on our Consolidated Financial Statements.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August 2018, the FASB issued ASU No 2018-14, Compensation –Retirement Benefits – Defined Benefit Plans – General.  This amendment improves disclosures over defined benefit plans and is effective for interim and annual periods ending after December 15, 2020 with early adoption allowed.  We anticipate adopting this amendment during the first quarter of 2021, and do not expect it to have a significant impact on our Consolidated Financial Statements.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August 2018, the FASB issued ASU 2018-13, Disclosure Framework-Changes to the Disclosure Requirements for Fair Value Measurement. This amendment modifies the disclosure requirements for fair value measurements and is effective for annual and interim periods beginning after December 15, 2019, with early adoption allowed. The Company is evaluating the qualitative and quantitative effect the new guidance will have on our Consolidated Financial Statements.</w:t>
      </w:r>
    </w:p>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Note 2. Leases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Company’s management determines if a contract is or contains a lease at inception or modification of a contract. A contract is or contains a lease if the contract conveys the right to control the use of an identified asset for a period of time in exchange for consideration. Control over the use of the identified asset means the lessee has both (a) the right to obtain substantially all of the economic benefits from the use of the asset and (b) the right to direct the use of the asset.</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Finance and operating lease ROU assets and liabilities are recognized based on the present value of future minimum lease payments over the expected lease term at commencement date. As the implicit rate is not determinable in most of the Company’s leases, management uses the Company’s incremental borrowing rate based on the information available at the lease commencement date in determining the present value of future payments. The expected lease terms include options to extend or terminate the lease when it is reasonably certain the Company will exercise such options. Lease expense for operating leases with minimum lease payments is recognized on a straight-line basis over the expected lease term.</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Company’s lease arrangements have lease and non-lease components. For leases in which the Company is the lessee, the Company accounts for the lease components and non-lease components as a single lease component for all classes of underlying assets. Leases, in which the Company is the lessor, are substantially all accounted for as operating leases and the lease components and non-lease components are accounted for separately, which is consistent with the Company’s historical accounting. Leases with an expected or initial term of 12 months or less are not accounted for on the balance sheet and the related lease expense is recognized on a straight-line basis over the expected lease term.</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has operating and finance leases for various real estate and equipment. Certain of our lease agreements include rental payments based on a percentage of sales over specified contractual amounts, rental payments adjusted periodically for inflation and rental payments based on usage. The Company’s leases include options to extend the lease term one month to 60 years. Except for the GLPI Master Lease (see Note 10), the Company’s lease agreements do not contain any material residual value guarantees or material restrictive covenants.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Leases recorded on the balance sheet consist of the following (in thousands):</w:t>
      </w:r>
    </w:p>
    <w:p>
      <w:pPr>
        <w:pStyle w:val="TextBody"/>
        <w:spacing w:before="0" w:after="0"/>
        <w:rPr/>
      </w:pPr>
      <w:r>
        <w:rPr/>
        <w:t> </w:t>
      </w:r>
    </w:p>
    <w:tbl>
      <w:tblPr>
        <w:tblW w:w="5788" w:type="dxa"/>
        <w:jc w:val="left"/>
        <w:tblInd w:w="0" w:type="dxa"/>
        <w:tblCellMar>
          <w:top w:w="0" w:type="dxa"/>
          <w:left w:w="0" w:type="dxa"/>
          <w:bottom w:w="28" w:type="dxa"/>
          <w:right w:w="0" w:type="dxa"/>
        </w:tblCellMar>
      </w:tblPr>
      <w:tblGrid>
        <w:gridCol w:w="1895"/>
        <w:gridCol w:w="60"/>
        <w:gridCol w:w="2870"/>
        <w:gridCol w:w="60"/>
        <w:gridCol w:w="119"/>
        <w:gridCol w:w="65"/>
        <w:gridCol w:w="659"/>
        <w:gridCol w:w="60"/>
      </w:tblGrid>
      <w:tr>
        <w:trPr/>
        <w:tc>
          <w:tcPr>
            <w:tcW w:w="18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Leases</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Classification on the Balance Sheet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43"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ROU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assets, net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286,699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Finance lease ROU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and equipment, net(1)</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945,774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other liabilities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23,294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portion of long-term debt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Noncurrent: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long-term liabilities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268,444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Long-term financing obligation and debt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965,376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tbl>
      <w:tblPr>
        <w:tblW w:w="7900" w:type="dxa"/>
        <w:jc w:val="left"/>
        <w:tblInd w:w="0" w:type="dxa"/>
        <w:tblCellMar>
          <w:top w:w="0" w:type="dxa"/>
          <w:left w:w="0" w:type="dxa"/>
          <w:bottom w:w="0" w:type="dxa"/>
          <w:right w:w="0" w:type="dxa"/>
        </w:tblCellMar>
      </w:tblPr>
      <w:tblGrid>
        <w:gridCol w:w="60"/>
        <w:gridCol w:w="230"/>
        <w:gridCol w:w="761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3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761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Finance lease ROU assets are recorded net of accumulated depreciation of $12.2 million as of June 30, 2019.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Other information related to lease terms and discount rates are as follows:</w:t>
      </w:r>
    </w:p>
    <w:p>
      <w:pPr>
        <w:pStyle w:val="TextBody"/>
        <w:spacing w:before="0" w:after="0"/>
        <w:jc w:val="both"/>
        <w:rPr/>
      </w:pPr>
      <w:r>
        <w:rPr/>
        <w:t> </w:t>
      </w:r>
    </w:p>
    <w:tbl>
      <w:tblPr>
        <w:tblW w:w="4098" w:type="dxa"/>
        <w:jc w:val="left"/>
        <w:tblInd w:w="0" w:type="dxa"/>
        <w:tblCellMar>
          <w:top w:w="0" w:type="dxa"/>
          <w:left w:w="0" w:type="dxa"/>
          <w:bottom w:w="28" w:type="dxa"/>
          <w:right w:w="0" w:type="dxa"/>
        </w:tblCellMar>
      </w:tblPr>
      <w:tblGrid>
        <w:gridCol w:w="2960"/>
        <w:gridCol w:w="60"/>
        <w:gridCol w:w="279"/>
        <w:gridCol w:w="366"/>
        <w:gridCol w:w="373"/>
        <w:gridCol w:w="60"/>
      </w:tblGrid>
      <w:tr>
        <w:trPr/>
        <w:tc>
          <w:tcPr>
            <w:tcW w:w="29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Remaining Lease Term</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34.4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Finance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34.3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Discount Rate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3"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leases(1)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Finance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tbl>
      <w:tblPr>
        <w:tblW w:w="9130" w:type="dxa"/>
        <w:jc w:val="left"/>
        <w:tblInd w:w="0" w:type="dxa"/>
        <w:tblCellMar>
          <w:top w:w="0" w:type="dxa"/>
          <w:left w:w="0" w:type="dxa"/>
          <w:bottom w:w="0" w:type="dxa"/>
          <w:right w:w="0" w:type="dxa"/>
        </w:tblCellMar>
      </w:tblPr>
      <w:tblGrid>
        <w:gridCol w:w="60"/>
        <w:gridCol w:w="230"/>
        <w:gridCol w:w="884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3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884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Upon adoption of the new lease standard, discount rates used for existing operating leases were established on January 1, 2019.</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components of lease expense are as follows (in thousands):</w:t>
      </w:r>
    </w:p>
    <w:p>
      <w:pPr>
        <w:pStyle w:val="TextBody"/>
        <w:spacing w:before="0" w:after="0"/>
        <w:rPr/>
      </w:pPr>
      <w:r>
        <w:rPr/>
        <w:t> </w:t>
      </w:r>
    </w:p>
    <w:tbl>
      <w:tblPr>
        <w:tblW w:w="4856" w:type="dxa"/>
        <w:jc w:val="left"/>
        <w:tblInd w:w="0" w:type="dxa"/>
        <w:tblCellMar>
          <w:top w:w="0" w:type="dxa"/>
          <w:left w:w="0" w:type="dxa"/>
          <w:bottom w:w="0" w:type="dxa"/>
          <w:right w:w="0" w:type="dxa"/>
        </w:tblCellMar>
      </w:tblPr>
      <w:tblGrid>
        <w:gridCol w:w="2390"/>
        <w:gridCol w:w="184"/>
        <w:gridCol w:w="100"/>
        <w:gridCol w:w="100"/>
        <w:gridCol w:w="864"/>
        <w:gridCol w:w="60"/>
        <w:gridCol w:w="162"/>
        <w:gridCol w:w="88"/>
        <w:gridCol w:w="88"/>
        <w:gridCol w:w="760"/>
        <w:gridCol w:w="60"/>
      </w:tblGrid>
      <w:tr>
        <w:trPr/>
        <w:tc>
          <w:tcPr>
            <w:tcW w:w="239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248" w:type="dxa"/>
            <w:gridSpan w:val="4"/>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8" w:type="dxa"/>
            <w:gridSpan w:val="4"/>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8" w:type="dxa"/>
            <w:gridSpan w:val="4"/>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8" w:type="dxa"/>
            <w:gridSpan w:val="4"/>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cost:</w:t>
            </w:r>
          </w:p>
        </w:tc>
        <w:tc>
          <w:tcPr>
            <w:tcW w:w="18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cost</w:t>
            </w:r>
          </w:p>
        </w:tc>
        <w:tc>
          <w:tcPr>
            <w:tcW w:w="184"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4"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7,599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15,055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Short-term and variable lease cost</w:t>
            </w:r>
          </w:p>
        </w:tc>
        <w:tc>
          <w:tcPr>
            <w:tcW w:w="1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4"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1,664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3,638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Finance lease cost:</w:t>
            </w:r>
          </w:p>
        </w:tc>
        <w:tc>
          <w:tcPr>
            <w:tcW w:w="1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expense on lease liabilities</w:t>
            </w:r>
          </w:p>
        </w:tc>
        <w:tc>
          <w:tcPr>
            <w:tcW w:w="1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4"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24,632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49,235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Amortization of ROU assets</w:t>
            </w:r>
          </w:p>
        </w:tc>
        <w:tc>
          <w:tcPr>
            <w:tcW w:w="1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2,628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5,139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9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lease cost</w:t>
            </w:r>
          </w:p>
        </w:tc>
        <w:tc>
          <w:tcPr>
            <w:tcW w:w="18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36,523</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73,067</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Supplemental cash flow information related to leases is as follows (in thousands):</w:t>
      </w:r>
    </w:p>
    <w:p>
      <w:pPr>
        <w:pStyle w:val="TextBody"/>
        <w:spacing w:before="0" w:after="0"/>
        <w:rPr/>
      </w:pPr>
      <w:r>
        <w:rPr/>
        <w:t> </w:t>
      </w:r>
    </w:p>
    <w:tbl>
      <w:tblPr>
        <w:tblW w:w="6053" w:type="dxa"/>
        <w:jc w:val="left"/>
        <w:tblInd w:w="0" w:type="dxa"/>
        <w:tblCellMar>
          <w:top w:w="0" w:type="dxa"/>
          <w:left w:w="0" w:type="dxa"/>
          <w:bottom w:w="0" w:type="dxa"/>
          <w:right w:w="0" w:type="dxa"/>
        </w:tblCellMar>
      </w:tblPr>
      <w:tblGrid>
        <w:gridCol w:w="4895"/>
        <w:gridCol w:w="162"/>
        <w:gridCol w:w="88"/>
        <w:gridCol w:w="88"/>
        <w:gridCol w:w="760"/>
        <w:gridCol w:w="60"/>
      </w:tblGrid>
      <w:tr>
        <w:trPr/>
        <w:tc>
          <w:tcPr>
            <w:tcW w:w="489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098" w:type="dxa"/>
            <w:gridSpan w:val="4"/>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8" w:type="dxa"/>
            <w:gridSpan w:val="4"/>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paid for amounts included in the measurement of lease liabilities:</w:t>
            </w:r>
          </w:p>
        </w:tc>
        <w:tc>
          <w:tcPr>
            <w:tcW w:w="16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cash flows for operating leases</w:t>
            </w:r>
          </w:p>
        </w:tc>
        <w:tc>
          <w:tcPr>
            <w:tcW w:w="16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13,698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cash flows for finance leases</w:t>
            </w:r>
          </w:p>
        </w:tc>
        <w:tc>
          <w:tcPr>
            <w:tcW w:w="162"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43,862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11</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Maturities of lease liabilities are summarized as follows (in thousands):</w:t>
      </w:r>
    </w:p>
    <w:p>
      <w:pPr>
        <w:pStyle w:val="TextBody"/>
        <w:spacing w:before="0" w:after="0"/>
        <w:rPr/>
      </w:pPr>
      <w:r>
        <w:rPr/>
        <w:t> </w:t>
      </w:r>
    </w:p>
    <w:tbl>
      <w:tblPr>
        <w:tblW w:w="6103" w:type="dxa"/>
        <w:jc w:val="left"/>
        <w:tblInd w:w="0" w:type="dxa"/>
        <w:tblCellMar>
          <w:top w:w="0" w:type="dxa"/>
          <w:left w:w="0" w:type="dxa"/>
          <w:bottom w:w="28" w:type="dxa"/>
          <w:right w:w="0" w:type="dxa"/>
        </w:tblCellMar>
      </w:tblPr>
      <w:tblGrid>
        <w:gridCol w:w="3785"/>
        <w:gridCol w:w="60"/>
        <w:gridCol w:w="140"/>
        <w:gridCol w:w="76"/>
        <w:gridCol w:w="852"/>
        <w:gridCol w:w="80"/>
        <w:gridCol w:w="60"/>
        <w:gridCol w:w="110"/>
        <w:gridCol w:w="60"/>
        <w:gridCol w:w="800"/>
        <w:gridCol w:w="80"/>
      </w:tblGrid>
      <w:tr>
        <w:trPr/>
        <w:tc>
          <w:tcPr>
            <w:tcW w:w="378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8"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Operating Leases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Finance Leases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Year ending December 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2019 (excluding the six months ended 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14,739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44,348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24,385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89,239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23,279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90,463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91,744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22,642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92,990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Thereafter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846,612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3,506,672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future minimum lease payments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954,316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3,915,456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amount representing interest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(662,578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(3,369,954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7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Present value of future minimum lease payments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291,738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545,502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current lease obligations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(23,294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7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Plus: residual values - GLPI</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420,100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Long-term lease obligations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268,444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965,376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Note 3. Revenue Recognition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recognizes as casino revenue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and recorded on a gross basis. Such fees are based upon a predetermined percentage of handle as contracted with the other race tracks.</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Hotel, food and beverage services have been determined to be separate, stand-alone performance obligations and are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the revenue recognition criteria has been met. The Company also provides goods and services that may include multiple performance obligations, such as for packages, for which revenues are allocated on a pro rata basis based on each service's stand-alone selling price.</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offers programs at its properties whereby participating customers can accumulate points for wagering that can be redeemed for credits for free play on slot machines, lodging, food and beverage, merchandise and, in limited situations, cash. The incentives earned by customers under these programs are based on previous revenue transactions and represent separate performance obligations. Points earned, less estimated breakage, are recorded as a reduction of casino revenues at the standalone selling price of the points when earned based upon the retail value of the benefits, historical redemption rates and estimated breakage and recognized as departmental revenue based on where such points are redeemed upon fulfillment of the performance obligation. The player loyalty program liability represents a deferral of revenue until redemption occurs, which is typically less than one year.</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offers discretionary coupons and other discretionary complimentaries to customers outside of the player loyalty program. The retail value of complimentary food, beverage, hotel rooms and other services provided to customers is recognized as a reduction to the revenues for the department which issued the complimentary and a credit to the revenue for the department redeemed. Complimentaries provided by third parties at the discretion and under the control of the Company is recorded as an expense when incurred.</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Company’s consolidated statement of operations presents net revenue disaggregated by type or nature of the good or service (i.e., casino, pari-mutuel, food and beverage, hotel and other). A summary of net revenues disaggregated by type of revenue and reportable segment is presented below (amounts in thousands). Refer to Note 16 for a discussion of the Company’s reportable segments. </w:t>
      </w:r>
    </w:p>
    <w:p>
      <w:pPr>
        <w:pStyle w:val="TextBody"/>
        <w:spacing w:before="0" w:after="0"/>
        <w:rPr/>
      </w:pPr>
      <w:r>
        <w:rPr/>
        <w:t> </w:t>
      </w:r>
    </w:p>
    <w:tbl>
      <w:tblPr>
        <w:tblW w:w="8020" w:type="dxa"/>
        <w:jc w:val="left"/>
        <w:tblInd w:w="0" w:type="dxa"/>
        <w:tblCellMar>
          <w:top w:w="0" w:type="dxa"/>
          <w:left w:w="0" w:type="dxa"/>
          <w:bottom w:w="28" w:type="dxa"/>
          <w:right w:w="0" w:type="dxa"/>
        </w:tblCellMar>
      </w:tblPr>
      <w:tblGrid>
        <w:gridCol w:w="1760"/>
        <w:gridCol w:w="60"/>
        <w:gridCol w:w="110"/>
        <w:gridCol w:w="60"/>
        <w:gridCol w:w="605"/>
        <w:gridCol w:w="60"/>
        <w:gridCol w:w="60"/>
        <w:gridCol w:w="110"/>
        <w:gridCol w:w="60"/>
        <w:gridCol w:w="605"/>
        <w:gridCol w:w="60"/>
        <w:gridCol w:w="60"/>
        <w:gridCol w:w="110"/>
        <w:gridCol w:w="60"/>
        <w:gridCol w:w="605"/>
        <w:gridCol w:w="60"/>
        <w:gridCol w:w="60"/>
        <w:gridCol w:w="110"/>
        <w:gridCol w:w="60"/>
        <w:gridCol w:w="605"/>
        <w:gridCol w:w="60"/>
        <w:gridCol w:w="60"/>
        <w:gridCol w:w="110"/>
        <w:gridCol w:w="60"/>
        <w:gridCol w:w="605"/>
        <w:gridCol w:w="60"/>
        <w:gridCol w:w="60"/>
        <w:gridCol w:w="117"/>
        <w:gridCol w:w="64"/>
        <w:gridCol w:w="454"/>
        <w:gridCol w:w="60"/>
        <w:gridCol w:w="60"/>
        <w:gridCol w:w="110"/>
        <w:gridCol w:w="60"/>
        <w:gridCol w:w="740"/>
        <w:gridCol w:w="60"/>
      </w:tblGrid>
      <w:tr>
        <w:trPr/>
        <w:tc>
          <w:tcPr>
            <w:tcW w:w="17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0" w:type="dxa"/>
            <w:gridSpan w:val="3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West</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Midwest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South</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East</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Central</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Corporate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Other</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Casino</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55,328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85,223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92,533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122,384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97,523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452,991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Pari-mutuel commissions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1,667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4,006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Food and beverage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29,280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13,057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14,960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75,428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Hotel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34,035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78,484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9,084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2,170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7,106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3,861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26,212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revenues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127,727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97,239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116,937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170,455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122,792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637,121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0" w:type="dxa"/>
            <w:gridSpan w:val="3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West</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Midwest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South</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East</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Central</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Corporate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Other</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Casino</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57,696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87,448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88,994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109,537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343,675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Pari-mutuel commissions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2,455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Food and beverage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12,583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54,293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Hotel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26,222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6,301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38,926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8,150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1,997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1,774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2,830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14,863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revenues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117,880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100,607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112,242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125,961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456,802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0" w:type="dxa"/>
            <w:gridSpan w:val="3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West</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Midwest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South</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East</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Central</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Corporate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Other</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Casino</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108,899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170,392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198,351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246,894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195,333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919,869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Pari-mutuel commissions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7,979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Food and beverage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57,187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27,765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29,680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150,637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Hotel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61,451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13,175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44,333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16,493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143,175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18,285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3,927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4,490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13,672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7,417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51,284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revenues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245,822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194,026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249,651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336,688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243,264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1,272,944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0" w:type="dxa"/>
            <w:gridSpan w:val="3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West</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Midwest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South</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East</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Central</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Corporate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Other</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Casino</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107,430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175,807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186,503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213,393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683,133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Pari-mutuel commissions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5,999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9,115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Food and beverage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49,023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26,444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17,364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106,491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Hotel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45,652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8,056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12,292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3,667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69,667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15,354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3,879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3,804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5,312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28,588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revenues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217,459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201,402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235,042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242,852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896,994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val="false"/>
          <w:i/>
          <w:caps w:val="false"/>
          <w:smallCaps w:val="false"/>
          <w:sz w:val="17"/>
        </w:rPr>
      </w:pPr>
      <w:r>
        <w:rPr>
          <w:rFonts w:ascii="Times New Roman" w:hAnsi="Times New Roman"/>
          <w:b w:val="false"/>
          <w:i/>
          <w:caps w:val="false"/>
          <w:smallCaps w:val="false"/>
          <w:sz w:val="17"/>
        </w:rPr>
        <w:t>Contract and Contract Related Liabilities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player loyalty program obligations, which represents the deferred allocation of revenue relating to player loyalty program incentives earned, as discussed above, and (3) customer deposits and other deferred revenue, which is primarily funds deposited by customers related to gaming play, advance payments on goods and services yet to be provided (such as advance ticket sales and deposits on rooms and convention space or for unpaid wagers), and deferred revenues associated with the Company’s interests in William Hill and TSG  (see Note 7 and Note 8). Except for deferred revenues related to William Hill and TSG, these liabilities are generally expected to be recognized as revenue within one year of being purchased, earned, or deposited and are recorded within “Accrued other liabilities” on the Company’s Consolidated Balance Sheets.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summarizes the activity related to contract and contract-related liabilities (in thousands):</w:t>
      </w:r>
    </w:p>
    <w:p>
      <w:pPr>
        <w:pStyle w:val="TextBody"/>
        <w:spacing w:before="0" w:after="0"/>
        <w:rPr/>
      </w:pPr>
      <w:r>
        <w:rPr/>
        <w:t> </w:t>
      </w:r>
    </w:p>
    <w:tbl>
      <w:tblPr>
        <w:tblW w:w="6740" w:type="dxa"/>
        <w:jc w:val="left"/>
        <w:tblInd w:w="0" w:type="dxa"/>
        <w:tblCellMar>
          <w:top w:w="0" w:type="dxa"/>
          <w:left w:w="0" w:type="dxa"/>
          <w:bottom w:w="28" w:type="dxa"/>
          <w:right w:w="0" w:type="dxa"/>
        </w:tblCellMar>
      </w:tblPr>
      <w:tblGrid>
        <w:gridCol w:w="1445"/>
        <w:gridCol w:w="60"/>
        <w:gridCol w:w="130"/>
        <w:gridCol w:w="71"/>
        <w:gridCol w:w="577"/>
        <w:gridCol w:w="95"/>
        <w:gridCol w:w="71"/>
        <w:gridCol w:w="130"/>
        <w:gridCol w:w="71"/>
        <w:gridCol w:w="506"/>
        <w:gridCol w:w="60"/>
        <w:gridCol w:w="60"/>
        <w:gridCol w:w="110"/>
        <w:gridCol w:w="60"/>
        <w:gridCol w:w="515"/>
        <w:gridCol w:w="80"/>
        <w:gridCol w:w="60"/>
        <w:gridCol w:w="110"/>
        <w:gridCol w:w="60"/>
        <w:gridCol w:w="515"/>
        <w:gridCol w:w="80"/>
        <w:gridCol w:w="60"/>
        <w:gridCol w:w="129"/>
        <w:gridCol w:w="70"/>
        <w:gridCol w:w="714"/>
        <w:gridCol w:w="70"/>
        <w:gridCol w:w="70"/>
        <w:gridCol w:w="129"/>
        <w:gridCol w:w="70"/>
        <w:gridCol w:w="502"/>
        <w:gridCol w:w="60"/>
      </w:tblGrid>
      <w:tr>
        <w:trPr/>
        <w:tc>
          <w:tcPr>
            <w:tcW w:w="144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51"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Outstanding Chip Liability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10"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Player Loyalty Liability</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54"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Customer Deposits and Other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Deferred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7"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3"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7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1"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Balance at January 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8,930</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17,639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11,752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27,588</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5,487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Balance at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7,802</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4,948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14,723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10,430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174,287</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5,684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Increase / (decrease)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(1,128</w:t>
            </w:r>
          </w:p>
        </w:tc>
        <w:tc>
          <w:tcPr>
            <w:tcW w:w="9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(2,916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(1,322</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146,699</w:t>
            </w:r>
          </w:p>
        </w:tc>
        <w:tc>
          <w:tcPr>
            <w:tcW w:w="7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June 30, 2019 balances exclude liabilities related to assets held for sale recorded in 2019 (see Note 5).  The change in customer deposits and other deferred revenue during the six months ended June 30, 2019 is primarily attributed to the Company’s interests in William Hill, which is recorded in other long-term liabilities on the Consolidated Balance Sheets (see Note 7).</w:t>
      </w:r>
    </w:p>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Note 4. Purchase Price Accounting and Pro Forma Information</w:t>
      </w:r>
    </w:p>
    <w:p>
      <w:pPr>
        <w:pStyle w:val="TextBody"/>
        <w:spacing w:before="120" w:after="0"/>
        <w:rPr>
          <w:rFonts w:ascii="Times New Roman" w:hAnsi="Times New Roman"/>
          <w:b/>
          <w:i/>
          <w:caps w:val="false"/>
          <w:smallCaps w:val="false"/>
          <w:sz w:val="17"/>
        </w:rPr>
      </w:pPr>
      <w:r>
        <w:rPr>
          <w:rFonts w:ascii="Times New Roman" w:hAnsi="Times New Roman"/>
          <w:b/>
          <w:i/>
          <w:caps w:val="false"/>
          <w:smallCaps w:val="false"/>
          <w:sz w:val="17"/>
        </w:rPr>
        <w:t xml:space="preserve">Tropicana </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Acquisition Summary</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April 15, 2018, the Company announced that it had entered into a definitive agreement to acquire Tropicana in a cash transaction valued at $1.9 billion. At the closing of the transaction on October 1, 2018, a subsidiary of the Company merged into Tropicana and Tropicana became a wholly-owned subsidiary of the Company. Immediately prior to the merger, Tropicana sold Tropicana Aruba Resort and Casino and Gaming and Leisure Properties, Inc. (“GLPI”) acquired substantially all of Tropicana’s real estate, other than the real estate underlying MontBleu and Lumière, for approximately $964 million and the Company acquired Tropicana’s operations and certain real estate for $927.3 million. Substantially concurrently with the acquisition of the real estate portfolio by GLPI, the Company also entered into a triple net master lease (see Note 10). The Company funded the purchase of the real estate underlying Lumière with the proceeds of a $246 million loan (see Note 11) and funded the remaining consideration payable with cash on hand at the Company and Tropicana, borrowings under the Company’s revolving credit facility and proceeds from the Company’s offering of $600 million in aggregate principal amount of 6% senior notes due 2026.</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Transaction expenses related to the Tropicana Acquisition totaled $1.1 million and $2.5 million for the three months ended June 30, 2019 and 2018, respectively, and $2.5 million and $3.5 million for the six months ended June 30, 2019 and 2018, respectively.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Preliminary Purchase Price Accounting</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total purchase consideration for the Tropicana Acquisition was $927.3 million. The estimated purchase consideration in the acquisition was determined with reference to its acquisition date fair value.</w:t>
      </w:r>
    </w:p>
    <w:p>
      <w:pPr>
        <w:pStyle w:val="TextBody"/>
        <w:spacing w:before="0" w:after="0"/>
        <w:rPr/>
      </w:pPr>
      <w:r>
        <w:rPr/>
        <w:t> </w:t>
      </w:r>
    </w:p>
    <w:tbl>
      <w:tblPr>
        <w:tblW w:w="4365" w:type="dxa"/>
        <w:jc w:val="left"/>
        <w:tblInd w:w="0" w:type="dxa"/>
        <w:tblCellMar>
          <w:top w:w="0" w:type="dxa"/>
          <w:left w:w="0" w:type="dxa"/>
          <w:bottom w:w="28" w:type="dxa"/>
          <w:right w:w="0" w:type="dxa"/>
        </w:tblCellMar>
      </w:tblPr>
      <w:tblGrid>
        <w:gridCol w:w="3470"/>
        <w:gridCol w:w="60"/>
        <w:gridCol w:w="110"/>
        <w:gridCol w:w="60"/>
        <w:gridCol w:w="605"/>
        <w:gridCol w:w="60"/>
      </w:tblGrid>
      <w:tr>
        <w:trPr/>
        <w:tc>
          <w:tcPr>
            <w:tcW w:w="34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Purchase consideration calculation (dollars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consideration paid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Lumière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paid to retire Tropicana's long-term debt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ERI portion of taxes due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6,333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Purchase consideration</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927,333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14</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fair values are based on management’s analysis including preliminary work performed by third party valuation specialists, which are subject to finalization and review. The purchase price accounting for Tropicana is preliminary as it relates to determining the fair value of certain assets and liabilities, including goodwill, and is subject to change. No changes have been recorded since the October 1, 2018 acquisition date. The following table summarizes the preliminary allocation of the purchase consideration to the identifiable assets acquired and liabilities assumed of Tropicana, with the excess recorded as goodwill as of June 30, 2019 (dollars in thousands):  </w:t>
      </w:r>
    </w:p>
    <w:p>
      <w:pPr>
        <w:pStyle w:val="TextBody"/>
        <w:spacing w:before="0" w:after="0"/>
        <w:rPr/>
      </w:pPr>
      <w:r>
        <w:rPr/>
        <w:t> </w:t>
      </w:r>
    </w:p>
    <w:tbl>
      <w:tblPr>
        <w:tblW w:w="4145" w:type="dxa"/>
        <w:jc w:val="left"/>
        <w:tblInd w:w="0" w:type="dxa"/>
        <w:tblCellMar>
          <w:top w:w="0" w:type="dxa"/>
          <w:left w:w="0" w:type="dxa"/>
          <w:bottom w:w="0" w:type="dxa"/>
          <w:right w:w="0" w:type="dxa"/>
        </w:tblCellMar>
      </w:tblPr>
      <w:tblGrid>
        <w:gridCol w:w="3035"/>
        <w:gridCol w:w="60"/>
        <w:gridCol w:w="110"/>
        <w:gridCol w:w="60"/>
        <w:gridCol w:w="800"/>
        <w:gridCol w:w="80"/>
      </w:tblGrid>
      <w:tr>
        <w:trPr/>
        <w:tc>
          <w:tcPr>
            <w:tcW w:w="30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and other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183,292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and equipment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432,758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subject to the financing obligation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957,300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Goodwill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220,482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Intangible assets (i)</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247,976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noncurrent assets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38,276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2,080,084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3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(168,856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03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Financing obligation to GLPI</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(957,300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03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Noncurrent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(26,595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03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(1,152,751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03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assets acquired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927,333</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78"/>
        <w:gridCol w:w="9967"/>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78"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w:t>
            </w:r>
          </w:p>
        </w:tc>
        <w:tc>
          <w:tcPr>
            <w:tcW w:w="9967"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Intangible assets consist of gaming licenses valued at $124.9 million, trade names valued at $67.1 million and player loyalty programs valued at $55.9 million.</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Valuation methodologies under both a market and income approach used for the identifiable net assets acquired in the Tropicana Acquisition make use of Level 3 inputs including discounted cash flows.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Trade receivables and payables, inventories and other current and noncurrent assets and liabilities were valued at the existing carrying values as they represented the estimated fair value of those items at the Tropicana Acquisition date.</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fair value of land (excluding the real property acquired by GLPI)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under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real estate assets that were sold to GLPI and leased back by the Company were adjusted to fair value concurrently with the acquisition of Tropicana. The fair value of the properties was determined utilizing the direct capitalization method of the income approach. In allocating the fair value to the underlying acquired assets, a fair value for the buildings and improvements was determined using the above mentioned cost approach method. To determine the underlying land value, the extraction method was applied wherein the fair value of the building and improvements was deducted from the fair value of the property as derived from the direct capitalization approach to determine the fair value of the land. The fair value of GLPI’s real estate assets was determined to be $957.3 million.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fair value of the gaming licenses was determined using the multi period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has assigned an indefinite useful life to the gaming licenses, in accordance with its review of the applicable guidance of ASC 350. The Company considered,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The Company determined that no legal, regulatory, contractual, competitive, economic or other factors limit the useful lives of these intangible assets. Tropicana had licenses in New Jersey, Missouri, Mississippi, Nevada, Indiana, and Louisiana. The renewal of each state’s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each license. No other competitive, contractual, or economic factor limits the useful lives of these assets. Accordingly, the Company has concluded that the useful lives of these licenses are indefinite.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Trade names are valued using the relief from royalty method, which presumes that without ownership of such trademarks, the Company would have to make a stream of payments to a brand or franchise owner in return for the right to use their name. By virtue of this asset, the Company avoids any such payments and records the related intangible value of the Company’s ownership of the brand name. The primary assumptions in the valuation included revenue, pre-tax royalty rate, and tax expense. The Company has assigned an indefinite useful life to the trade names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Player loyalty programs were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3-year useful life on the player loyalty programs.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Goodwill is the result of expected synergies from combining operations of the acquired and acquirer. The goodwill acquired is fully amortizable for tax purposes.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 the period from January 1, 2019 through June 30, 2019, Tropicana generated net revenues of $418.2 million and net income of $5.3 million.</w:t>
      </w:r>
    </w:p>
    <w:p>
      <w:pPr>
        <w:pStyle w:val="TextBody"/>
        <w:spacing w:before="0" w:after="0"/>
        <w:rPr/>
      </w:pPr>
      <w:r>
        <w:rPr/>
        <w:t> </w:t>
      </w:r>
    </w:p>
    <w:p>
      <w:pPr>
        <w:pStyle w:val="TextBody"/>
        <w:spacing w:before="160" w:after="0"/>
        <w:rPr>
          <w:rFonts w:ascii="Times New Roman" w:hAnsi="Times New Roman"/>
          <w:b/>
          <w:i/>
          <w:caps w:val="false"/>
          <w:smallCaps w:val="false"/>
          <w:sz w:val="17"/>
        </w:rPr>
      </w:pPr>
      <w:r>
        <w:rPr>
          <w:rFonts w:ascii="Times New Roman" w:hAnsi="Times New Roman"/>
          <w:b/>
          <w:i/>
          <w:caps w:val="false"/>
          <w:smallCaps w:val="false"/>
          <w:sz w:val="17"/>
        </w:rPr>
        <w:t>Elgin</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Acquisition Summary</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August 7, 2018, the Company completed its acquisition of one hundred percent of the partnership interests in Elgin. As a result of the Elgin Acquisition, Elgin became an indirect wholly-owned subsidiary of the Company. The Company purchased Elgin for $327.5 million plus a $1.3 million working capital adjustment. The Elgin Acquisition was financed using cash on hand and borrowings under the Company’s revolving credit facility.</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Transaction expenses related to the Elgin Acquisition totaled $14 thousand and $736 thousand for the three months ended June 30, 2019 and 2018, respectively and $45 thousand and $1.3 million for the six months ended June 30, 2019 and 2018, respectively. </w:t>
      </w:r>
    </w:p>
    <w:p>
      <w:pPr>
        <w:pStyle w:val="TextBody"/>
        <w:spacing w:before="0" w:after="0"/>
        <w:rPr/>
      </w:pPr>
      <w:r>
        <w:rPr/>
        <w:t> </w:t>
      </w:r>
    </w:p>
    <w:p>
      <w:pPr>
        <w:pStyle w:val="TextBody"/>
        <w:spacing w:before="160" w:after="0"/>
        <w:rPr>
          <w:rFonts w:ascii="Times New Roman" w:hAnsi="Times New Roman"/>
          <w:b/>
          <w:i/>
          <w:caps w:val="false"/>
          <w:smallCaps w:val="false"/>
          <w:sz w:val="17"/>
        </w:rPr>
      </w:pPr>
      <w:r>
        <w:rPr>
          <w:rFonts w:ascii="Times New Roman" w:hAnsi="Times New Roman"/>
          <w:b/>
          <w:i/>
          <w:caps w:val="false"/>
          <w:smallCaps w:val="false"/>
          <w:sz w:val="17"/>
        </w:rPr>
        <w:t>Final Purchase Price Accounting – Elgin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total purchase consideration for the Elgin Acquisition was $328.8 million. The purchase consideration in the acquisition was determined with reference to its acquisition date fair value.</w:t>
      </w:r>
    </w:p>
    <w:p>
      <w:pPr>
        <w:pStyle w:val="TextBody"/>
        <w:spacing w:before="0" w:after="0"/>
        <w:rPr/>
      </w:pPr>
      <w:r>
        <w:rPr/>
        <w:t> </w:t>
      </w:r>
    </w:p>
    <w:tbl>
      <w:tblPr>
        <w:tblW w:w="4365" w:type="dxa"/>
        <w:jc w:val="left"/>
        <w:tblInd w:w="0" w:type="dxa"/>
        <w:tblCellMar>
          <w:top w:w="0" w:type="dxa"/>
          <w:left w:w="0" w:type="dxa"/>
          <w:bottom w:w="28" w:type="dxa"/>
          <w:right w:w="0" w:type="dxa"/>
        </w:tblCellMar>
      </w:tblPr>
      <w:tblGrid>
        <w:gridCol w:w="3470"/>
        <w:gridCol w:w="60"/>
        <w:gridCol w:w="110"/>
        <w:gridCol w:w="60"/>
        <w:gridCol w:w="605"/>
        <w:gridCol w:w="60"/>
      </w:tblGrid>
      <w:tr>
        <w:trPr/>
        <w:tc>
          <w:tcPr>
            <w:tcW w:w="34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Purchase consideration calculation (dollars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consideration paid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327,500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Working capital and other adjustments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1,304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Purchase consideration</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328,804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fair values are based on management’s analysis including work performed by third party valuation specialists. No changes were recorded during the six months ended June 30, 2019.  The following table summarizes the allocation of the purchase consideration to the identifiable assets acquired and liabilities assumed of Elgin, with the excess recorded as goodwill as of June 30, 2019 (dollars in thousands):</w:t>
      </w:r>
    </w:p>
    <w:p>
      <w:pPr>
        <w:pStyle w:val="TextBody"/>
        <w:spacing w:before="0" w:after="0"/>
        <w:rPr/>
      </w:pPr>
      <w:r>
        <w:rPr/>
        <w:t> </w:t>
      </w:r>
    </w:p>
    <w:tbl>
      <w:tblPr>
        <w:tblW w:w="2735" w:type="dxa"/>
        <w:jc w:val="left"/>
        <w:tblInd w:w="0" w:type="dxa"/>
        <w:tblCellMar>
          <w:top w:w="0" w:type="dxa"/>
          <w:left w:w="0" w:type="dxa"/>
          <w:bottom w:w="0" w:type="dxa"/>
          <w:right w:w="0" w:type="dxa"/>
        </w:tblCellMar>
      </w:tblPr>
      <w:tblGrid>
        <w:gridCol w:w="1820"/>
        <w:gridCol w:w="60"/>
        <w:gridCol w:w="110"/>
        <w:gridCol w:w="60"/>
        <w:gridCol w:w="605"/>
        <w:gridCol w:w="80"/>
      </w:tblGrid>
      <w:tr>
        <w:trPr/>
        <w:tc>
          <w:tcPr>
            <w:tcW w:w="18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25,349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and equipment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60,792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Goodwill</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59,774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Intangible assets (i)</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205,296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noncurrent assets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352,126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(21,572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82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Noncurrent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(1,750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82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(23,322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82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assets acquired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328,804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80"/>
        <w:gridCol w:w="996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8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w:t>
            </w:r>
          </w:p>
        </w:tc>
        <w:tc>
          <w:tcPr>
            <w:tcW w:w="9965"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Intangible assets consist of gaming license valued at $163.9 million, trade names valued at $12.6 million and player relationships valued at $28.8 million.</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Valuation methodologies under both a market and income approach used for the identifiable net assets acquired in the Elgin Acquisition make use of Level 3 inputs including discounted cash flows.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Trade receivables and payables, inventories and other current and noncurrent assets and liabilities were valued at the existing carrying values as they represented the estimated fair value of those items at the Elgin Acquisition date.</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under the cost approach using a direct cost model built on estimates of replacement cost.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has assigned an indefinite useful life to the gaming licenses, in accordance with its review of the applicable guidance of ASC 350. The fair value of the gaming license was determined using the multi period excess earnings method. The excess earnings methodology, which is an income approach methodology that allocates the projected cash flows of the business to the gaming license intangible assets less charges for the use of other identifiable assets of Elgin including working capital, fixed assets and other intangible assets. This methodology was considered appropriate as the gaming license is the primary asset of Elgin. The property’s estimated future cash flows were the primary assumption in the respective valuations. Cash flow estimates included net gaming revenue, gaming operating expenses, general and administrative expenses, and tax expense. The renewal of the gaming license depends on a number of factors, including payment of certain fees and taxes, providing certain information to the state’s gaming regulator, and meeting certain inspection requirements. However, the Company’s historical experience has not indicated, nor does the Company expect, any limitations regarding its ability to continue to renew the license. No other competitive, contractual, or economic factor limits the useful lives of this asset. Accordingly, the Company has concluded that the useful life of this license is indefinite.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player loyalty program was valued using the cost approach and the incremental cash flow method under the income approach. The incremental cash flow method is used to estimate the fair value of an intangible asset based on a residual cash flow notion. This method measures the benefits (e.g., cash flows) derived from ownership of an acquired intangible asset as if it were in place, as compared to the acquirer’s expected cash flows as if the intangible asset were not in place (i.e., with-and-without). The residual or net cash flows of the two models is ascribable to the intangible asset. The Company has estimated a 4-year useful life on the player loyalty programs.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trade name was valued using the relief</w:t>
        <w:noBreakHyphen/>
        <w:t>from</w:t>
        <w:noBreakHyphen/>
        <w:t xml:space="preserve">royalty method. The primary assumptions in the valuation included revenue, pre-tax royalty rate, and tax expense. The Company has assigned the trade name an indefinite useful life after considering, among other things, the expected use of the asset, the expected useful life of other related assets or asset groups,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the Company determined that no legal, regulatory, contractual, competitive, economic or other factors limit the useful lives of these intangible assets.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Goodwill is the result of expected synergies from combining operations of the acquired and acquirer. The goodwill acquired is fully amortizable for tax purposes.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 the period from January 1, 2019 through June 30, 2019, Elgin generated net revenues of $76.7 million and net income of $11.4 million.</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Unaudited Pro Forma Information</w:t>
      </w:r>
    </w:p>
    <w:p>
      <w:pPr>
        <w:pStyle w:val="TextBody"/>
        <w:spacing w:before="120" w:after="0"/>
        <w:jc w:val="both"/>
        <w:rPr>
          <w:rFonts w:ascii="Times New Roman" w:hAnsi="Times New Roman"/>
          <w:b w:val="false"/>
          <w:i/>
          <w:caps w:val="false"/>
          <w:smallCaps w:val="false"/>
          <w:sz w:val="17"/>
        </w:rPr>
      </w:pPr>
      <w:r>
        <w:rPr>
          <w:rFonts w:ascii="Times New Roman" w:hAnsi="Times New Roman"/>
          <w:b w:val="false"/>
          <w:i/>
          <w:caps w:val="false"/>
          <w:smallCaps w:val="false"/>
          <w:sz w:val="17"/>
        </w:rPr>
        <w:t>Tropicana</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unaudited pro forma information presents the results of operations of the Company for the six months ended June 30, 2018, as if only the Tropicana Acquisition had occurred on January 1, 2017 (in thousands).</w:t>
      </w:r>
    </w:p>
    <w:p>
      <w:pPr>
        <w:pStyle w:val="TextBody"/>
        <w:spacing w:before="0" w:after="0"/>
        <w:rPr/>
      </w:pPr>
      <w:r>
        <w:rPr/>
        <w:t> </w:t>
      </w:r>
    </w:p>
    <w:tbl>
      <w:tblPr>
        <w:tblW w:w="2843" w:type="dxa"/>
        <w:jc w:val="left"/>
        <w:tblInd w:w="0" w:type="dxa"/>
        <w:tblCellMar>
          <w:top w:w="0" w:type="dxa"/>
          <w:left w:w="0" w:type="dxa"/>
          <w:bottom w:w="0" w:type="dxa"/>
          <w:right w:w="0" w:type="dxa"/>
        </w:tblCellMar>
      </w:tblPr>
      <w:tblGrid>
        <w:gridCol w:w="1625"/>
        <w:gridCol w:w="60"/>
        <w:gridCol w:w="132"/>
        <w:gridCol w:w="72"/>
        <w:gridCol w:w="894"/>
        <w:gridCol w:w="60"/>
      </w:tblGrid>
      <w:tr>
        <w:trPr/>
        <w:tc>
          <w:tcPr>
            <w:tcW w:w="162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8"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8"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1,342,436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4"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47,659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Tropicana prior to the Tropicana Acquisition with adjustments directly attributable to the Tropicana Acquisition.</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Elgin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unaudited pro forma information presents the results of operations of the Company for the six months ended June 30, 2018, as if only the Elgin Acquisition had occurred on January 1, 2017 (in thousands).</w:t>
      </w:r>
    </w:p>
    <w:p>
      <w:pPr>
        <w:pStyle w:val="TextBody"/>
        <w:spacing w:before="0" w:after="0"/>
        <w:rPr/>
      </w:pPr>
      <w:r>
        <w:rPr/>
        <w:t> </w:t>
      </w:r>
    </w:p>
    <w:tbl>
      <w:tblPr>
        <w:tblW w:w="2844" w:type="dxa"/>
        <w:jc w:val="left"/>
        <w:tblInd w:w="0" w:type="dxa"/>
        <w:tblCellMar>
          <w:top w:w="0" w:type="dxa"/>
          <w:left w:w="0" w:type="dxa"/>
          <w:bottom w:w="0" w:type="dxa"/>
          <w:right w:w="0" w:type="dxa"/>
        </w:tblCellMar>
      </w:tblPr>
      <w:tblGrid>
        <w:gridCol w:w="1625"/>
        <w:gridCol w:w="60"/>
        <w:gridCol w:w="156"/>
        <w:gridCol w:w="85"/>
        <w:gridCol w:w="858"/>
        <w:gridCol w:w="60"/>
      </w:tblGrid>
      <w:tr>
        <w:trPr/>
        <w:tc>
          <w:tcPr>
            <w:tcW w:w="162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9"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9"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6"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977,241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64,857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18</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These pro forma results do not necessarily represent the results of operations that would have been achieved if the acquisition had taken place on January 1, 2017, nor are they indicative of the results of operations for future periods. The pro forma amounts include the historical operating results of the Company and Elgin prior to the Elgin Acquisition with adjustments directly attributable to the Elgin Acquisition.</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Note 5. Assets Held for Sale</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Century Casinos, Inc. and VICI Properties, Inc.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On June 17, 2019, the Company entered into definitive agreements to sell the real property relating to Mountaineer, Cape Girardeau, and Caruthersville to VICI Properties, Inc. (“VICI”) for approximately $278 million and, immediately following the consummation of the sale such real property, sell all of the outstanding equity interests of Mountaineer Park, Inc., IOC-Caruthersville, LLC and IOC-Cape Girardeau, LLC to Century Casinos, Inc. for approximately $107 million, subject to a customary working capital adjustment. </w:t>
      </w:r>
    </w:p>
    <w:p>
      <w:pPr>
        <w:pStyle w:val="TextBody"/>
        <w:spacing w:before="0" w:after="0"/>
        <w:rPr/>
      </w:pPr>
      <w:r>
        <w:rPr/>
        <w:t> </w:t>
      </w:r>
    </w:p>
    <w:p>
      <w:pPr>
        <w:pStyle w:val="TextBody"/>
        <w:shd w:fill="FFFFFF" w:val="clear"/>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divestitures are subject to receipt of required regulatory approvals and other customary closing conditions. The divestitures are expected to close in early 2020 subject to satisfaction of closing conditions.</w:t>
      </w:r>
    </w:p>
    <w:p>
      <w:pPr>
        <w:pStyle w:val="TextBody"/>
        <w:shd w:fill="FFFFFF" w:val="clear"/>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assets and liabilities held for sale, accounted for at carrying value as it was lower than fair value, were as follows as of June 30, 2019 (in thousands):</w:t>
      </w:r>
    </w:p>
    <w:p>
      <w:pPr>
        <w:pStyle w:val="TextBody"/>
        <w:shd w:fill="FFFFFF" w:val="clear"/>
        <w:spacing w:before="0" w:after="0"/>
        <w:rPr/>
      </w:pPr>
      <w:r>
        <w:rPr/>
        <w:t> </w:t>
      </w:r>
    </w:p>
    <w:tbl>
      <w:tblPr>
        <w:tblW w:w="6615" w:type="dxa"/>
        <w:jc w:val="left"/>
        <w:tblInd w:w="0" w:type="dxa"/>
        <w:tblCellMar>
          <w:top w:w="0" w:type="dxa"/>
          <w:left w:w="0" w:type="dxa"/>
          <w:bottom w:w="28" w:type="dxa"/>
          <w:right w:w="0" w:type="dxa"/>
        </w:tblCellMar>
      </w:tblPr>
      <w:tblGrid>
        <w:gridCol w:w="2705"/>
        <w:gridCol w:w="60"/>
        <w:gridCol w:w="111"/>
        <w:gridCol w:w="60"/>
        <w:gridCol w:w="614"/>
        <w:gridCol w:w="60"/>
        <w:gridCol w:w="60"/>
        <w:gridCol w:w="139"/>
        <w:gridCol w:w="75"/>
        <w:gridCol w:w="766"/>
        <w:gridCol w:w="60"/>
        <w:gridCol w:w="60"/>
        <w:gridCol w:w="142"/>
        <w:gridCol w:w="77"/>
        <w:gridCol w:w="671"/>
        <w:gridCol w:w="60"/>
        <w:gridCol w:w="60"/>
        <w:gridCol w:w="110"/>
        <w:gridCol w:w="60"/>
        <w:gridCol w:w="605"/>
        <w:gridCol w:w="60"/>
      </w:tblGrid>
      <w:tr>
        <w:trPr/>
        <w:tc>
          <w:tcPr>
            <w:tcW w:w="270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90" w:type="dxa"/>
            <w:gridSpan w:val="1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Mountaineer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Cape Girardeau</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Caruthersville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receivable,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4,932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Due to affiliates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Inventories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Prepaid expenses and other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15,796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16,517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and equipment,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65,752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76,776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15,188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157,716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Goodwill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18,790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40,919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intangibles,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44,400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27,788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55,143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127,331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Assets held for sale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135,243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125,078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89,328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349,649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payable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1,833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payroll and related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property and other taxes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other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6,378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Liabilities related to assets held for sale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9,191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3,078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1,352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information presents the net operating revenues and net income of Mountaineer, Cape Girardeau, and Caruthersville (in thousands):</w:t>
      </w:r>
    </w:p>
    <w:p>
      <w:pPr>
        <w:pStyle w:val="TextBody"/>
        <w:spacing w:before="0" w:after="0"/>
        <w:rPr/>
      </w:pPr>
      <w:r>
        <w:rPr/>
        <w:t> </w:t>
      </w:r>
    </w:p>
    <w:tbl>
      <w:tblPr>
        <w:tblW w:w="7386" w:type="dxa"/>
        <w:jc w:val="left"/>
        <w:tblInd w:w="0" w:type="dxa"/>
        <w:tblCellMar>
          <w:top w:w="0" w:type="dxa"/>
          <w:left w:w="0" w:type="dxa"/>
          <w:bottom w:w="28" w:type="dxa"/>
          <w:right w:w="0" w:type="dxa"/>
        </w:tblCellMar>
      </w:tblPr>
      <w:tblGrid>
        <w:gridCol w:w="1340"/>
        <w:gridCol w:w="60"/>
        <w:gridCol w:w="128"/>
        <w:gridCol w:w="81"/>
        <w:gridCol w:w="576"/>
        <w:gridCol w:w="62"/>
        <w:gridCol w:w="62"/>
        <w:gridCol w:w="160"/>
        <w:gridCol w:w="101"/>
        <w:gridCol w:w="719"/>
        <w:gridCol w:w="62"/>
        <w:gridCol w:w="62"/>
        <w:gridCol w:w="145"/>
        <w:gridCol w:w="92"/>
        <w:gridCol w:w="653"/>
        <w:gridCol w:w="60"/>
        <w:gridCol w:w="60"/>
        <w:gridCol w:w="128"/>
        <w:gridCol w:w="81"/>
        <w:gridCol w:w="576"/>
        <w:gridCol w:w="62"/>
        <w:gridCol w:w="62"/>
        <w:gridCol w:w="160"/>
        <w:gridCol w:w="101"/>
        <w:gridCol w:w="719"/>
        <w:gridCol w:w="62"/>
        <w:gridCol w:w="62"/>
        <w:gridCol w:w="145"/>
        <w:gridCol w:w="92"/>
        <w:gridCol w:w="653"/>
        <w:gridCol w:w="60"/>
      </w:tblGrid>
      <w:tr>
        <w:trPr/>
        <w:tc>
          <w:tcPr>
            <w:tcW w:w="134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903" w:type="dxa"/>
            <w:gridSpan w:val="1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903" w:type="dxa"/>
            <w:gridSpan w:val="1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Mountaineer</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Cape Girardeau</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Caruthersville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Mountaineer</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Cape Girardeau</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Caruthersville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4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operating 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32,707</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14,340</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8,651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31,566</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15,288</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8,927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4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2,414</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1,578</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1,907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870</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1,809</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1,591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4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903" w:type="dxa"/>
            <w:gridSpan w:val="1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903" w:type="dxa"/>
            <w:gridSpan w:val="1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Mountaineer</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Cape Girardeau</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Caruthersville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Mountaineer</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Cape Girardeau</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Caruthersville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4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operating 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62,873</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29,742</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17,577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61,256</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31,205</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17,725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4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4,037</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3,692</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3,687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849</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3,556</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3,080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19</w:t>
      </w:r>
    </w:p>
    <w:p>
      <w:pPr>
        <w:pStyle w:val="HorizontalLine"/>
        <w:rPr/>
      </w:pPr>
      <w:r>
        <w:rPr/>
      </w:r>
    </w:p>
    <w:p>
      <w:pPr>
        <w:pStyle w:val="TextBody"/>
        <w:spacing w:before="0" w:after="0"/>
        <w:rPr/>
      </w:pPr>
      <w:r>
        <w:rPr/>
        <w:t> </w:t>
      </w:r>
    </w:p>
    <w:p>
      <w:pPr>
        <w:pStyle w:val="TextBody"/>
        <w:spacing w:before="160" w:after="0"/>
        <w:rPr>
          <w:rFonts w:ascii="Times New Roman" w:hAnsi="Times New Roman"/>
          <w:b w:val="false"/>
          <w:i/>
          <w:caps w:val="false"/>
          <w:smallCaps w:val="false"/>
          <w:sz w:val="17"/>
        </w:rPr>
      </w:pPr>
      <w:r>
        <w:rPr>
          <w:rFonts w:ascii="Times New Roman" w:hAnsi="Times New Roman"/>
          <w:b w:val="false"/>
          <w:i/>
          <w:caps w:val="false"/>
          <w:smallCaps w:val="false"/>
          <w:sz w:val="17"/>
        </w:rPr>
        <w:t>Churchill Downs Incorporated</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February 28, 2018, the Company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June 30, 2018 as a result of the announced sale to CDI, an impairment charge totaling $9.8 million was recorded due to the carrying value exceeding the estimated net sales proceeds.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definitive agreements provided that the divestitures were subject to receipt of required regulatory approvals, termination of the waiting period under the Hart-Scott-Rodino Antitrust Improvements Act of 1976, as amended (the “HSR Act”) and other customary closing conditions, including, in the case of Presque Isle Downs, the prior closing of the sale of Vicksburg or the entry into an agreement to acquire another asset of the Company. On May 7, 2018, the Company and CDI each received a Request for Additional Information and Documentary Materials, often referred to as a “Second Request,” from the Federal Trade Commission in connection with its review of the Vicksburg acquisition.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the Company a $5.0 million termination fee upon execution of a definitive agreement with respect to the Nemacolin transaction, which was recorded as proceeds from terminated sale on the Consolidated Statements of Income.  On August 10, 2018, the Company entered into a definitive agreement to sell substantially all of the assets and liabilities of Nemacolin to CDI.  Under the terms of the agreement, CDI agreed to purchase Nemacolin for cash consideration of approximately $0.1 million, subject to a customary working capital adjustment. As a result of the agreement to sell Nemacolin, an impairment charge of $3.8 million was recorded in the third quarter of 2018 due to the carrying value of the net property and equipment being sold exceeding the estimated net sales proceeds.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sale of Presque Isle Downs closed on January 11, 2019 resulting in a gain on sale of $22.1 million, net of final working capital adjustments, for the six months ended June 30, 2019. The sale of Nemacolin closed on March 8, 2019 resulting in a gain on sale of $0.1 million, net of final working capital adjustments, for the six months ended June 30, 2019.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Prior to the respective closing dates, the divestitures of Nemacolin and Presque Isle Downs, both of which were reported in the East segment, met the requirements for presentation as assets held for sale under generally accepted accounting principles. Due to the termination of the Vicksburg sale, Vicksburg was no longer presented as an asset held for sale as of December 31, 2018.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assets and liabilities held for sale, accounted for at carrying value as it was lower than fair value, were as follows as of December 31, 2018 (in thousands):</w:t>
      </w:r>
    </w:p>
    <w:p>
      <w:pPr>
        <w:pStyle w:val="TextBody"/>
        <w:spacing w:before="0" w:after="0"/>
        <w:rPr/>
      </w:pPr>
      <w:r>
        <w:rPr/>
        <w:t> </w:t>
      </w:r>
    </w:p>
    <w:tbl>
      <w:tblPr>
        <w:tblW w:w="5265" w:type="dxa"/>
        <w:jc w:val="left"/>
        <w:tblInd w:w="0" w:type="dxa"/>
        <w:tblCellMar>
          <w:top w:w="0" w:type="dxa"/>
          <w:left w:w="0" w:type="dxa"/>
          <w:bottom w:w="28" w:type="dxa"/>
          <w:right w:w="0" w:type="dxa"/>
        </w:tblCellMar>
      </w:tblPr>
      <w:tblGrid>
        <w:gridCol w:w="2705"/>
        <w:gridCol w:w="60"/>
        <w:gridCol w:w="120"/>
        <w:gridCol w:w="65"/>
        <w:gridCol w:w="465"/>
        <w:gridCol w:w="60"/>
        <w:gridCol w:w="60"/>
        <w:gridCol w:w="110"/>
        <w:gridCol w:w="60"/>
        <w:gridCol w:w="605"/>
        <w:gridCol w:w="60"/>
        <w:gridCol w:w="60"/>
        <w:gridCol w:w="110"/>
        <w:gridCol w:w="60"/>
        <w:gridCol w:w="605"/>
        <w:gridCol w:w="60"/>
      </w:tblGrid>
      <w:tr>
        <w:trPr/>
        <w:tc>
          <w:tcPr>
            <w:tcW w:w="270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40" w:type="dxa"/>
            <w:gridSpan w:val="1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Nemacolin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Presque Isle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Downs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receivable,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Inventories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Prepaid expenses and other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and equipment,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70,134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71,918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Goodwill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intangibles, net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75,422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75,422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Assets held for sale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2,505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153,266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155,771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payroll and related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property and other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other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1,628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3,659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5,287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long-term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Long-term obligation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0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Liabilities related to assets held for sale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5,682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5,009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10,691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information presents the net operating revenues and net income (loss) of Presque Isle Downs and Nemacolin prior to the respective divestitures (in thousands):</w:t>
      </w:r>
    </w:p>
    <w:p>
      <w:pPr>
        <w:pStyle w:val="TextBody"/>
        <w:spacing w:before="0" w:after="0"/>
        <w:rPr/>
      </w:pPr>
      <w:r>
        <w:rPr/>
        <w:t> </w:t>
      </w:r>
    </w:p>
    <w:tbl>
      <w:tblPr>
        <w:tblW w:w="6158" w:type="dxa"/>
        <w:jc w:val="left"/>
        <w:tblInd w:w="0" w:type="dxa"/>
        <w:tblCellMar>
          <w:top w:w="0" w:type="dxa"/>
          <w:left w:w="0" w:type="dxa"/>
          <w:bottom w:w="28" w:type="dxa"/>
          <w:right w:w="0" w:type="dxa"/>
        </w:tblCellMar>
      </w:tblPr>
      <w:tblGrid>
        <w:gridCol w:w="1385"/>
        <w:gridCol w:w="60"/>
        <w:gridCol w:w="185"/>
        <w:gridCol w:w="116"/>
        <w:gridCol w:w="859"/>
        <w:gridCol w:w="108"/>
        <w:gridCol w:w="100"/>
        <w:gridCol w:w="158"/>
        <w:gridCol w:w="100"/>
        <w:gridCol w:w="610"/>
        <w:gridCol w:w="65"/>
        <w:gridCol w:w="60"/>
        <w:gridCol w:w="176"/>
        <w:gridCol w:w="111"/>
        <w:gridCol w:w="816"/>
        <w:gridCol w:w="57"/>
        <w:gridCol w:w="46"/>
        <w:gridCol w:w="92"/>
        <w:gridCol w:w="146"/>
        <w:gridCol w:w="92"/>
        <w:gridCol w:w="680"/>
        <w:gridCol w:w="46"/>
        <w:gridCol w:w="30"/>
        <w:gridCol w:w="60"/>
      </w:tblGrid>
      <w:tr>
        <w:trPr/>
        <w:tc>
          <w:tcPr>
            <w:tcW w:w="138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236"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 w:type="dxa"/>
            <w:gridSpan w:val="2"/>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 w:type="dxa"/>
            <w:gridSpan w:val="2"/>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13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6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Presque Isle Downs</w:t>
            </w:r>
          </w:p>
        </w:tc>
        <w:tc>
          <w:tcPr>
            <w:tcW w:w="10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8"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Nemacolin</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 w:type="dxa"/>
            <w:gridSpan w:val="2"/>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 w:type="dxa"/>
            <w:gridSpan w:val="2"/>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13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operating 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1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36,876</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8,439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13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3,045</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(350</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13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3"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13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1" w:type="dxa"/>
            <w:gridSpan w:val="7"/>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2019</w:t>
            </w:r>
          </w:p>
        </w:tc>
        <w:tc>
          <w:tcPr>
            <w:tcW w:w="125" w:type="dxa"/>
            <w:gridSpan w:val="2"/>
            <w:tcBorders/>
            <w:shd w:fill="FFFFFF" w:val="clear"/>
            <w:tcMar>
              <w:bottom w:w="0" w:type="dxa"/>
            </w:tcMar>
            <w:vAlign w:val="bottom"/>
          </w:tcPr>
          <w:p>
            <w:pPr>
              <w:pStyle w:val="TableContents"/>
              <w:spacing w:before="0" w:after="0"/>
              <w:ind w:left="0" w:right="0" w:hanging="0"/>
              <w:jc w:val="center"/>
              <w:rPr/>
            </w:pPr>
            <w:r>
              <w:rPr/>
              <w:t> </w:t>
            </w:r>
          </w:p>
        </w:tc>
        <w:tc>
          <w:tcPr>
            <w:tcW w:w="1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86" w:type="dxa"/>
            <w:gridSpan w:val="9"/>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2018</w:t>
            </w:r>
          </w:p>
        </w:tc>
        <w:tc>
          <w:tcPr>
            <w:tcW w:w="90" w:type="dxa"/>
            <w:gridSpan w:val="2"/>
            <w:tcBorders>
              <w:bottom w:val="single" w:sz="6" w:space="0" w:color="000000"/>
            </w:tcBorders>
            <w:shd w:fill="FFFFFF" w:val="clear"/>
            <w:vAlign w:val="bottom"/>
          </w:tcPr>
          <w:p>
            <w:pPr>
              <w:pStyle w:val="TableContents"/>
              <w:spacing w:before="0" w:after="0"/>
              <w:ind w:left="0" w:right="0" w:hanging="0"/>
              <w:jc w:val="center"/>
              <w:rPr/>
            </w:pPr>
            <w:r>
              <w:rPr/>
              <w:t> </w:t>
            </w:r>
          </w:p>
        </w:tc>
      </w:tr>
      <w:tr>
        <w:trPr/>
        <w:tc>
          <w:tcPr>
            <w:tcW w:w="13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Presque Isle Downs</w:t>
            </w:r>
          </w:p>
        </w:tc>
        <w:tc>
          <w:tcPr>
            <w:tcW w:w="1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pPr>
            <w:r>
              <w:rPr/>
              <w:t> </w:t>
            </w:r>
          </w:p>
        </w:tc>
        <w:tc>
          <w:tcPr>
            <w:tcW w:w="1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pPr>
            <w:r>
              <w:rPr/>
              <w:t> </w:t>
            </w:r>
          </w:p>
        </w:tc>
        <w:tc>
          <w:tcPr>
            <w:tcW w:w="868"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Nemacolin</w:t>
            </w:r>
          </w:p>
        </w:tc>
        <w:tc>
          <w:tcPr>
            <w:tcW w:w="125" w:type="dxa"/>
            <w:gridSpan w:val="2"/>
            <w:tcBorders>
              <w:bottom w:val="single" w:sz="6" w:space="0" w:color="000000"/>
            </w:tcBorders>
            <w:shd w:fill="FFFFFF" w:val="clear"/>
            <w:vAlign w:val="bottom"/>
          </w:tcPr>
          <w:p>
            <w:pPr>
              <w:pStyle w:val="TableContents"/>
              <w:spacing w:before="0" w:after="0"/>
              <w:ind w:left="0" w:right="0" w:hanging="0"/>
              <w:jc w:val="center"/>
              <w:rPr/>
            </w:pPr>
            <w:r>
              <w:rPr/>
              <w:t> </w:t>
            </w:r>
          </w:p>
        </w:tc>
        <w:tc>
          <w:tcPr>
            <w:tcW w:w="1160" w:type="dxa"/>
            <w:gridSpan w:val="4"/>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Presque Isle Downs</w:t>
            </w:r>
          </w:p>
        </w:tc>
        <w:tc>
          <w:tcPr>
            <w:tcW w:w="13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pPr>
            <w:r>
              <w:rPr/>
              <w:t> </w:t>
            </w:r>
          </w:p>
        </w:tc>
        <w:tc>
          <w:tcPr>
            <w:tcW w:w="964" w:type="dxa"/>
            <w:gridSpan w:val="4"/>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Nemacolin</w:t>
            </w:r>
          </w:p>
        </w:tc>
        <w:tc>
          <w:tcPr>
            <w:tcW w:w="90" w:type="dxa"/>
            <w:gridSpan w:val="2"/>
            <w:tcBorders>
              <w:bottom w:val="single" w:sz="6" w:space="0" w:color="000000"/>
            </w:tcBorders>
            <w:shd w:fill="FFFFFF" w:val="clear"/>
            <w:vAlign w:val="bottom"/>
          </w:tcPr>
          <w:p>
            <w:pPr>
              <w:pStyle w:val="TableContents"/>
              <w:spacing w:before="0" w:after="0"/>
              <w:ind w:left="0" w:right="0" w:hanging="0"/>
              <w:jc w:val="center"/>
              <w:rPr/>
            </w:pPr>
            <w:r>
              <w:rPr/>
              <w:t> </w:t>
            </w:r>
          </w:p>
        </w:tc>
      </w:tr>
      <w:tr>
        <w:trPr/>
        <w:tc>
          <w:tcPr>
            <w:tcW w:w="13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operating 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3,235</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4,836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70,053</w:t>
            </w:r>
          </w:p>
        </w:tc>
        <w:tc>
          <w:tcPr>
            <w:tcW w:w="103" w:type="dxa"/>
            <w:gridSpan w:val="2"/>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16,933</w:t>
            </w:r>
          </w:p>
        </w:tc>
        <w:tc>
          <w:tcPr>
            <w:tcW w:w="76" w:type="dxa"/>
            <w:gridSpan w:val="2"/>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(62</w:t>
            </w:r>
          </w:p>
        </w:tc>
        <w:tc>
          <w:tcPr>
            <w:tcW w:w="10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(754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4,166</w:t>
            </w:r>
          </w:p>
        </w:tc>
        <w:tc>
          <w:tcPr>
            <w:tcW w:w="103"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(468</w:t>
            </w:r>
          </w:p>
        </w:tc>
        <w:tc>
          <w:tcPr>
            <w:tcW w:w="76" w:type="dxa"/>
            <w:gridSpan w:val="2"/>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These amounts include historical operating results, adjusted to eliminate the internal allocation of interest expense that was not be assumed by the buyer.</w:t>
      </w:r>
    </w:p>
    <w:p>
      <w:pPr>
        <w:pStyle w:val="TextBody"/>
        <w:spacing w:before="0" w:after="0"/>
        <w:rPr/>
      </w:pPr>
      <w:r>
        <w:rPr/>
        <w:t> </w:t>
      </w:r>
    </w:p>
    <w:p>
      <w:pPr>
        <w:pStyle w:val="TextBody"/>
        <w:spacing w:before="180" w:after="0"/>
        <w:rPr>
          <w:rFonts w:ascii="Times New Roman" w:hAnsi="Times New Roman"/>
          <w:b/>
          <w:i w:val="false"/>
          <w:caps w:val="false"/>
          <w:smallCaps w:val="false"/>
          <w:sz w:val="17"/>
        </w:rPr>
      </w:pPr>
      <w:r>
        <w:rPr>
          <w:rFonts w:ascii="Times New Roman" w:hAnsi="Times New Roman"/>
          <w:b/>
          <w:i w:val="false"/>
          <w:caps w:val="false"/>
          <w:smallCaps w:val="false"/>
          <w:sz w:val="17"/>
        </w:rPr>
        <w:t>Note 6. Stock-Based Compensation and Stockholder’s Equity</w:t>
      </w:r>
    </w:p>
    <w:p>
      <w:pPr>
        <w:pStyle w:val="TextBody"/>
        <w:spacing w:before="120" w:after="0"/>
        <w:rPr>
          <w:rFonts w:ascii="Times New Roman" w:hAnsi="Times New Roman"/>
          <w:b/>
          <w:i/>
          <w:caps w:val="false"/>
          <w:smallCaps w:val="false"/>
          <w:sz w:val="17"/>
        </w:rPr>
      </w:pPr>
      <w:r>
        <w:rPr>
          <w:rFonts w:ascii="Times New Roman" w:hAnsi="Times New Roman"/>
          <w:b/>
          <w:i/>
          <w:caps w:val="false"/>
          <w:smallCaps w:val="false"/>
          <w:sz w:val="17"/>
        </w:rPr>
        <w:t>Share Repurchase Program</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 xml:space="preserve">The Company acquired 223,823 shares of common stock at an aggregate value of $9.1 million and an average of $40.80 per share during the year ended December 31, 2018. No shares were </w:t>
      </w:r>
      <w:r>
        <w:rPr>
          <w:rFonts w:ascii="Times New Roman" w:hAnsi="Times New Roman"/>
          <w:b w:val="false"/>
          <w:i w:val="false"/>
          <w:caps w:val="false"/>
          <w:smallCaps w:val="false"/>
          <w:color w:val="000000"/>
          <w:sz w:val="17"/>
        </w:rPr>
        <w:t>repurchased</w:t>
      </w:r>
      <w:r>
        <w:rPr>
          <w:rFonts w:ascii="Times New Roman" w:hAnsi="Times New Roman"/>
          <w:b w:val="false"/>
          <w:i w:val="false"/>
          <w:caps w:val="false"/>
          <w:smallCaps w:val="false"/>
          <w:color w:val="000000"/>
          <w:sz w:val="17"/>
          <w:highlight w:val="white"/>
        </w:rPr>
        <w:t xml:space="preserve"> during the six months ended June 30, 2019.</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21</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Stock-Based Compensation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accounts for stock-based compensation in accordance with ASC 718, Compensation—Stock Compensation. Total stock-based compensation expense in the accompanying Consolidated Statements of Income totaled $6.5 million and $3.5 million during the three months ended June 30, 2019 and 2018, respectively, and $11.5 million and $7.2 million during the six months ended June 30, 2019 and 2018, respectively. These amounts are included in corporate expenses and, in the case of certain property positions, general and administrative expenses in the Company’s Consolidated Statements of Income. We recognized an increase in income tax expense of $1.3 million for the three months ended June 30, 2019, related to stock-based compensation. We recognized a reduction in income tax expense of $1.1 million for the three months ended June 30, 2018, for excess tax benefits related to stock-based compensation. We recognized a reduction in income tax expense of $1.3 million and $4.5 million during the six months ended June 30, 2019 and 2018, respectively, for excess tax benefits related to stock-based compensation.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 summary of the restricted stock unit (RSU) activity for the six months ended June 30, 2019 is presented in the following table:</w:t>
      </w:r>
    </w:p>
    <w:p>
      <w:pPr>
        <w:pStyle w:val="TextBody"/>
        <w:spacing w:before="0" w:after="0"/>
        <w:rPr/>
      </w:pPr>
      <w:r>
        <w:rPr/>
        <w:t> </w:t>
      </w:r>
    </w:p>
    <w:p>
      <w:pPr>
        <w:pStyle w:val="TextBody"/>
        <w:spacing w:before="0" w:after="0"/>
        <w:rPr/>
      </w:pPr>
      <w:r>
        <w:rPr/>
        <w:t> </w:t>
      </w:r>
    </w:p>
    <w:tbl>
      <w:tblPr>
        <w:tblW w:w="5515" w:type="dxa"/>
        <w:jc w:val="left"/>
        <w:tblInd w:w="0" w:type="dxa"/>
        <w:tblCellMar>
          <w:top w:w="0" w:type="dxa"/>
          <w:left w:w="0" w:type="dxa"/>
          <w:bottom w:w="28" w:type="dxa"/>
          <w:right w:w="0" w:type="dxa"/>
        </w:tblCellMar>
      </w:tblPr>
      <w:tblGrid>
        <w:gridCol w:w="3320"/>
        <w:gridCol w:w="60"/>
        <w:gridCol w:w="60"/>
        <w:gridCol w:w="60"/>
        <w:gridCol w:w="740"/>
        <w:gridCol w:w="80"/>
        <w:gridCol w:w="60"/>
        <w:gridCol w:w="110"/>
        <w:gridCol w:w="111"/>
        <w:gridCol w:w="794"/>
        <w:gridCol w:w="60"/>
        <w:gridCol w:w="60"/>
      </w:tblGrid>
      <w:tr>
        <w:trPr/>
        <w:tc>
          <w:tcPr>
            <w:tcW w:w="3320" w:type="dxa"/>
            <w:tcBorders>
              <w:bottom w:val="sing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55" w:type="dxa"/>
            <w:gridSpan w:val="7"/>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Restricted Stock Units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332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Units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Weighted-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Average Grant</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Date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Fair 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332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332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Unvested outstanding as of December 31, 2018</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1,283,372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1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23.93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332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Granted (1)</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456,363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332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Vested</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(516,806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332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Unvested outstanding as of June 30, 2019</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1,222,929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34.13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bl>
    <w:p>
      <w:pPr>
        <w:pStyle w:val="TextBody"/>
        <w:spacing w:before="0" w:after="0"/>
        <w:rPr/>
      </w:pPr>
      <w:r>
        <w:rPr/>
        <w:t> </w:t>
      </w:r>
    </w:p>
    <w:tbl>
      <w:tblPr>
        <w:tblW w:w="9505" w:type="dxa"/>
        <w:jc w:val="left"/>
        <w:tblInd w:w="0" w:type="dxa"/>
        <w:tblCellMar>
          <w:top w:w="0" w:type="dxa"/>
          <w:left w:w="0" w:type="dxa"/>
          <w:bottom w:w="0" w:type="dxa"/>
          <w:right w:w="0" w:type="dxa"/>
        </w:tblCellMar>
      </w:tblPr>
      <w:tblGrid>
        <w:gridCol w:w="60"/>
        <w:gridCol w:w="230"/>
        <w:gridCol w:w="921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3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9215"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Included are 51,731 RSUs granted to non-employee members of the Board of Directors during the six months ended June 30, 2019.</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and 2018, the Company had $27.3 million and $14.3 million, respectively, of unrecognized compensation expense. The RSUs are expected to be recognized over a weighted-average period of 1.72 years and 1.41 years, respectively.</w:t>
      </w:r>
    </w:p>
    <w:p>
      <w:pPr>
        <w:pStyle w:val="TextBody"/>
        <w:spacing w:before="4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There was no ERI stock option activity for the six months ended June 30, 2019. Outstanding options as of June 30, 2019 totaled 135,956, of which 125,331 options were exercisable.</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Note 7. Investments in and Advances to Unconsolidated Affiliates</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Pompano Joint Venture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April 2018, the Company entered into a joint venture with Cordish Companies (“Cordish”) to master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The Company and Cordish have made cash contributions of $500,000 each and could be required to make additional contributions to a maximum of $2.0 million ($1.0 million per member) at the request of the managing member. The Company has agreed to contribute approximately 130 to 200 acres of land to the joint venture for the project. While the Company holds a 50% variable interest in the joint venture, it is not the primary beneficiary; as such the investment in the joint venture is accounted for using the equity method. The Company will participate evenly with Cordish in the profits and losses of the joint venture, which is included in income (loss) from unconsolidated affiliates on the Consolidated Statements of Income. At June 30, 2019 and December 31, 2018, the Company’s investment in the joint venture totaled $1.2 million and $0.6 million, respectively, recorded in investment in and advances to unconsolidated affiliates on the Consolidated Balance Sheets.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22</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William Hill</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September 2018, the Company entered into a 25-year agreement, which became effective January 29, 2019, with William Hill PLC and William Hill US, its U.S. subsidiary (together, “William Hill”) pursuant to which the Company (i) granted to William Hill the right to conduct betting activities in retail channels and under the Company’s first skin and third skin for online channels with respect to the Company’s current and future properties located in the United States and the territories and possessions of the United States, including Puerto Rico and the U.S. Virgin Islands and (ii) agreed that William Hill will have the right to conduct real money online gaming activities utilizing the Company’s second skin available with respect to properties in such territory</w:t>
      </w:r>
      <w:r>
        <w:rPr>
          <w:rFonts w:ascii="Times New Roman" w:hAnsi="Times New Roman"/>
          <w:b w:val="false"/>
          <w:i/>
          <w:caps w:val="false"/>
          <w:smallCaps w:val="false"/>
          <w:sz w:val="17"/>
        </w:rPr>
        <w:t>.  </w:t>
      </w:r>
      <w:r>
        <w:rPr>
          <w:rFonts w:ascii="Times New Roman" w:hAnsi="Times New Roman"/>
          <w:b w:val="false"/>
          <w:i w:val="false"/>
          <w:caps w:val="false"/>
          <w:smallCaps w:val="false"/>
          <w:sz w:val="17"/>
        </w:rPr>
        <w:t>Pursuant to the terms of the agreement, in January 2019 the Company received a 20% ownership interest in William Hill US as well as 13.4 million ordinary shares of William Hill PLC, which carry certain time restrictions on when they can be sold. Additionally, the Company receives a profit share from the operations of betting and other gaming activities associated with the Company’s properties. “Skin” in the context of this agreement refers to Eldorado’s ability to grant to William Hill an online channel that allows William Hill to operate online casino and sports gaming activities in reliance on, and utilizing the benefit of, any licenses granted to Eldorado or its subsidiaries. As of June 30, 2019, based on the Company’s existing sportsbook operations with William Hill, the Company’s receivable from William Hill totaled $3.4 million and is reflected in due from affiliates on the Consolidated Balance Sheets.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is accounting for its investment in William Hill US under the equity method. The fair value of the Company’s initial investment in William Hill US of $128.9 million at January 29, 2019 was determined using Level 3 inputs. As of June 30, 2019, the carrying value of the Company’s interest in William Hill US was $129.0 million recorded in investment in and advances to unconsolidated affiliates on the Consolidated Balance Sheets.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the fair value of the William Hill PLC shares totaled $23.0 million, net of an unrealized loss of $4.4 million, and included in other assets, net on the Consolidated Balance Sheets. The Company also recorded deferred revenue associated with the William Hill US and William Hill PLC shares and is recognizing revenue on a straight-line basis over the 25-year agreement term. The Company recognized revenue of $1.5 million and $2.6 million during the three and six months ended June 30, 2019, respectively. As of June 30, 2019, the balance of the William Hill deferred revenue totaled $145.0 million and is recorded in other long-term liabilities on the Consolidated Balance Sheets.</w:t>
      </w:r>
    </w:p>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Note 8. Intangible Assets, net and Other Long-Term Assets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Other and intangible assets, net, include the following amounts (in thousands):</w:t>
      </w:r>
    </w:p>
    <w:p>
      <w:pPr>
        <w:pStyle w:val="TextBody"/>
        <w:spacing w:before="0" w:after="0"/>
        <w:rPr/>
      </w:pPr>
      <w:r>
        <w:rPr/>
        <w:t> </w:t>
      </w:r>
    </w:p>
    <w:tbl>
      <w:tblPr>
        <w:tblW w:w="6595" w:type="dxa"/>
        <w:jc w:val="left"/>
        <w:tblInd w:w="0" w:type="dxa"/>
        <w:tblCellMar>
          <w:top w:w="0" w:type="dxa"/>
          <w:left w:w="0" w:type="dxa"/>
          <w:bottom w:w="0" w:type="dxa"/>
          <w:right w:w="0" w:type="dxa"/>
        </w:tblCellMar>
      </w:tblPr>
      <w:tblGrid>
        <w:gridCol w:w="3680"/>
        <w:gridCol w:w="60"/>
        <w:gridCol w:w="110"/>
        <w:gridCol w:w="60"/>
        <w:gridCol w:w="740"/>
        <w:gridCol w:w="80"/>
        <w:gridCol w:w="60"/>
        <w:gridCol w:w="110"/>
        <w:gridCol w:w="60"/>
        <w:gridCol w:w="740"/>
        <w:gridCol w:w="80"/>
        <w:gridCol w:w="60"/>
        <w:gridCol w:w="755"/>
      </w:tblGrid>
      <w:tr>
        <w:trPr/>
        <w:tc>
          <w:tcPr>
            <w:tcW w:w="368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6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Useful Life</w:t>
            </w:r>
          </w:p>
        </w:tc>
      </w:tr>
      <w:tr>
        <w:trPr/>
        <w:tc>
          <w:tcPr>
            <w:tcW w:w="36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Goodwill</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967,397</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1,008,316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double" w:sz="6" w:space="0" w:color="000000"/>
            </w:tcBorders>
            <w:shd w:fill="CFF0FC"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Indefinite</w:t>
            </w:r>
          </w:p>
        </w:tc>
      </w:tr>
      <w:tr>
        <w:trPr/>
        <w:tc>
          <w:tcPr>
            <w:tcW w:w="36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6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Gaming licenses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975,272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1,090,682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Indefinite</w:t>
            </w:r>
          </w:p>
        </w:tc>
      </w:tr>
      <w:tr>
        <w:trPr/>
        <w:tc>
          <w:tcPr>
            <w:tcW w:w="36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Trade names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176,429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187,929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Indefinite</w:t>
            </w:r>
          </w:p>
        </w:tc>
      </w:tr>
      <w:tr>
        <w:trPr/>
        <w:tc>
          <w:tcPr>
            <w:tcW w:w="36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Player loyalty programs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101,005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105,005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3 - 4 years</w:t>
            </w:r>
          </w:p>
        </w:tc>
      </w:tr>
      <w:tr>
        <w:trPr/>
        <w:tc>
          <w:tcPr>
            <w:tcW w:w="36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Subtotal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1,252,706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1,383,616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6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Accumulated amortization player loyalty programs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(33,328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(21,610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6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gaming licenses and other intangible assets, net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1,219,378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1,362,006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doub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Amortization expense with respect to player loyalty programs for the three months ended June 30, 2019 and 2018 totaled $7.7 million and $1.2 million, respectively, and $15.3 million and $2.7 million for the six months ended June 30, 2019 and 2018, respectively, which is included in depreciation and amortization in the Consolidated Statements of Income. Such amortization expense is expected to be $15.3 million for the remainder of 2019 and $27.4 million, $21.2 million and $4.2 million for the years ended December 31, 2020, 2021 and 2022, respectively.</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23</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Goodwill represents the excess of the purchase prices of acquiring MTR Gaming, Isle, Elgin and Tropicana over the fair market value of the net assets acquired. In conjunction with the classification of Vicksburg’s operations as assets held for sale at June 30, 2018 (see Note 5) as a result of the announced sale to CDI, an impairment charge totaling $9.8 million was recorded due to the carrying value exceeding the estimated net sales proceeds. The impairment reduced the value of goodwill in the South segment in 2018. </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June 30, 2019 balances exclude assets held for sale recorded in 2019 (see Note 5), as well as the assets associated with the Presque Isle Downs and Nemacolin divestitures, which accounts for the change in goodwill and indefinite-lived intangible assets.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Other Assets, Net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Other assets, net, include the following amounts (in thousands):</w:t>
      </w:r>
    </w:p>
    <w:p>
      <w:pPr>
        <w:pStyle w:val="TextBody"/>
        <w:spacing w:before="0" w:after="0"/>
        <w:rPr/>
      </w:pPr>
      <w:r>
        <w:rPr/>
        <w:t> </w:t>
      </w:r>
    </w:p>
    <w:tbl>
      <w:tblPr>
        <w:tblW w:w="4939" w:type="dxa"/>
        <w:jc w:val="left"/>
        <w:tblInd w:w="0" w:type="dxa"/>
        <w:tblCellMar>
          <w:top w:w="0" w:type="dxa"/>
          <w:left w:w="0" w:type="dxa"/>
          <w:bottom w:w="0" w:type="dxa"/>
          <w:right w:w="0" w:type="dxa"/>
        </w:tblCellMar>
      </w:tblPr>
      <w:tblGrid>
        <w:gridCol w:w="3125"/>
        <w:gridCol w:w="60"/>
        <w:gridCol w:w="110"/>
        <w:gridCol w:w="60"/>
        <w:gridCol w:w="605"/>
        <w:gridCol w:w="60"/>
        <w:gridCol w:w="60"/>
        <w:gridCol w:w="128"/>
        <w:gridCol w:w="70"/>
        <w:gridCol w:w="601"/>
        <w:gridCol w:w="60"/>
      </w:tblGrid>
      <w:tr>
        <w:trPr/>
        <w:tc>
          <w:tcPr>
            <w:tcW w:w="312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CRDA bonds and deposits,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5,364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6,694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Unamortized debt issuance costs - Revolving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Credit Facility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8,462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9,533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Non-operating real property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6,999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17,880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Long-term prepaid rent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20,198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Restricted cash and investments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32,428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15,064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ROU assets (see Note 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286,699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7,450</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14,077</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other assets, net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347,402</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83,446</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CRDA bonds have various contractual maturities that range up to </w:t>
      </w:r>
      <w:r>
        <w:rPr>
          <w:rFonts w:ascii="Times New Roman" w:hAnsi="Times New Roman"/>
          <w:b w:val="false"/>
          <w:i w:val="false"/>
          <w:caps w:val="false"/>
          <w:smallCaps w:val="false"/>
          <w:color w:val="000000"/>
          <w:sz w:val="17"/>
        </w:rPr>
        <w:t>40</w:t>
      </w:r>
      <w:r>
        <w:rPr>
          <w:rFonts w:ascii="Times New Roman" w:hAnsi="Times New Roman"/>
          <w:b w:val="false"/>
          <w:i w:val="false"/>
          <w:caps w:val="false"/>
          <w:smallCaps w:val="false"/>
          <w:sz w:val="17"/>
        </w:rPr>
        <w:t xml:space="preserve"> years. Actual maturities may differ from contractual maturities because of prepayment rights. The Company treats CRDA bonds as held-to-maturity since the Company has the ability and the intent to hold these bonds to maturity and under the CRDA, the Company is not permitted to do otherwise. After the initial determination of fair value, the Company analyzes the CRDA bonds for recoverability on a quarterly basis based on management's historical collection experience and other information received from the CRDA. If indications exist that the CRDA bond is impaired, additional valuation allowances are recorded. </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Non-operating real property consists principally of land and undeveloped properties for which the Company has designated as non-operating and has declared its intent to sell such assets. As a result of a pending sale offer for certain non-operating real property located in Pennsylvania, the Company recognized an impairment charge of $1.0 million for the six months ended June 30, 2019. Non-operating land totaling $9.8 million associated with Mountaineer is included in assets held for sale as of June 30, 2019. </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Approximately ten acres of the approximately 20 acres on which Tropicana Evansville is situated is subject to a lease with the City of Evansville, Indiana. Under the terms of the agreement, a pre-payment of lease rent of $25 million was due at the commencement of the construction project. The prepayments will be applied against future rent in equal monthly amounts over a period of 120 months which commenced upon the opening of the property in January 2018.  The current term of the lease expires November 30, 2027. As of December 31, 2018 this prepaid rent was included in long-term prepaid rent. However, upon adoption of the new lease accounting guidance the prepaid rent is now included with the Company’s ROU assets. </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September 2018, we entered into a 25-year agreement, which became effective January 2019, with William Hill pursuant to which we received 13.4 million ordinary shares of William Hill PLC which carry certain time restrictions on when they can be sold. As of June 30, 2019, the fair value of the William Hill PLC shares totaled $23.0 million, net of an unrealized loss of $4.4 million, and is included in other assets, net on the Consolidated Balance Sheets.</w:t>
      </w:r>
    </w:p>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Note 9. Income Taxes</w:t>
      </w:r>
    </w:p>
    <w:p>
      <w:pPr>
        <w:pStyle w:val="TextBody"/>
        <w:spacing w:before="120" w:after="0"/>
        <w:rPr>
          <w:rFonts w:ascii="Times New Roman" w:hAnsi="Times New Roman"/>
          <w:b w:val="false"/>
          <w:i w:val="false"/>
          <w:caps w:val="false"/>
          <w:smallCaps w:val="false"/>
          <w:color w:val="000000"/>
          <w:sz w:val="17"/>
          <w:highlight w:val="white"/>
        </w:rPr>
      </w:pPr>
      <w:r>
        <w:rPr>
          <w:rFonts w:ascii="Times New Roman" w:hAnsi="Times New Roman"/>
          <w:b w:val="false"/>
          <w:i w:val="false"/>
          <w:caps w:val="false"/>
          <w:smallCaps w:val="false"/>
          <w:color w:val="000000"/>
          <w:sz w:val="17"/>
          <w:highlight w:val="white"/>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For the three and six months ended June 30, 2019, the Company’s tax expense was $10.4 million and $20.8 million, respectively, </w:t>
      </w:r>
      <w:r>
        <w:rPr>
          <w:rFonts w:ascii="Times New Roman" w:hAnsi="Times New Roman"/>
          <w:b w:val="false"/>
          <w:i w:val="false"/>
          <w:caps w:val="false"/>
          <w:smallCaps w:val="false"/>
          <w:color w:val="000000"/>
          <w:sz w:val="17"/>
          <w:highlight w:val="white"/>
        </w:rPr>
        <w:t>and for the three and six months ended June 30, 2018, the Company’s tax expense was $9.2 million and $11.3 million, respectively</w:t>
      </w:r>
      <w:r>
        <w:rPr>
          <w:rFonts w:ascii="Times New Roman" w:hAnsi="Times New Roman"/>
          <w:b w:val="false"/>
          <w:i w:val="false"/>
          <w:caps w:val="false"/>
          <w:smallCaps w:val="false"/>
          <w:color w:val="000000"/>
          <w:sz w:val="17"/>
        </w:rPr>
        <w:t>. For the three and six months ended June 30, 2019, the difference between the effective rate and the statutory rate is attributed primarily to excess tax benefits associated with stock compensation, state and local income taxes and changes in the valuation allowance. For the three and six months ended June 30, 2018, the difference between the effective rate and the statutory rate is attributed primarily to state and local income taxes less excess tax benefits associated with stock compensation.</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there were no unrecognized tax benefits and the Company does not expect a significant increase or decrease to the total amounts of unrecognized tax benefits within the next twelve months. We recognize accrued interest and penalties related to unrecognized tax benefits in income tax expense.</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2012.</w:t>
      </w:r>
    </w:p>
    <w:p>
      <w:pPr>
        <w:pStyle w:val="TextBody"/>
        <w:spacing w:before="0" w:after="0"/>
        <w:rPr/>
      </w:pPr>
      <w:r>
        <w:rPr/>
        <w:t> </w:t>
      </w:r>
    </w:p>
    <w:p>
      <w:pPr>
        <w:pStyle w:val="TextBody"/>
        <w:spacing w:before="180" w:after="0"/>
        <w:rPr>
          <w:rFonts w:ascii="Times New Roman" w:hAnsi="Times New Roman"/>
          <w:b/>
          <w:i w:val="false"/>
          <w:caps w:val="false"/>
          <w:smallCaps w:val="false"/>
          <w:sz w:val="17"/>
        </w:rPr>
      </w:pPr>
      <w:r>
        <w:rPr>
          <w:rFonts w:ascii="Times New Roman" w:hAnsi="Times New Roman"/>
          <w:b/>
          <w:i w:val="false"/>
          <w:caps w:val="false"/>
          <w:smallCaps w:val="false"/>
          <w:sz w:val="17"/>
        </w:rPr>
        <w:t>Note 10. Long-Term Financing Obligation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As of December 31, 2018, under the prior lease accounting standard the Company’s Master Lease with GLPI was accounted for as a failed sale-leaseback financing obligation equal to the fair value of the leased real estate assets and liabilities acquired in purchase accounting. Upon adoption of ASC 842 (see Note 2), the Company re-evaluated the Master Lease and determined this existing failed sale-leaseback transaction will continue to be accounted for as a financing obligation.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10.2%. The value of the failed sale-leaseback financing obligations is dependent upon assumptions regarding the amount of the lease payments and the estimated discount rate of the lease payments required by a market participant.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Master Lease provides for the lease of land, buildings, structures and other improvements on the land (including barges and riverboats), easements and similar appurtenances to the land and improvements relating to the operation of the leased properties. The Master Lease provides for an initial term of fifteen years with no purchase option. At the Company’s option, the Master Lease may be extended for up to four five-year renewal terms beyond the initial 15-year term. If we elect to renew the term of the Master Lease, the renewal will be effective as to all, but not less than all, of the leased property then subject to the Master Lease. The Company does not have the ability to terminate its obligations under the Master Lease prior to its expiration without GLPI’s consent.</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rent payable under the Master Lease is comprised of “Base Rent” and “Percentage Rent.”  Base rent is the sum of:</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Building Base Rent: a fixed component equal to $60.9 million during the first year of the Master Lease, and thereafter escalated annually by 2%, subject to a cap that would cause the preceding year’s adjusted revenue to rent ratio for the properties in the aggregate not to fall below 1.20:1.00 for the first five years of the Master Lease and 1.80:1.00 thereafter; plus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Land Base Rent: an additional fixed component equal to $13.4 million, subject to adjustment in the event of the termination of the Master Lease with respect to any of the leased properties. </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percentage rent payable under the Master Lease is adjusted every two years based on the actual net revenues of the leased properties during the two-year period then ended. The initial variable rent, which is fixed for the first two years, is $13.4 million per year. The actual percentage increase is based on actual performance and is subject to change.</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initial annual rent under the terms of the lease is approximately $87.6 million.</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Under the Master Lease, the Company is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estimated future lease payments include the minimum lease payments and were adjusted to reflect estimated lease payments as described in the agreements, including an annual escalator of up to 2%.</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future minimum payments related to the Master Lease financing obligation with GLPI at June 30, 2019 were as follows (in thousands):</w:t>
      </w:r>
    </w:p>
    <w:p>
      <w:pPr>
        <w:pStyle w:val="TextBody"/>
        <w:spacing w:before="0" w:after="0"/>
        <w:rPr/>
      </w:pPr>
      <w:r>
        <w:rPr/>
        <w:t> </w:t>
      </w:r>
    </w:p>
    <w:tbl>
      <w:tblPr>
        <w:tblW w:w="4895" w:type="dxa"/>
        <w:jc w:val="left"/>
        <w:tblInd w:w="0" w:type="dxa"/>
        <w:tblCellMar>
          <w:top w:w="0" w:type="dxa"/>
          <w:left w:w="0" w:type="dxa"/>
          <w:bottom w:w="0" w:type="dxa"/>
          <w:right w:w="0" w:type="dxa"/>
        </w:tblCellMar>
      </w:tblPr>
      <w:tblGrid>
        <w:gridCol w:w="3785"/>
        <w:gridCol w:w="60"/>
        <w:gridCol w:w="110"/>
        <w:gridCol w:w="60"/>
        <w:gridCol w:w="800"/>
        <w:gridCol w:w="80"/>
      </w:tblGrid>
      <w:tr>
        <w:trPr/>
        <w:tc>
          <w:tcPr>
            <w:tcW w:w="37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2019 (excluding the six months ended June 30, 2019)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44,124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89,168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90,417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91,691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92,990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Thereafter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3,506,672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future payments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3,915,062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amounts representing interest at 10.2%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(3,369,954</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7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Plus: residual values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420,100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78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Financing obligation to GLPI</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965,208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Total payments and interest expense related to the Master Lease were $21.9 million and $24.6 million, respectively, for the three months ended June 30, 2019, and $43.8 million and $49.2 million, respectively, for the six months ended June 30, 2019. For the initial periods of the Master Lease, cash payments are less than the interest expense recognized, which causes the failed sale-leaseback obligation to increase during the initial years of the lease term.</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Master Lease contains certain covenants, including minimum capital improvement expenditures. As of June 30, 2019, we were in compliance with all of the covenants under the Master Lease.</w:t>
      </w:r>
    </w:p>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Note 11. Long-Term Debt</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Long</w:t>
        <w:noBreakHyphen/>
        <w:t>term debt consisted of the following (in thousands):</w:t>
      </w:r>
    </w:p>
    <w:p>
      <w:pPr>
        <w:pStyle w:val="TextBody"/>
        <w:spacing w:before="0" w:after="0"/>
        <w:rPr/>
      </w:pPr>
      <w:r>
        <w:rPr/>
        <w:t> </w:t>
      </w:r>
    </w:p>
    <w:tbl>
      <w:tblPr>
        <w:tblW w:w="5675" w:type="dxa"/>
        <w:jc w:val="left"/>
        <w:tblInd w:w="0" w:type="dxa"/>
        <w:tblCellMar>
          <w:top w:w="0" w:type="dxa"/>
          <w:left w:w="0" w:type="dxa"/>
          <w:bottom w:w="0" w:type="dxa"/>
          <w:right w:w="0" w:type="dxa"/>
        </w:tblCellMar>
      </w:tblPr>
      <w:tblGrid>
        <w:gridCol w:w="3575"/>
        <w:gridCol w:w="60"/>
        <w:gridCol w:w="110"/>
        <w:gridCol w:w="60"/>
        <w:gridCol w:w="740"/>
        <w:gridCol w:w="80"/>
        <w:gridCol w:w="60"/>
        <w:gridCol w:w="110"/>
        <w:gridCol w:w="60"/>
        <w:gridCol w:w="740"/>
        <w:gridCol w:w="80"/>
      </w:tblGrid>
      <w:tr>
        <w:trPr/>
        <w:tc>
          <w:tcPr>
            <w:tcW w:w="357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Term Loan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956,750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956,750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Unamortized discount and debt issuance costs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(16,948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(18,426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57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939,802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938,324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 Senior Notes due 2026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600,000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600,000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Unamortized debt issuance costs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(18,976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(19,630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57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581,024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580,370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 Senior Notes due 2025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875,000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875,000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Plus: Unamortized debt premium</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21,874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23,491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Unamortized debt issuance costs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(17,192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(18,405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57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879,682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880,086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 Senior Notes due 2023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375,000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375,000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Unamortized discount and debt issuance costs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(5,509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(6,075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57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369,491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368,925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Revolving Credit Facility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245,000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Lumière Loan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Long-term notes and other payables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2,785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7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Current portion</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57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long-term debt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3,018,455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3,261,273</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both"/>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Amortization of the debt issuance costs and the discount and/or premium associated with our indebtedness totaled $1.9 million and $1.2 million, for the three months ended June 30, 2019 and 2018, respectively, and $3.8 million and $2.5 million, for the six months ended June 30, 2019 and 2018, respectively. Amortization of debt issuance costs is computed using the effective interest method and is included in interest expense.</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26</w:t>
      </w:r>
    </w:p>
    <w:p>
      <w:pPr>
        <w:pStyle w:val="HorizontalLine"/>
        <w:rPr/>
      </w:pPr>
      <w:r>
        <w:rPr/>
      </w:r>
    </w:p>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Scheduled maturities of long</w:t>
        <w:noBreakHyphen/>
        <w:t>term debt are $0.3 million for the remainder of 2019, $246.2 million in 2020, $0.2 million in 2021, $0.2 million in 2022, $375.1 million in 2023, and $2.4 billion thereafter.</w:t>
      </w:r>
    </w:p>
    <w:p>
      <w:pPr>
        <w:pStyle w:val="TextBody"/>
        <w:spacing w:before="0" w:after="0"/>
        <w:rPr/>
      </w:pPr>
      <w:r>
        <w:rPr/>
        <w:t> </w:t>
      </w:r>
    </w:p>
    <w:p>
      <w:pPr>
        <w:pStyle w:val="TextBody"/>
        <w:spacing w:before="160" w:after="0"/>
        <w:rPr>
          <w:rFonts w:ascii="Times New Roman" w:hAnsi="Times New Roman"/>
          <w:b/>
          <w:i/>
          <w:caps w:val="false"/>
          <w:smallCaps w:val="false"/>
          <w:sz w:val="17"/>
        </w:rPr>
      </w:pPr>
      <w:r>
        <w:rPr>
          <w:rFonts w:ascii="Times New Roman" w:hAnsi="Times New Roman"/>
          <w:b/>
          <w:i/>
          <w:caps w:val="false"/>
          <w:smallCaps w:val="false"/>
          <w:sz w:val="17"/>
        </w:rPr>
        <w:t>Term Loan and Revolving Credit Facility</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w:t>
      </w:r>
      <w:r>
        <w:rPr>
          <w:rFonts w:ascii="Times New Roman" w:hAnsi="Times New Roman"/>
          <w:b w:val="false"/>
          <w:i w:val="false"/>
          <w:caps w:val="false"/>
          <w:smallCaps w:val="false"/>
          <w:color w:val="000000"/>
          <w:sz w:val="17"/>
          <w:highlight w:val="white"/>
        </w:rPr>
        <w:t>is party to a credit agreement with JPMorgan Chase Bank, N.A., as administrative agent, and the lenders party thereto dated as of April 17, 2017 (as amended the “Credit Facility”), consisting of a $1.45 billion term loan facility (the “Term Loan Facility” or “Term Loan”) and a $500.0 million revolving credit facility (the “Revolving Credit Facility”).</w:t>
      </w:r>
      <w:r>
        <w:rPr>
          <w:rFonts w:ascii="Times New Roman" w:hAnsi="Times New Roman"/>
          <w:b w:val="false"/>
          <w:i w:val="false"/>
          <w:caps w:val="false"/>
          <w:smallCaps w:val="false"/>
          <w:sz w:val="17"/>
        </w:rPr>
        <w:t xml:space="preserve"> The Company’s obligations under the Revolving Credit Facility will mature on October 1, 2023. The Company’s obligations under the Term Loan Facility will mature on April 17, 2024. The Company was required to make quarterly principal payments of $3.6 million on the Term Loan Facility on the last day of each fiscal quarter beginning on June 30, 2017 but satisfied this requirement as a result of the principal prepayment of $444.5 million on September 13, 2017 in conjunction with the issuance of the additional 6% Senior Notes due 2025. In addition, the Company is required to make mandatory payments of amounts outstanding under the Credit Facility with the proceeds of certain casualty events, debt issuances, and asset sales and, depending on its consolidated total leverage ratio, the Company may be required to apply a portion of its excess cash flow to repay amounts outstanding under the Credit Facility.</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the Company had $956.8 million outstanding on the Term Loan and no outstanding balance under the Revolving Credit Facility. The Company had $483.7 million of available borrowing capacity, after consideration of $16.3 million in outstanding letters of credit under its Revolving Credit Facility as of June 30, 2019. The Company applied approximately $150.0 million of proceeds from the sale of Presque Isle Downs to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interest rate per annum applicable to loans under the Revolving Credit Facility are, at our option, either LIBOR plus a margin ranging from 1.75% to 2.50% or a base rate plus a margin from 0.75% to 1.50%, the margin is based on our total leverage ratio. The interest rate per annum applicable to the loans under the Term Loan Facility is, at our option, either LIBOR plus 2.25%, or a base rate plus 1.25%; provided, however, that in no event will LIBOR be less than zero or the base rate be less than 1.00%. Additionally, the Company pays a commitment fee on the unused portion of the Revolving Credit Facility of 0.50% per annum. At June 30, 2019, the weighted average interest rate on the Term Loan was 4.69%.  </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Senior Notes</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6% Senior Notes due 2026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every semi-annually in arrears on March 15 and September 15.</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Term Loan and Revolving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27</w:t>
      </w:r>
    </w:p>
    <w:p>
      <w:pPr>
        <w:pStyle w:val="HorizontalLine"/>
        <w:rPr/>
      </w:pPr>
      <w:r>
        <w:rPr/>
      </w:r>
    </w:p>
    <w:p>
      <w:pPr>
        <w:pStyle w:val="TextBody"/>
        <w:spacing w:before="0" w:after="0"/>
        <w:rPr/>
      </w:pPr>
      <w:r>
        <w:rPr/>
        <w:t>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6% Senior Notes due 2025</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March 29, 2017, the Company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pStyle w:val="TextBody"/>
        <w:spacing w:before="0" w:after="0"/>
        <w:rPr/>
      </w:pPr>
      <w:r>
        <w:rPr/>
        <w:t> </w:t>
      </w:r>
    </w:p>
    <w:p>
      <w:pPr>
        <w:pStyle w:val="TextBody"/>
        <w:spacing w:before="160" w:after="0"/>
        <w:rPr>
          <w:rFonts w:ascii="Times New Roman" w:hAnsi="Times New Roman"/>
          <w:b w:val="false"/>
          <w:i/>
          <w:caps w:val="false"/>
          <w:smallCaps w:val="false"/>
          <w:sz w:val="17"/>
        </w:rPr>
      </w:pPr>
      <w:r>
        <w:rPr>
          <w:rFonts w:ascii="Times New Roman" w:hAnsi="Times New Roman"/>
          <w:b w:val="false"/>
          <w:i/>
          <w:caps w:val="false"/>
          <w:smallCaps w:val="false"/>
          <w:sz w:val="17"/>
        </w:rPr>
        <w:t>7% Senior Notes due 2023</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Lumière Loan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borrowed $246 million from GLPI to fund the purchase price of the real estate underlying Lumière.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Debt Covenant Compliance</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we were in compliance with all of the covenants under the 7% Senior Notes due 2023, 6% Senior Notes due 2025, 6% Senior Notes due 2026, the Credit Facility and the Lumière Loan.</w:t>
      </w:r>
    </w:p>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Note 12. Fair Value Measurements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noBreakHyphen/>
        <w:t>tier fair value hierarchy, which prioritizes the inputs used in measuring fair values as follows:</w:t>
      </w:r>
    </w:p>
    <w:tbl>
      <w:tblPr>
        <w:tblW w:w="6160" w:type="dxa"/>
        <w:jc w:val="left"/>
        <w:tblInd w:w="0" w:type="dxa"/>
        <w:tblCellMar>
          <w:top w:w="0" w:type="dxa"/>
          <w:left w:w="0" w:type="dxa"/>
          <w:bottom w:w="0" w:type="dxa"/>
          <w:right w:w="0" w:type="dxa"/>
        </w:tblCellMar>
      </w:tblPr>
      <w:tblGrid>
        <w:gridCol w:w="60"/>
        <w:gridCol w:w="110"/>
        <w:gridCol w:w="59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99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Level 1 Inputs</w:t>
            </w:r>
            <w:r>
              <w:rPr>
                <w:rFonts w:ascii="Times New Roman" w:hAnsi="Times New Roman"/>
                <w:b w:val="false"/>
                <w:i w:val="false"/>
                <w:caps w:val="false"/>
                <w:smallCaps w:val="false"/>
                <w:sz w:val="17"/>
              </w:rPr>
              <w:t>: Quoted market prices in active markets for identical assets or liabilities.</w:t>
            </w:r>
          </w:p>
        </w:tc>
      </w:tr>
    </w:tbl>
    <w:tbl>
      <w:tblPr>
        <w:tblW w:w="7735" w:type="dxa"/>
        <w:jc w:val="left"/>
        <w:tblInd w:w="0" w:type="dxa"/>
        <w:tblCellMar>
          <w:top w:w="0" w:type="dxa"/>
          <w:left w:w="0" w:type="dxa"/>
          <w:bottom w:w="0" w:type="dxa"/>
          <w:right w:w="0" w:type="dxa"/>
        </w:tblCellMar>
      </w:tblPr>
      <w:tblGrid>
        <w:gridCol w:w="60"/>
        <w:gridCol w:w="110"/>
        <w:gridCol w:w="756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756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Level 2 Inputs</w:t>
            </w:r>
            <w:r>
              <w:rPr>
                <w:rFonts w:ascii="Times New Roman" w:hAnsi="Times New Roman"/>
                <w:b w:val="false"/>
                <w:i w:val="false"/>
                <w:caps w:val="false"/>
                <w:smallCaps w:val="false"/>
                <w:sz w:val="17"/>
              </w:rPr>
              <w:t>: Observable market</w:t>
              <w:noBreakHyphen/>
              <w:t>based inputs or unobservable inputs that are corroborated by market data.</w:t>
            </w:r>
          </w:p>
        </w:tc>
      </w:tr>
    </w:tbl>
    <w:tbl>
      <w:tblPr>
        <w:tblW w:w="5575" w:type="dxa"/>
        <w:jc w:val="left"/>
        <w:tblInd w:w="0" w:type="dxa"/>
        <w:tblCellMar>
          <w:top w:w="0" w:type="dxa"/>
          <w:left w:w="0" w:type="dxa"/>
          <w:bottom w:w="0" w:type="dxa"/>
          <w:right w:w="0" w:type="dxa"/>
        </w:tblCellMar>
      </w:tblPr>
      <w:tblGrid>
        <w:gridCol w:w="60"/>
        <w:gridCol w:w="110"/>
        <w:gridCol w:w="540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40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Level 3 Inputs</w:t>
            </w:r>
            <w:r>
              <w:rPr>
                <w:rFonts w:ascii="Times New Roman" w:hAnsi="Times New Roman"/>
                <w:b w:val="false"/>
                <w:i w:val="false"/>
                <w:caps w:val="false"/>
                <w:smallCaps w:val="false"/>
                <w:sz w:val="17"/>
              </w:rPr>
              <w:t>: Unobservable inputs that are not corroborated by market data.</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methods and assumptions are used to estimate the fair value of each class of financial instruments for which it is practical to estimate fair value:</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Cash and Cash Equivalents</w:t>
      </w:r>
      <w:r>
        <w:rPr>
          <w:rFonts w:ascii="Times New Roman" w:hAnsi="Times New Roman"/>
          <w:b w:val="false"/>
          <w:i w:val="false"/>
          <w:caps w:val="false"/>
          <w:smallCaps w:val="false"/>
          <w:sz w:val="17"/>
        </w:rPr>
        <w:t>: Cash equivalents include cash held in money market funds and investments that can be redeemed immediately at the current net asset value per share. A money market fund is a mutual fund whose investments are primarily in short</w:t>
        <w:noBreakHyphen/>
        <w:t xml:space="preserve">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 </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Restricted Cash and Investments and Other Liabilities related to Restricted Investments</w:t>
      </w:r>
      <w:r>
        <w:rPr>
          <w:rFonts w:ascii="Times New Roman" w:hAnsi="Times New Roman"/>
          <w:b w:val="false"/>
          <w:i w:val="false"/>
          <w:caps w:val="false"/>
          <w:smallCaps w:val="false"/>
          <w:sz w:val="17"/>
        </w:rPr>
        <w:t xml:space="preserve">: The estimated fair values of our restricted cash and 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we would expect to receive if we sold our restricted cash and investments. </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Marketable Securities:  </w:t>
      </w:r>
      <w:r>
        <w:rPr>
          <w:rFonts w:ascii="Times New Roman" w:hAnsi="Times New Roman"/>
          <w:b w:val="false"/>
          <w:i w:val="false"/>
          <w:caps w:val="false"/>
          <w:smallCaps w:val="false"/>
          <w:sz w:val="17"/>
        </w:rPr>
        <w:t>Marketable securities consist primarily of trading securities held the Company’s captive insurance subsidiary.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Long</w:t>
        <w:noBreakHyphen/>
        <w:t>term Debt</w:t>
      </w:r>
      <w:r>
        <w:rPr>
          <w:rFonts w:ascii="Times New Roman" w:hAnsi="Times New Roman"/>
          <w:b w:val="false"/>
          <w:i w:val="false"/>
          <w:caps w:val="false"/>
          <w:smallCaps w:val="false"/>
          <w:sz w:val="17"/>
        </w:rPr>
        <w:t>: The fair value of our long-term debt or other long-term obligations is estimated based on the quoted market price of the underlying 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r>
        <w:rPr>
          <w:rFonts w:ascii="Times New Roman" w:hAnsi="Times New Roman"/>
          <w:b w:val="false"/>
          <w:i/>
          <w:caps w:val="false"/>
          <w:smallCaps w:val="false"/>
          <w:sz w:val="17"/>
        </w:rPr>
        <w:t xml:space="preserve"> </w:t>
      </w:r>
    </w:p>
    <w:p>
      <w:pPr>
        <w:pStyle w:val="TextBody"/>
        <w:spacing w:before="0" w:after="0"/>
        <w:rPr/>
      </w:pPr>
      <w:r>
        <w:rPr/>
        <w:t> </w:t>
      </w:r>
    </w:p>
    <w:p>
      <w:pPr>
        <w:pStyle w:val="TextBody"/>
        <w:spacing w:before="40" w:after="0"/>
        <w:rPr>
          <w:rFonts w:ascii="Times New Roman" w:hAnsi="Times New Roman"/>
          <w:b w:val="false"/>
          <w:i/>
          <w:caps w:val="false"/>
          <w:smallCaps w:val="false"/>
          <w:sz w:val="17"/>
        </w:rPr>
      </w:pPr>
      <w:r>
        <w:rPr>
          <w:rFonts w:ascii="Times New Roman" w:hAnsi="Times New Roman"/>
          <w:b w:val="false"/>
          <w:i/>
          <w:caps w:val="false"/>
          <w:smallCaps w:val="false"/>
          <w:sz w:val="17"/>
        </w:rPr>
        <w:t>Acquisition</w:t>
        <w:noBreakHyphen/>
        <w:t>Related Contingent Considerations</w:t>
      </w:r>
      <w:r>
        <w:rPr>
          <w:rFonts w:ascii="Times New Roman" w:hAnsi="Times New Roman"/>
          <w:b w:val="false"/>
          <w:i w:val="false"/>
          <w:caps w:val="false"/>
          <w:smallCaps w:val="false"/>
          <w:sz w:val="17"/>
        </w:rPr>
        <w:t>: Contingent consideration related to the July 2003 acquisition of Scioto Downs represents the estimate of amounts to be paid to former stockholders of Scioto Downs under certain earn-out provisions. Acquisition related contingent considerations of $0.5 million is included in accrued other liabilities on the Consolidated Balance Sheets as of June 30, 2019 and December 31, 2018</w:t>
      </w:r>
      <w:r>
        <w:rPr>
          <w:rFonts w:ascii="Times New Roman" w:hAnsi="Times New Roman"/>
          <w:b w:val="false"/>
          <w:i/>
          <w:caps w:val="false"/>
          <w:smallCaps w:val="false"/>
          <w:sz w:val="17"/>
        </w:rPr>
        <w:t xml:space="preserve">. </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Items Measured at Fair Value on a Recurring Basis</w:t>
      </w:r>
      <w:r>
        <w:rPr>
          <w:rFonts w:ascii="Times New Roman" w:hAnsi="Times New Roman"/>
          <w:b w:val="false"/>
          <w:i w:val="false"/>
          <w:caps w:val="false"/>
          <w:smallCaps w:val="false"/>
          <w:sz w:val="17"/>
        </w:rPr>
        <w:t>: The following table sets forth the assets measured at fair value on a recurring basis, by input level, in the Consolidated Balance Sheets at June 30, 2019 and December 31, 2018 (amounts in thousands):</w:t>
      </w:r>
    </w:p>
    <w:p>
      <w:pPr>
        <w:pStyle w:val="TextBody"/>
        <w:spacing w:before="0" w:after="0"/>
        <w:rPr/>
      </w:pPr>
      <w:r>
        <w:rPr/>
        <w:t> </w:t>
      </w:r>
    </w:p>
    <w:tbl>
      <w:tblPr>
        <w:tblW w:w="6420" w:type="dxa"/>
        <w:jc w:val="left"/>
        <w:tblInd w:w="0" w:type="dxa"/>
        <w:tblCellMar>
          <w:top w:w="0" w:type="dxa"/>
          <w:left w:w="0" w:type="dxa"/>
          <w:bottom w:w="28" w:type="dxa"/>
          <w:right w:w="0" w:type="dxa"/>
        </w:tblCellMar>
      </w:tblPr>
      <w:tblGrid>
        <w:gridCol w:w="3290"/>
        <w:gridCol w:w="60"/>
        <w:gridCol w:w="110"/>
        <w:gridCol w:w="60"/>
        <w:gridCol w:w="515"/>
        <w:gridCol w:w="60"/>
        <w:gridCol w:w="60"/>
        <w:gridCol w:w="110"/>
        <w:gridCol w:w="60"/>
        <w:gridCol w:w="425"/>
        <w:gridCol w:w="60"/>
        <w:gridCol w:w="60"/>
        <w:gridCol w:w="110"/>
        <w:gridCol w:w="60"/>
        <w:gridCol w:w="515"/>
        <w:gridCol w:w="60"/>
        <w:gridCol w:w="60"/>
        <w:gridCol w:w="110"/>
        <w:gridCol w:w="60"/>
        <w:gridCol w:w="515"/>
        <w:gridCol w:w="60"/>
      </w:tblGrid>
      <w:tr>
        <w:trPr/>
        <w:tc>
          <w:tcPr>
            <w:tcW w:w="32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010" w:type="dxa"/>
            <w:gridSpan w:val="1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9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Restricted cash and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14,436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40,435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57,118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14,529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liabilities related to restricted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10" w:type="dxa"/>
            <w:gridSpan w:val="1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Restricted cash and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19,481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4,467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16,008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39,956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9,515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16,957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change in restricted cash and investments valued using Level 3 inputs for the six months ended June 30, 2019 is as follows:</w:t>
      </w:r>
    </w:p>
    <w:p>
      <w:pPr>
        <w:pStyle w:val="TextBody"/>
        <w:spacing w:before="0" w:after="0"/>
        <w:rPr/>
      </w:pPr>
      <w:r>
        <w:rPr/>
        <w:t> </w:t>
      </w:r>
    </w:p>
    <w:tbl>
      <w:tblPr>
        <w:tblW w:w="6215" w:type="dxa"/>
        <w:jc w:val="left"/>
        <w:tblInd w:w="0" w:type="dxa"/>
        <w:tblCellMar>
          <w:top w:w="0" w:type="dxa"/>
          <w:left w:w="0" w:type="dxa"/>
          <w:bottom w:w="28" w:type="dxa"/>
          <w:right w:w="0" w:type="dxa"/>
        </w:tblCellMar>
      </w:tblPr>
      <w:tblGrid>
        <w:gridCol w:w="4250"/>
        <w:gridCol w:w="60"/>
        <w:gridCol w:w="118"/>
        <w:gridCol w:w="64"/>
        <w:gridCol w:w="558"/>
        <w:gridCol w:w="80"/>
        <w:gridCol w:w="83"/>
        <w:gridCol w:w="153"/>
        <w:gridCol w:w="83"/>
        <w:gridCol w:w="592"/>
        <w:gridCol w:w="114"/>
        <w:gridCol w:w="60"/>
      </w:tblGrid>
      <w:tr>
        <w:trPr/>
        <w:tc>
          <w:tcPr>
            <w:tcW w:w="42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3</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Investments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5" w:type="dxa"/>
            <w:gridSpan w:val="5"/>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3</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5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Fair value of investment and liabilities at December 31, 2018</w:t>
            </w:r>
          </w:p>
        </w:tc>
        <w:tc>
          <w:tcPr>
            <w:tcW w:w="60" w:type="dxa"/>
            <w:tcBorders>
              <w:bottom w:val="single" w:sz="6" w:space="0" w:color="000000"/>
            </w:tcBorders>
            <w:shd w:fill="CFF0FC" w:val="clear"/>
            <w:vAlign w:val="bottom"/>
          </w:tcPr>
          <w:p>
            <w:pPr>
              <w:pStyle w:val="TableContents"/>
              <w:spacing w:before="0" w:after="0"/>
              <w:ind w:left="0" w:right="0" w:hanging="0"/>
              <w:rPr/>
            </w:pPr>
            <w:r>
              <w:rPr/>
              <w:t> </w:t>
            </w:r>
          </w:p>
        </w:tc>
        <w:tc>
          <w:tcPr>
            <w:tcW w:w="11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16,008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42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Value of additional investment received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27,329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8,774</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425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Unrealized gain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(2,902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w:t>
            </w:r>
          </w:p>
        </w:tc>
        <w:tc>
          <w:tcPr>
            <w:tcW w:w="11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425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Fair value at June 30, 2019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40,435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8,730</w:t>
            </w:r>
          </w:p>
        </w:tc>
        <w:tc>
          <w:tcPr>
            <w:tcW w:w="11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November 2018, we entered into a 20-year agreement with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and we will receive an additional $5.0 million in TSG common shares upon the exercise of the first option by TSG. TSG has notified us that they intend to exercise their option with respect to licenses in West Virginia and Indiana. We may also receive additional TSG common shares in the future based on TSG net gaming revenue generated in our markets. The initial 1.1 million shares are subject to a restriction on transfer and may not be sold until November 2019.</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At June 30, 2019, the fair value of the Company’s shares of TSG totaled $17.5 million and is included in restricted cash and investments on the Consolidated Balance Sheets. Upon entry into the TSG agreement, the Company also recorded deferred revenue associated with the shares received and recognized revenue of $0.3 million and $0.6 million during the three and six months ended June 30, 2019, respectively. As of June 30, 2019, the balance of the TSG deferred revenue totaled $17.9 million and is recorded in other long-term liabilities on the Consolidated Balance Sheets. As part of the agreement with William Hill (see Note 7), the Company is obligated to pay William Hill US 50% of the proceeds received from selling the TSG shares. At June 30, 2019, the estimated obligation was $8.7 million and is included in accrued other liabilities on the Consolidated Balance Sheets.</w:t>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There were no transfers between Level 1 and Level 2 investments.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estimated fair values of the Company’s financial instruments are as follows (amounts in thousands):</w:t>
      </w:r>
    </w:p>
    <w:p>
      <w:pPr>
        <w:pStyle w:val="TextBody"/>
        <w:spacing w:before="0" w:after="0"/>
        <w:rPr/>
      </w:pPr>
      <w:r>
        <w:rPr/>
        <w:t> </w:t>
      </w:r>
    </w:p>
    <w:tbl>
      <w:tblPr>
        <w:tblW w:w="5460" w:type="dxa"/>
        <w:jc w:val="left"/>
        <w:tblInd w:w="0" w:type="dxa"/>
        <w:tblCellMar>
          <w:top w:w="0" w:type="dxa"/>
          <w:left w:w="0" w:type="dxa"/>
          <w:bottom w:w="28" w:type="dxa"/>
          <w:right w:w="0" w:type="dxa"/>
        </w:tblCellMar>
      </w:tblPr>
      <w:tblGrid>
        <w:gridCol w:w="1880"/>
        <w:gridCol w:w="60"/>
        <w:gridCol w:w="110"/>
        <w:gridCol w:w="60"/>
        <w:gridCol w:w="605"/>
        <w:gridCol w:w="60"/>
        <w:gridCol w:w="60"/>
        <w:gridCol w:w="110"/>
        <w:gridCol w:w="60"/>
        <w:gridCol w:w="605"/>
        <w:gridCol w:w="60"/>
        <w:gridCol w:w="60"/>
        <w:gridCol w:w="110"/>
        <w:gridCol w:w="60"/>
        <w:gridCol w:w="605"/>
        <w:gridCol w:w="60"/>
        <w:gridCol w:w="60"/>
        <w:gridCol w:w="110"/>
        <w:gridCol w:w="60"/>
        <w:gridCol w:w="605"/>
        <w:gridCol w:w="60"/>
      </w:tblGrid>
      <w:tr>
        <w:trPr/>
        <w:tc>
          <w:tcPr>
            <w:tcW w:w="18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70"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70"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Carrying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Fair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Carrying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Fair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Financial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 Senior Notes due 2023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369,491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392,344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368,925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385,312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 Senior Notes due 2025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879,682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923,125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880,086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840,000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 Senior Notes due 2026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581,024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654,750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580,370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567,000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Term Loan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939,802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954,358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938,324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916,088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Revolving Credit Facility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Lumière Loan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246,000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long-term debt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Note 13. Earnings per Share</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illustrates the reconciliation of the numerators and denominators of the basic and diluted net income per share computations for the three and six months ended June 30, 2019 and 2018 (dollars in thousands, except per share amounts):</w:t>
      </w:r>
    </w:p>
    <w:p>
      <w:pPr>
        <w:pStyle w:val="TextBody"/>
        <w:spacing w:before="0" w:after="0"/>
        <w:rPr/>
      </w:pPr>
      <w:r>
        <w:rPr/>
        <w:t> </w:t>
      </w:r>
    </w:p>
    <w:tbl>
      <w:tblPr>
        <w:tblW w:w="7785" w:type="dxa"/>
        <w:jc w:val="left"/>
        <w:tblInd w:w="0" w:type="dxa"/>
        <w:tblCellMar>
          <w:top w:w="0" w:type="dxa"/>
          <w:left w:w="0" w:type="dxa"/>
          <w:bottom w:w="0" w:type="dxa"/>
          <w:right w:w="0" w:type="dxa"/>
        </w:tblCellMar>
      </w:tblPr>
      <w:tblGrid>
        <w:gridCol w:w="3245"/>
        <w:gridCol w:w="60"/>
        <w:gridCol w:w="110"/>
        <w:gridCol w:w="60"/>
        <w:gridCol w:w="830"/>
        <w:gridCol w:w="60"/>
        <w:gridCol w:w="60"/>
        <w:gridCol w:w="110"/>
        <w:gridCol w:w="60"/>
        <w:gridCol w:w="830"/>
        <w:gridCol w:w="60"/>
        <w:gridCol w:w="60"/>
        <w:gridCol w:w="60"/>
        <w:gridCol w:w="110"/>
        <w:gridCol w:w="60"/>
        <w:gridCol w:w="830"/>
        <w:gridCol w:w="60"/>
        <w:gridCol w:w="60"/>
        <w:gridCol w:w="110"/>
        <w:gridCol w:w="60"/>
        <w:gridCol w:w="830"/>
        <w:gridCol w:w="60"/>
      </w:tblGrid>
      <w:tr>
        <w:trPr/>
        <w:tc>
          <w:tcPr>
            <w:tcW w:w="324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2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2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2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2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 available to common stockholders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18,936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36,796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57,165</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57,651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Shares outstanding:</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shares outstanding – basic</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77,682,759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77,458,584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77,625,303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77,406,447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Effect of dilutive securities:</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Stock options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107,388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131,148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105,885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142,027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RSUs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935,142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668,897</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926,364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621,155</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shares outstanding – diluted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78,725,289</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78,258,629</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78,657,552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78,169,629</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 per common share attributable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common stockholders – basic:</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0.48</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 per common share attributable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common stockholders – diluted: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0.24</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0.47</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0.73</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0.74</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30</w:t>
      </w:r>
    </w:p>
    <w:p>
      <w:pPr>
        <w:pStyle w:val="HorizontalLine"/>
        <w:rPr/>
      </w:pPr>
      <w:r>
        <w:rPr/>
      </w:r>
    </w:p>
    <w:p>
      <w:pPr>
        <w:pStyle w:val="TextBody"/>
        <w:spacing w:before="0" w:after="0"/>
        <w:rPr/>
      </w:pPr>
      <w:r>
        <w:rPr/>
        <w:t> </w:t>
      </w:r>
    </w:p>
    <w:p>
      <w:pPr>
        <w:pStyle w:val="TextBody"/>
        <w:spacing w:before="180" w:after="0"/>
        <w:rPr>
          <w:rFonts w:ascii="Times New Roman" w:hAnsi="Times New Roman"/>
          <w:b/>
          <w:i w:val="false"/>
          <w:caps w:val="false"/>
          <w:smallCaps w:val="false"/>
          <w:sz w:val="17"/>
        </w:rPr>
      </w:pPr>
      <w:r>
        <w:rPr>
          <w:rFonts w:ascii="Times New Roman" w:hAnsi="Times New Roman"/>
          <w:b/>
          <w:i w:val="false"/>
          <w:caps w:val="false"/>
          <w:smallCaps w:val="false"/>
          <w:sz w:val="17"/>
        </w:rPr>
        <w:t>Note 14. Commitments and Contingencies</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Litigation.  </w:t>
      </w:r>
      <w:r>
        <w:rPr>
          <w:rFonts w:ascii="Times New Roman" w:hAnsi="Times New Roman"/>
          <w:b w:val="false"/>
          <w:i w:val="false"/>
          <w:caps w:val="false"/>
          <w:smallCaps w:val="false"/>
          <w:sz w:val="17"/>
        </w:rPr>
        <w:t>The Company is a party to various legal and administrative proceedings, which have arisen in the normal course of its business. Estimated losses are accrued for these proceedings when the loss is probable and can be estimated. The current liability for the estimated losses associated with these proceedings is not material to the Company’s consolidated financial condition and those estimated losses are not expected to have a material impact on its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Company’s existing insurance coverage will be sufficient to cover losses, if any, arising from such proceedings.</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Agreements with Horsemen and Pari-mutuel Clerks</w:t>
      </w:r>
      <w:r>
        <w:rPr>
          <w:rFonts w:ascii="Times New Roman" w:hAnsi="Times New Roman"/>
          <w:b w:val="false"/>
          <w:i w:val="false"/>
          <w:caps w:val="false"/>
          <w:smallCaps w:val="false"/>
          <w:sz w:val="17"/>
        </w:rPr>
        <w:t>.  The Federal Interstate Horse Racing Act and the state racing laws in West Virginia and Ohio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noBreakHyphen/>
        <w:t>mutuel clerks. We are required to have a proceeds agreement in effect on July 1 of each year with the horsemen and the pari</w:t>
        <w:noBreakHyphen/>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In Ohio, we must have an agreement with the representative of the horse owners. We currently have all the requisite agreements in place referenced in this sub section at Mountaineer and Scioto Downs. Certain agreements referenced above may be terminated upon written notice by either party.</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Note 15. Related Affiliates</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REI</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As of June 30, 2019, Recreational Enterprises, Inc. (“REI”) owned approximately 14.4% of outstanding common stock of the Company. The directors of REI are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As such, the Carano family has the ability to significantly influence the affairs of the Company. During the three and six months ended June 30, 2019 and 2018, there were no related party transactions between the Company and the Carano family other than compensation, including salary and equity incentives, and the CSY Lease listed below.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C. S. &amp; Y. Associates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owns the entire parcel on which Eldorado Reno is located, except for approximately 30,000 square feet which is leased from C. S. &amp; Y. Associates which is an entity partially owned by REI (the “CSY Lease”). The CSY Lease expires on June 30, 2057. Rent pursuant to the CSY Lease is $0.6 million annually and paid quarterly during the year. As of June 30, 2019 and December 31, 2018 there were no amounts due to or from C.S. &amp; Y. Associates.</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31</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Note 16. Segment Information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executive decision maker of our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Elgin and Tropicana acquisitions, the Company’s principal operating activities occurred in four geographic regions and reportable segments. As referenced in Note 1, following the Elgin and Tropicana acquisitions a fifth segment, Central, was added in the third quarter of 2018. The reportable segments are based on the similar characteristics of the operating segments within the regions in which they operate. These segments are summarized as follows:  </w:t>
      </w:r>
    </w:p>
    <w:p>
      <w:pPr>
        <w:pStyle w:val="TextBody"/>
        <w:spacing w:before="0" w:after="0"/>
        <w:rPr/>
      </w:pPr>
      <w:r>
        <w:rPr/>
        <w:t> </w:t>
      </w:r>
    </w:p>
    <w:tbl>
      <w:tblPr>
        <w:tblW w:w="4595" w:type="dxa"/>
        <w:jc w:val="left"/>
        <w:tblInd w:w="0" w:type="dxa"/>
        <w:tblCellMar>
          <w:top w:w="0" w:type="dxa"/>
          <w:left w:w="0" w:type="dxa"/>
          <w:bottom w:w="28" w:type="dxa"/>
          <w:right w:w="0" w:type="dxa"/>
        </w:tblCellMar>
      </w:tblPr>
      <w:tblGrid>
        <w:gridCol w:w="605"/>
        <w:gridCol w:w="60"/>
        <w:gridCol w:w="1670"/>
        <w:gridCol w:w="60"/>
        <w:gridCol w:w="1175"/>
        <w:gridCol w:w="60"/>
        <w:gridCol w:w="965"/>
      </w:tblGrid>
      <w:tr>
        <w:trPr/>
        <w:tc>
          <w:tcPr>
            <w:tcW w:w="60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Segment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7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Property</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Date Acquired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State</w:t>
            </w:r>
          </w:p>
        </w:tc>
      </w:tr>
      <w:tr>
        <w:trPr/>
        <w:tc>
          <w:tcPr>
            <w:tcW w:w="6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Reno</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Silver Legacy</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Circus Reno</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MontBleu</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Laughlin</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Isle Black Hawk</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Colorado</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Lady Luck Black Hawk</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Colorado</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Waterloo</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Iowa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Bettendorf</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Iowa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Boonville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Cape Girardeau</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(c)</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Caruthersville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(c)</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Kansas City</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(c)</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Pompano</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Florida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Shreveport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Louisiana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Lake Charles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Louisiana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Baton Rouge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Louisiana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Lula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Mississippi</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Vicksburg</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(c)</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Mississippi</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Greenville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Mississippi</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Presque Isle Downs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 (b)</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Pennsylvania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Nemacolin</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(b)</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Pennsylvania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Scioto Downs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Ohio</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Mountaineer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 (c)</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 Virginia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Trop AC</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New Jersey</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Elgin</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August 7,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Illinois</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Lumière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Evansville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Indiana</w:t>
            </w:r>
          </w:p>
        </w:tc>
      </w:tr>
    </w:tbl>
    <w:tbl>
      <w:tblPr>
        <w:tblW w:w="4720" w:type="dxa"/>
        <w:jc w:val="left"/>
        <w:tblInd w:w="0" w:type="dxa"/>
        <w:tblCellMar>
          <w:top w:w="0" w:type="dxa"/>
          <w:left w:w="0" w:type="dxa"/>
          <w:bottom w:w="0" w:type="dxa"/>
          <w:right w:w="0" w:type="dxa"/>
        </w:tblCellMar>
      </w:tblPr>
      <w:tblGrid>
        <w:gridCol w:w="60"/>
        <w:gridCol w:w="215"/>
        <w:gridCol w:w="44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444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Property was aggregated into segment prior to January 1, 2016.</w:t>
            </w:r>
          </w:p>
        </w:tc>
      </w:tr>
    </w:tbl>
    <w:tbl>
      <w:tblPr>
        <w:tblW w:w="6850" w:type="dxa"/>
        <w:jc w:val="left"/>
        <w:tblInd w:w="0" w:type="dxa"/>
        <w:tblCellMar>
          <w:top w:w="0" w:type="dxa"/>
          <w:left w:w="0" w:type="dxa"/>
          <w:bottom w:w="0" w:type="dxa"/>
          <w:right w:w="0" w:type="dxa"/>
        </w:tblCellMar>
      </w:tblPr>
      <w:tblGrid>
        <w:gridCol w:w="60"/>
        <w:gridCol w:w="230"/>
        <w:gridCol w:w="656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3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656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Presque Isle Downs was sold on January 11, 2019 and Nemacolin was sold on March 8, 2019.</w:t>
            </w:r>
          </w:p>
        </w:tc>
      </w:tr>
    </w:tbl>
    <w:tbl>
      <w:tblPr>
        <w:tblW w:w="4315" w:type="dxa"/>
        <w:jc w:val="left"/>
        <w:tblInd w:w="0" w:type="dxa"/>
        <w:tblCellMar>
          <w:top w:w="0" w:type="dxa"/>
          <w:left w:w="0" w:type="dxa"/>
          <w:bottom w:w="0" w:type="dxa"/>
          <w:right w:w="0" w:type="dxa"/>
        </w:tblCellMar>
      </w:tblPr>
      <w:tblGrid>
        <w:gridCol w:w="60"/>
        <w:gridCol w:w="215"/>
        <w:gridCol w:w="404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15"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w:t>
            </w:r>
          </w:p>
        </w:tc>
        <w:tc>
          <w:tcPr>
            <w:tcW w:w="404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Property currently pending sale (see Note 5 and Note 18).</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following table sets forth, for the periods indicated, certain operating data for our five reportable segments. </w:t>
      </w:r>
    </w:p>
    <w:p>
      <w:pPr>
        <w:pStyle w:val="TextBody"/>
        <w:spacing w:before="0" w:after="0"/>
        <w:rPr/>
      </w:pPr>
      <w:r>
        <w:rPr/>
        <w:t> </w:t>
      </w:r>
    </w:p>
    <w:tbl>
      <w:tblPr>
        <w:tblW w:w="6875" w:type="dxa"/>
        <w:jc w:val="left"/>
        <w:tblInd w:w="0" w:type="dxa"/>
        <w:tblCellMar>
          <w:top w:w="0" w:type="dxa"/>
          <w:left w:w="0" w:type="dxa"/>
          <w:bottom w:w="0" w:type="dxa"/>
          <w:right w:w="0" w:type="dxa"/>
        </w:tblCellMar>
      </w:tblPr>
      <w:tblGrid>
        <w:gridCol w:w="3020"/>
        <w:gridCol w:w="60"/>
        <w:gridCol w:w="110"/>
        <w:gridCol w:w="60"/>
        <w:gridCol w:w="605"/>
        <w:gridCol w:w="80"/>
        <w:gridCol w:w="60"/>
        <w:gridCol w:w="110"/>
        <w:gridCol w:w="60"/>
        <w:gridCol w:w="605"/>
        <w:gridCol w:w="80"/>
        <w:gridCol w:w="60"/>
        <w:gridCol w:w="60"/>
        <w:gridCol w:w="110"/>
        <w:gridCol w:w="60"/>
        <w:gridCol w:w="740"/>
        <w:gridCol w:w="80"/>
        <w:gridCol w:w="60"/>
        <w:gridCol w:w="110"/>
        <w:gridCol w:w="60"/>
        <w:gridCol w:w="605"/>
        <w:gridCol w:w="80"/>
      </w:tblGrid>
      <w:tr>
        <w:trPr/>
        <w:tc>
          <w:tcPr>
            <w:tcW w:w="302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9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5"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9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Ended June 30,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25"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Ended June 30,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715" w:type="dxa"/>
            <w:gridSpan w:val="19"/>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Revenues and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127,727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117,880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245,822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217,459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13,508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9,382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26,651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17,571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20,613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21,865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31,414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32,004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Midwest: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97,239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100,607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194,026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201,402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7,714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8,404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16,135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16,049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29,012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27,411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56,845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54,087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South:</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116,937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112,242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249,651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235,042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9,850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20,865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16,639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19,023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20,564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46,538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33,923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East: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170,455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125,961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336,688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242,852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4,717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24,389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10,766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35,213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24,397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62,374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43,528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Central: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122,792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243,264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11,480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22,690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28,033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55,103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Corporate: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1,741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1,299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3,560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(29,344</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(16,823</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(26,120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(31,934</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Reportable Segments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operating revenues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637,121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456,802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1,272,944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896,994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56,533</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31,910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114,290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63,444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102,550</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77,414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226,154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131,608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Reconciliations to consolidated net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102,550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77,414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226,154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131,608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Unallocated income and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expense,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(71,798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(31,405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(145,308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(62,656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02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Unrealized loss on restricted investment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(1,398</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(2,858</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Provision for income taxes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(10,418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(9,213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(20,823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(11,301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02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18,936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36,796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57,165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57,651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635" w:type="dxa"/>
        <w:jc w:val="left"/>
        <w:tblInd w:w="0" w:type="dxa"/>
        <w:tblCellMar>
          <w:top w:w="0" w:type="dxa"/>
          <w:left w:w="0" w:type="dxa"/>
          <w:bottom w:w="28" w:type="dxa"/>
          <w:right w:w="0" w:type="dxa"/>
        </w:tblCellMar>
      </w:tblPr>
      <w:tblGrid>
        <w:gridCol w:w="1895"/>
        <w:gridCol w:w="60"/>
        <w:gridCol w:w="119"/>
        <w:gridCol w:w="65"/>
        <w:gridCol w:w="561"/>
        <w:gridCol w:w="65"/>
        <w:gridCol w:w="65"/>
        <w:gridCol w:w="119"/>
        <w:gridCol w:w="65"/>
        <w:gridCol w:w="561"/>
        <w:gridCol w:w="60"/>
      </w:tblGrid>
      <w:tr>
        <w:trPr/>
        <w:tc>
          <w:tcPr>
            <w:tcW w:w="189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20"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20" w:type="dxa"/>
            <w:gridSpan w:val="8"/>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Capital Expenditures,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49,450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29,080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9,443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10,098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7,083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19,857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5,308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2,958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3,626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9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97,114</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55,181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33</w:t>
      </w:r>
    </w:p>
    <w:p>
      <w:pPr>
        <w:pStyle w:val="HorizontalLine"/>
        <w:rPr/>
      </w:pPr>
      <w:r>
        <w:rPr/>
      </w:r>
    </w:p>
    <w:p>
      <w:pPr>
        <w:pStyle w:val="TextBody"/>
        <w:spacing w:before="0" w:after="0"/>
        <w:rPr/>
      </w:pPr>
      <w:r>
        <w:rPr/>
        <w:t> </w:t>
      </w:r>
    </w:p>
    <w:tbl>
      <w:tblPr>
        <w:tblW w:w="8495" w:type="dxa"/>
        <w:jc w:val="left"/>
        <w:tblInd w:w="0" w:type="dxa"/>
        <w:tblCellMar>
          <w:top w:w="0" w:type="dxa"/>
          <w:left w:w="0" w:type="dxa"/>
          <w:bottom w:w="28" w:type="dxa"/>
          <w:right w:w="0" w:type="dxa"/>
        </w:tblCellMar>
      </w:tblPr>
      <w:tblGrid>
        <w:gridCol w:w="2285"/>
        <w:gridCol w:w="60"/>
        <w:gridCol w:w="95"/>
        <w:gridCol w:w="60"/>
        <w:gridCol w:w="605"/>
        <w:gridCol w:w="60"/>
        <w:gridCol w:w="60"/>
        <w:gridCol w:w="95"/>
        <w:gridCol w:w="60"/>
        <w:gridCol w:w="605"/>
        <w:gridCol w:w="60"/>
        <w:gridCol w:w="60"/>
        <w:gridCol w:w="95"/>
        <w:gridCol w:w="60"/>
        <w:gridCol w:w="605"/>
        <w:gridCol w:w="60"/>
        <w:gridCol w:w="60"/>
        <w:gridCol w:w="95"/>
        <w:gridCol w:w="60"/>
        <w:gridCol w:w="605"/>
        <w:gridCol w:w="60"/>
        <w:gridCol w:w="60"/>
        <w:gridCol w:w="95"/>
        <w:gridCol w:w="60"/>
        <w:gridCol w:w="605"/>
        <w:gridCol w:w="60"/>
        <w:gridCol w:w="60"/>
        <w:gridCol w:w="95"/>
        <w:gridCol w:w="60"/>
        <w:gridCol w:w="650"/>
        <w:gridCol w:w="65"/>
        <w:gridCol w:w="60"/>
        <w:gridCol w:w="95"/>
        <w:gridCol w:w="60"/>
        <w:gridCol w:w="605"/>
        <w:gridCol w:w="60"/>
      </w:tblGrid>
      <w:tr>
        <w:trPr/>
        <w:tc>
          <w:tcPr>
            <w:tcW w:w="228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West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Midwest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South</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East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Central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Corporate,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 &amp;</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Eliminations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Balance sheet as of June 30, 2019</w:t>
            </w:r>
          </w:p>
        </w:tc>
        <w:tc>
          <w:tcPr>
            <w:tcW w:w="6150" w:type="dxa"/>
            <w:gridSpan w:val="34"/>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Total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1,839,152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1,309,812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1,156,301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1,986,322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1,519,736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(1,729,321</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6,082,002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Goodwill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220,861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285,679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213,150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173,633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74,074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967,397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Balance sheet as of 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Total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1,710,375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1,245,521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1,068,258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2,166,730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1,457,961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(1,737,383</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5,911,462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8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Goodwill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220,861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322,745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213,150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177,486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74,074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1,008,316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Note 17. Consolidating Condensed Financial Information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Certain of our wholly-owned subsidiaries have fully and unconditionally guaranteed on a joint and several basis, the payment of all obligations under our 7% Senior Notes due 2023, 6% Senior Notes due 2025, 6% Senior Notes due 2026 and Credit Facility.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following wholly-owned subsidiaries of the Company are guarantors, on a joint and several basis, under the 7% Senior Notes due 2023, 6% Senior Notes due 2025, 6% Senior Notes due 2026 and Credit Facility: Isle of Capri Casinos LLC; Eldorado Holdco LLC; Eldorado Resorts LLC; Eldorado Shreveport #1, LLC; Eldorado Shreveport #2, LLC; Eldorado Casino Shreveport Joint Venture; MTR Gaming Group, Inc.; Mountaineer Park, Inc.; Old PID, Inc. (f/k/a Presque Isle Downs, Inc.); Scioto Downs, Inc.; Eldorado Limited Liability Company; Circus and Eldorado Joint Venture, LLC; CC-Reno, LLC; CCR Newco, LLC; Black Hawk Holdings, L.L.C.; IC Holdings Colorado, Inc.; CCSC/Blackhawk, Inc.; Isle of Capri Black Hawk, L.L.C.; IOC-Black Hawk Distribution Company, LLC; IOC-Black Hawk County, Inc.; Isle of Capri Bettendorf, L.C.; PPI, Inc.; Pompano Park Holdings, L.L.C.; IOC-Lula, Inc.; IOC-Kansas City, Inc.; IOC-Boonville, Inc.; IOC-Caruthersville, LLC; IOC Cape Girardeau, LLC; IOC-Vicksburg, Inc.; IOC-Vicksburg, L.L.C.; Rainbow Casino-Vicksburg Partnership, L.P.; IOC Holdings L.L.C.; St. Charles Gaming Company, L.L.C; Elgin Riverboat Resort–Riverboat Casino; Elgin Holdings I LLC; Elgin Holdings II LLC, PPI Development Holdings LLC; PPI Development LLC; Tropicana Entertainment, Inc.; New Tropicana Holdings, Inc.; New Tropicana OpCo, Inc.; TLH LLC; TropWorld Games LLC; TEI R7 Investment LLC; TEI Management Services LLC; Tropicana St. Louis LLC; TEI (ST. LOUIS RE), LLC; TEI (STLH), LLC; TEI (ES), LLC; Aztar Riverboat Holding Company, LLC; Aztar Indiana Gaming Company, LLC ; New Jazz Enterprises, LLC; Catfish Queen Partnership in Commendam; Centroplex Centre Convention Hotel, L.L.C.; Columbia Properties Tahoe, LLC; MB Development, LLC; Lighthouse Point, LLC; Tropicana Atlantic City Corp,; Tropicana St. Louis RE LLC and Tropicana Laughlin, LLC. Each of the subsidiaries’ guarantees is joint and several with the guarantees of the other subsidiaries.   </w:t>
      </w:r>
    </w:p>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consolidating condensed balance sheet as of June 30, 2019 is as follows:</w:t>
      </w:r>
    </w:p>
    <w:p>
      <w:pPr>
        <w:pStyle w:val="TextBody"/>
        <w:spacing w:before="0" w:after="0"/>
        <w:rPr/>
      </w:pPr>
      <w:r>
        <w:rPr/>
        <w:t> </w:t>
      </w:r>
    </w:p>
    <w:tbl>
      <w:tblPr>
        <w:tblW w:w="7616" w:type="dxa"/>
        <w:jc w:val="left"/>
        <w:tblInd w:w="0" w:type="dxa"/>
        <w:tblCellMar>
          <w:top w:w="0" w:type="dxa"/>
          <w:left w:w="0" w:type="dxa"/>
          <w:bottom w:w="28" w:type="dxa"/>
          <w:right w:w="0" w:type="dxa"/>
        </w:tblCellMar>
      </w:tblPr>
      <w:tblGrid>
        <w:gridCol w:w="2450"/>
        <w:gridCol w:w="60"/>
        <w:gridCol w:w="121"/>
        <w:gridCol w:w="76"/>
        <w:gridCol w:w="811"/>
        <w:gridCol w:w="65"/>
        <w:gridCol w:w="60"/>
        <w:gridCol w:w="95"/>
        <w:gridCol w:w="60"/>
        <w:gridCol w:w="635"/>
        <w:gridCol w:w="60"/>
        <w:gridCol w:w="60"/>
        <w:gridCol w:w="151"/>
        <w:gridCol w:w="95"/>
        <w:gridCol w:w="704"/>
        <w:gridCol w:w="60"/>
        <w:gridCol w:w="60"/>
        <w:gridCol w:w="112"/>
        <w:gridCol w:w="70"/>
        <w:gridCol w:w="811"/>
        <w:gridCol w:w="65"/>
        <w:gridCol w:w="60"/>
        <w:gridCol w:w="98"/>
        <w:gridCol w:w="61"/>
        <w:gridCol w:w="656"/>
        <w:gridCol w:w="60"/>
      </w:tblGrid>
      <w:tr>
        <w:trPr/>
        <w:tc>
          <w:tcPr>
            <w:tcW w:w="245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Balance Sheet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(Parent Obligor)</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Non-Guarantor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3"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Eliminating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Entries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46" w:type="dxa"/>
            <w:gridSpan w:val="23"/>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Current assets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59,772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617,528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29,796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(4,458</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702,638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Intercompany receivables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(93,615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324,986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26,102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(257,473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Investment in and advances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unconsolidated affiliates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128,955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131,382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Investments in subsidiaries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3,776,532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(3,776,532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Property and equipment, net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18,384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2,690,182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5,239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2,713,805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Other assets</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86,034</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2,486,417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17,712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(55,986</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2,534,177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Total assets</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3,976,062</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6,121,540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78,849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(4,094,449</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6,082,002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Current liabilities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92,313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275,483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19,902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(4,458</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383,240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Intercompany payables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232,473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(257,473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Long-term financing obligation to GLPI</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965,208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965,208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Long-term debt, less current maturities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2,397,286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621,169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3,018,455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Deferred income tax liabilities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248,114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(55,986</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192,128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Other accrued liabilities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168,472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268,980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437,452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Stockholders’ equity</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1,085,518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3,742,586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33,947</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(3,776,532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1,085,519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doub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Total liabilities and stockholders’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equity</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3,976,062</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6,121,540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78,849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(4,094,449</w:t>
            </w:r>
          </w:p>
        </w:tc>
        <w:tc>
          <w:tcPr>
            <w:tcW w:w="6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6,082,002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34</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consolidating condensed balance sheet as of December 31, 2018 is as follows:</w:t>
      </w:r>
    </w:p>
    <w:p>
      <w:pPr>
        <w:pStyle w:val="TextBody"/>
        <w:spacing w:before="0" w:after="0"/>
        <w:rPr/>
      </w:pPr>
      <w:r>
        <w:rPr/>
        <w:t> </w:t>
      </w:r>
    </w:p>
    <w:tbl>
      <w:tblPr>
        <w:tblW w:w="7611" w:type="dxa"/>
        <w:jc w:val="left"/>
        <w:tblInd w:w="0" w:type="dxa"/>
        <w:tblCellMar>
          <w:top w:w="0" w:type="dxa"/>
          <w:left w:w="0" w:type="dxa"/>
          <w:bottom w:w="28" w:type="dxa"/>
          <w:right w:w="0" w:type="dxa"/>
        </w:tblCellMar>
      </w:tblPr>
      <w:tblGrid>
        <w:gridCol w:w="2450"/>
        <w:gridCol w:w="60"/>
        <w:gridCol w:w="121"/>
        <w:gridCol w:w="76"/>
        <w:gridCol w:w="811"/>
        <w:gridCol w:w="60"/>
        <w:gridCol w:w="60"/>
        <w:gridCol w:w="95"/>
        <w:gridCol w:w="60"/>
        <w:gridCol w:w="635"/>
        <w:gridCol w:w="60"/>
        <w:gridCol w:w="60"/>
        <w:gridCol w:w="151"/>
        <w:gridCol w:w="95"/>
        <w:gridCol w:w="704"/>
        <w:gridCol w:w="60"/>
        <w:gridCol w:w="60"/>
        <w:gridCol w:w="112"/>
        <w:gridCol w:w="70"/>
        <w:gridCol w:w="811"/>
        <w:gridCol w:w="65"/>
        <w:gridCol w:w="60"/>
        <w:gridCol w:w="98"/>
        <w:gridCol w:w="61"/>
        <w:gridCol w:w="656"/>
        <w:gridCol w:w="60"/>
      </w:tblGrid>
      <w:tr>
        <w:trPr/>
        <w:tc>
          <w:tcPr>
            <w:tcW w:w="245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Balance Sheet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(Parent Obligor)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Non-Guarantor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3"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Eliminating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Entries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41" w:type="dxa"/>
            <w:gridSpan w:val="23"/>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Current assets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48,268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497,309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27,619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573,196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Intercompany receivables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11,885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23,988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(35,873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Investment in and advances to</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unconsolidated affiliates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Investments in subsidiaries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3,648,961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(3,648,961</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Property and equipment, net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18,555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2,859,271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4,780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2,882,606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Other assets</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35,072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2,423,807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26,674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(31,785</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2,453,768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Total assets</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3,750,856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5,794,164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83,061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(3,716,619</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5,911,462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Current liabilities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48,579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328,319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25,279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402,177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Intercompany payables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10,873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(35,873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Long-term financing obligation to GLPI</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959,835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959,835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Long-term debt, less current maturities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2,640,046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621,193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3,261,273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Deferred income tax liabilities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231,795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(31,785</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200,010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Other accrued liabilities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22,206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36,808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59,014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Stockholders’ equity</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1,029,152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3,616,214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32,748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(3,648,961</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1,029,153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doub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Total liabilities and stockholders’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equity</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3,750,856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5,794,164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83,061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(3,716,619</w:t>
            </w:r>
          </w:p>
        </w:tc>
        <w:tc>
          <w:tcPr>
            <w:tcW w:w="6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5,911,462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35</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consolidating condensed statement of operations for the three months ended June 30, 2019 is as follows: </w:t>
      </w:r>
    </w:p>
    <w:p>
      <w:pPr>
        <w:pStyle w:val="TextBody"/>
        <w:spacing w:before="0" w:after="0"/>
        <w:rPr/>
      </w:pPr>
      <w:r>
        <w:rPr/>
        <w:t> </w:t>
      </w:r>
    </w:p>
    <w:p>
      <w:pPr>
        <w:pStyle w:val="TextBody"/>
        <w:spacing w:before="0" w:after="0"/>
        <w:rPr/>
      </w:pPr>
      <w:r>
        <w:rPr/>
        <w:t> </w:t>
      </w:r>
    </w:p>
    <w:tbl>
      <w:tblPr>
        <w:tblW w:w="7642" w:type="dxa"/>
        <w:jc w:val="left"/>
        <w:tblInd w:w="0" w:type="dxa"/>
        <w:tblCellMar>
          <w:top w:w="0" w:type="dxa"/>
          <w:left w:w="0" w:type="dxa"/>
          <w:bottom w:w="28" w:type="dxa"/>
          <w:right w:w="0" w:type="dxa"/>
        </w:tblCellMar>
      </w:tblPr>
      <w:tblGrid>
        <w:gridCol w:w="2480"/>
        <w:gridCol w:w="60"/>
        <w:gridCol w:w="149"/>
        <w:gridCol w:w="94"/>
        <w:gridCol w:w="765"/>
        <w:gridCol w:w="65"/>
        <w:gridCol w:w="60"/>
        <w:gridCol w:w="109"/>
        <w:gridCol w:w="68"/>
        <w:gridCol w:w="593"/>
        <w:gridCol w:w="65"/>
        <w:gridCol w:w="60"/>
        <w:gridCol w:w="173"/>
        <w:gridCol w:w="109"/>
        <w:gridCol w:w="668"/>
        <w:gridCol w:w="65"/>
        <w:gridCol w:w="60"/>
        <w:gridCol w:w="146"/>
        <w:gridCol w:w="93"/>
        <w:gridCol w:w="755"/>
        <w:gridCol w:w="65"/>
        <w:gridCol w:w="60"/>
        <w:gridCol w:w="115"/>
        <w:gridCol w:w="72"/>
        <w:gridCol w:w="628"/>
        <w:gridCol w:w="65"/>
      </w:tblGrid>
      <w:tr>
        <w:trPr/>
        <w:tc>
          <w:tcPr>
            <w:tcW w:w="248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(Parent Obligor)</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Non-Guarantor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Eliminating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Entries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Consolidated</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37" w:type="dxa"/>
            <w:gridSpan w:val="23"/>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Revenues: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2"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Gaming and pari-mutuel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commissions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456,938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456,997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Non-gaming</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1,785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176,874</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1,465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180,124</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revenues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1,785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633,812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1,524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637,121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expenses: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Gaming and pari-mutuel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commissions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203,240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203,240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Non-gaming</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95,356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95,356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Marketing and promotions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32,079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32,080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General and administrative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117,529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(98</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117,431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Corporate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20,721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155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21,051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Impairment charges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Management fee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(5,820</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5,820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Depreciation and amortization</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1,240</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55,293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56,533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Total operating expenses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16,141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509,472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525,691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Gain (loss) on sale or disposal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(447</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(366</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Transaction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(6,802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(418</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(7,292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(Loss) income from unconsolidated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affiliates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(1,383</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161</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(1,222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(loss)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(22,541</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124,164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927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102,550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Interest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(35,585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(35,725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(488</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(71,798</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Unrealized loss on restricted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(1,398</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(1,398</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Subsidiary income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60,019</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(60,019</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(loss) before income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495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88,439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439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(60,019</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29,354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tax benefit (provision)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18,441</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(28,618</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(241</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(10,418</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bottom w:val="doub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18,936</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59,821</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198</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(60,019</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18,936</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36</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consolidating condensed statement of operations for the three months ended June 30, 2018 is as follows: </w:t>
      </w:r>
    </w:p>
    <w:p>
      <w:pPr>
        <w:pStyle w:val="TextBody"/>
        <w:spacing w:before="0" w:after="0"/>
        <w:rPr/>
      </w:pPr>
      <w:r>
        <w:rPr/>
        <w:t> </w:t>
      </w:r>
    </w:p>
    <w:p>
      <w:pPr>
        <w:pStyle w:val="TextBody"/>
        <w:spacing w:before="0" w:after="0"/>
        <w:rPr/>
      </w:pPr>
      <w:r>
        <w:rPr/>
        <w:t> </w:t>
      </w:r>
    </w:p>
    <w:tbl>
      <w:tblPr>
        <w:tblW w:w="7342" w:type="dxa"/>
        <w:jc w:val="left"/>
        <w:tblInd w:w="0" w:type="dxa"/>
        <w:tblCellMar>
          <w:top w:w="0" w:type="dxa"/>
          <w:left w:w="0" w:type="dxa"/>
          <w:bottom w:w="28" w:type="dxa"/>
          <w:right w:w="0" w:type="dxa"/>
        </w:tblCellMar>
      </w:tblPr>
      <w:tblGrid>
        <w:gridCol w:w="2180"/>
        <w:gridCol w:w="60"/>
        <w:gridCol w:w="149"/>
        <w:gridCol w:w="94"/>
        <w:gridCol w:w="765"/>
        <w:gridCol w:w="65"/>
        <w:gridCol w:w="60"/>
        <w:gridCol w:w="109"/>
        <w:gridCol w:w="68"/>
        <w:gridCol w:w="593"/>
        <w:gridCol w:w="65"/>
        <w:gridCol w:w="60"/>
        <w:gridCol w:w="151"/>
        <w:gridCol w:w="95"/>
        <w:gridCol w:w="704"/>
        <w:gridCol w:w="65"/>
        <w:gridCol w:w="60"/>
        <w:gridCol w:w="146"/>
        <w:gridCol w:w="93"/>
        <w:gridCol w:w="755"/>
        <w:gridCol w:w="65"/>
        <w:gridCol w:w="60"/>
        <w:gridCol w:w="115"/>
        <w:gridCol w:w="72"/>
        <w:gridCol w:w="628"/>
        <w:gridCol w:w="65"/>
      </w:tblGrid>
      <w:tr>
        <w:trPr/>
        <w:tc>
          <w:tcPr>
            <w:tcW w:w="218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(Parent Obligor)</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Non-Guarantor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Eliminating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Entries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Consolidated</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37" w:type="dxa"/>
            <w:gridSpan w:val="23"/>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Revenues: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2"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Gaming and pari-mutuel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commissions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340,960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7,760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348,720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Non-gaming</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105,555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2,527</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108,082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revenues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446,515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10,287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456,802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expenses: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Gaming and pari-mutuel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commissions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164,837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5,108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169,945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Non-gaming</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66,092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683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66,775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Marketing and promotions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21,421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411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21,832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General and administrative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71,872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1,873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73,745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Corporate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11,259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638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12,232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Impairment charges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Management fee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(7,030</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7,030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Depreciation and amortization</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950</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30,798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162</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31,910</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Total operating expenses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5,179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362,385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8,875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376,439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Gain on sale of asset or disposal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421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423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Transaction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(3,335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(3,404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1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Equity in income of unconsolidated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affiliate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(loss)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(8,514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84,514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1,414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77,414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Interest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(25,075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(5,919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(411</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(31,405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1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Subsidiary income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60,771</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(60,771</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(loss) before income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taxes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27,182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78,595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1,003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(60,771</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46,009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tax benefit (provision)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9,614</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(18,438</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(389</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(9,213</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180" w:type="dxa"/>
            <w:tcBorders>
              <w:bottom w:val="doub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36,796</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60,157</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614</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(60,771</w:t>
            </w:r>
          </w:p>
        </w:tc>
        <w:tc>
          <w:tcPr>
            <w:tcW w:w="6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36,796</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37</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consolidating condensed statement of operations for the six months ended June 30, 2019 is as follows:</w:t>
      </w:r>
    </w:p>
    <w:p>
      <w:pPr>
        <w:pStyle w:val="TextBody"/>
        <w:spacing w:before="0" w:after="0"/>
        <w:rPr/>
      </w:pPr>
      <w:r>
        <w:rPr/>
        <w:t> </w:t>
      </w:r>
    </w:p>
    <w:tbl>
      <w:tblPr>
        <w:tblW w:w="7663" w:type="dxa"/>
        <w:jc w:val="left"/>
        <w:tblInd w:w="0" w:type="dxa"/>
        <w:tblCellMar>
          <w:top w:w="0" w:type="dxa"/>
          <w:left w:w="0" w:type="dxa"/>
          <w:bottom w:w="28" w:type="dxa"/>
          <w:right w:w="0" w:type="dxa"/>
        </w:tblCellMar>
      </w:tblPr>
      <w:tblGrid>
        <w:gridCol w:w="2480"/>
        <w:gridCol w:w="60"/>
        <w:gridCol w:w="143"/>
        <w:gridCol w:w="90"/>
        <w:gridCol w:w="776"/>
        <w:gridCol w:w="65"/>
        <w:gridCol w:w="60"/>
        <w:gridCol w:w="95"/>
        <w:gridCol w:w="60"/>
        <w:gridCol w:w="635"/>
        <w:gridCol w:w="65"/>
        <w:gridCol w:w="60"/>
        <w:gridCol w:w="173"/>
        <w:gridCol w:w="109"/>
        <w:gridCol w:w="668"/>
        <w:gridCol w:w="65"/>
        <w:gridCol w:w="60"/>
        <w:gridCol w:w="131"/>
        <w:gridCol w:w="83"/>
        <w:gridCol w:w="780"/>
        <w:gridCol w:w="65"/>
        <w:gridCol w:w="60"/>
        <w:gridCol w:w="98"/>
        <w:gridCol w:w="61"/>
        <w:gridCol w:w="656"/>
        <w:gridCol w:w="65"/>
      </w:tblGrid>
      <w:tr>
        <w:trPr/>
        <w:tc>
          <w:tcPr>
            <w:tcW w:w="248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(Parent Obligor)</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Non-Guarantor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Eliminating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Entries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Consolidated</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58" w:type="dxa"/>
            <w:gridSpan w:val="23"/>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Revenues: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Gaming and pari-mutuel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commissions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923,379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4,469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927,848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Non-gaming</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3,182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338,376</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3,538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345,096</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revenues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3,182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1,261,755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8,007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1,272,944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expenses: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Gaming and pari-mutuel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commissions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410,382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3,164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413,546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Non-gaming</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190,241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399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190,640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Marketing and promotions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64,131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64,381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General and administrative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236,078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1,241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237,319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Corporate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36,862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684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37,805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Impairment charges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Management fee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(10,555</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10,555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Depreciation and amortization</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2,389</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111,901</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114,290</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Total operating expenses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28,696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1,024,930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5,313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1,058,939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Gain on sale or disposal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409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21,477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21,952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Transaction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(8,029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(895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(9,186</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(Loss) income from unconsolidated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affiliates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(729</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(617</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(loss)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(33,863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257,519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2,498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226,154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Interest expense,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(73,016</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(71,559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(733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(145,308</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Unrealized loss on restricted investments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(2,858</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(2,858</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Subsidiary income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132,273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(132,273</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(loss) before income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22,536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185,960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1,765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(132,273</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77,988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8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tax benefit (provision)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34,629</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(54,883</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(569</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(20,823</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480" w:type="dxa"/>
            <w:tcBorders>
              <w:bottom w:val="doub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57,165</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131,077</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1,196</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(132,273</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57,165</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38</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consolidating condensed statement of operations for the six months ended June 30, 2018 is as follows:</w:t>
      </w:r>
    </w:p>
    <w:p>
      <w:pPr>
        <w:pStyle w:val="TextBody"/>
        <w:spacing w:before="0" w:after="0"/>
        <w:rPr/>
      </w:pPr>
      <w:r>
        <w:rPr/>
        <w:t> </w:t>
      </w:r>
    </w:p>
    <w:tbl>
      <w:tblPr>
        <w:tblW w:w="7463" w:type="dxa"/>
        <w:jc w:val="left"/>
        <w:tblInd w:w="0" w:type="dxa"/>
        <w:tblCellMar>
          <w:top w:w="0" w:type="dxa"/>
          <w:left w:w="0" w:type="dxa"/>
          <w:bottom w:w="28" w:type="dxa"/>
          <w:right w:w="0" w:type="dxa"/>
        </w:tblCellMar>
      </w:tblPr>
      <w:tblGrid>
        <w:gridCol w:w="2300"/>
        <w:gridCol w:w="60"/>
        <w:gridCol w:w="143"/>
        <w:gridCol w:w="90"/>
        <w:gridCol w:w="776"/>
        <w:gridCol w:w="65"/>
        <w:gridCol w:w="60"/>
        <w:gridCol w:w="109"/>
        <w:gridCol w:w="68"/>
        <w:gridCol w:w="593"/>
        <w:gridCol w:w="65"/>
        <w:gridCol w:w="60"/>
        <w:gridCol w:w="151"/>
        <w:gridCol w:w="95"/>
        <w:gridCol w:w="704"/>
        <w:gridCol w:w="65"/>
        <w:gridCol w:w="60"/>
        <w:gridCol w:w="131"/>
        <w:gridCol w:w="83"/>
        <w:gridCol w:w="780"/>
        <w:gridCol w:w="65"/>
        <w:gridCol w:w="60"/>
        <w:gridCol w:w="115"/>
        <w:gridCol w:w="72"/>
        <w:gridCol w:w="628"/>
        <w:gridCol w:w="65"/>
      </w:tblGrid>
      <w:tr>
        <w:trPr/>
        <w:tc>
          <w:tcPr>
            <w:tcW w:w="230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(Parent Obligor)</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Non-Guarantor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Eliminating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Entries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Consolidated</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38" w:type="dxa"/>
            <w:gridSpan w:val="23"/>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Revenues: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2"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Gaming and pari-mutuel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commissions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676,753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15,495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692,248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Non-gaming</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199,578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5,168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204,746</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revenues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876,331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20,663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896,994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expenses: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Gaming and pari-mutuel</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commissions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329,140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10,356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339,496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Non-gaming</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130,067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1,395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131,462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Marketing and promotions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42,256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877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43,133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General and administrative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144,299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3,648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147,947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Corporate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21,553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657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1,591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23,801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Impairment charges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9,815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9,815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Management fee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(12,167</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12,167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Depreciation and amortization</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1,723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61,398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63,444</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Total operating expenses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11,109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729,799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18,190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759,098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Gain on sale of asset or disposal of</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(285</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(283</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30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Proceeds from terminated sale</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Transaction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(5,453</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(499</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(5,952</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30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Equity in loss of unconsolidated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affiliate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(53</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(53</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Operating (loss)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(16,562</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145,695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2,475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131,608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Interest expense,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(49,507</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(12,205</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(944</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(62,656</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30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Subsidiary income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104,076</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(104,076</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(Loss) income before income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38,007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133,490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1,531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(104,076</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68,952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tax benefit (provision)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19,644</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(30,741</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(204</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(11,301</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30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(loss) from continuing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57,651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102,749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1,327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(104,076</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57,651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from discontinued operations,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5"/>
              </w:rPr>
              <w:t>net of taxes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doub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(loss) income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57,651</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102,749</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1,327</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(104,076</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57,651</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39</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consolidating condensed statement of cash flows for the six months ended June 30, 2019 is as follows:</w:t>
      </w:r>
    </w:p>
    <w:p>
      <w:pPr>
        <w:pStyle w:val="TextBody"/>
        <w:spacing w:before="0" w:after="0"/>
        <w:rPr/>
      </w:pPr>
      <w:r>
        <w:rPr/>
        <w:t> </w:t>
      </w:r>
    </w:p>
    <w:tbl>
      <w:tblPr>
        <w:tblW w:w="7729" w:type="dxa"/>
        <w:jc w:val="left"/>
        <w:tblInd w:w="0" w:type="dxa"/>
        <w:tblCellMar>
          <w:top w:w="0" w:type="dxa"/>
          <w:left w:w="0" w:type="dxa"/>
          <w:bottom w:w="28" w:type="dxa"/>
          <w:right w:w="0" w:type="dxa"/>
        </w:tblCellMar>
      </w:tblPr>
      <w:tblGrid>
        <w:gridCol w:w="2570"/>
        <w:gridCol w:w="60"/>
        <w:gridCol w:w="136"/>
        <w:gridCol w:w="85"/>
        <w:gridCol w:w="788"/>
        <w:gridCol w:w="65"/>
        <w:gridCol w:w="60"/>
        <w:gridCol w:w="104"/>
        <w:gridCol w:w="66"/>
        <w:gridCol w:w="600"/>
        <w:gridCol w:w="65"/>
        <w:gridCol w:w="60"/>
        <w:gridCol w:w="155"/>
        <w:gridCol w:w="98"/>
        <w:gridCol w:w="697"/>
        <w:gridCol w:w="65"/>
        <w:gridCol w:w="60"/>
        <w:gridCol w:w="227"/>
        <w:gridCol w:w="143"/>
        <w:gridCol w:w="625"/>
        <w:gridCol w:w="60"/>
        <w:gridCol w:w="60"/>
        <w:gridCol w:w="110"/>
        <w:gridCol w:w="69"/>
        <w:gridCol w:w="636"/>
        <w:gridCol w:w="65"/>
      </w:tblGrid>
      <w:tr>
        <w:trPr/>
        <w:tc>
          <w:tcPr>
            <w:tcW w:w="257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(Parent Obligor)</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Non-Guarantor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Eliminating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Entries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Consolidated</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34" w:type="dxa"/>
            <w:gridSpan w:val="23"/>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cash provided by (used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operating activities</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(60,562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190,281</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(1,861</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127,858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INVESTING ACTIVITIES: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Purchase of property and equipment, net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(3,015</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(93,641</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(458</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(97,114</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Proceeds from sale of property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equipment, net of cash sold</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516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169,163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(2,070</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167,609</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Sale of restricted investments</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4,985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4,985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cash (used in) provided by</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investing activities</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(2,499</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75,522</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2,457</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75,480</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FINANCING ACTIVITIES: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Payments under Revolving Credit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Facility</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(245,000</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(245,000</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proceeds from (payments to) related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parties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315,214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(313,099</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(2,115</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Payments on other long-term payables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(48</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(171</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(243</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Debt issuance costs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(449</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(449</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Taxes paid related to net share settlement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of equity awards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(7,512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(7,512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cash provided by (used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financing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62,205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(313,123</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(2,286</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(253,204</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Decrease in cash, cash equivalents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and restricted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(856</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(47,320</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(1,690</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(49,866</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Cash, cash equivalents and restricted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cash, beginning of period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12,844</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222,672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11,175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246,691</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doub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Cash, cash equivalents and restricted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cash, end of period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11,988</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175,352</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9,485</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196,825</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64" w:type="dxa"/>
            <w:gridSpan w:val="25"/>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RECONCILIATION OF CASH, CASH EQUIVALENTS AND RESTRICTED CASH TO AMOUNTS REPORTED WITHIN THE CONDENSED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CONSOLIDATED BALANCE SHEETS:</w:t>
            </w:r>
          </w:p>
        </w:tc>
        <w:tc>
          <w:tcPr>
            <w:tcW w:w="6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11,988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161,890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9,261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183,139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Restricted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7,034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224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7,258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Restricted and escrow cash included in other</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noncurrent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6,428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6,428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doub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Total cash, cash equivalents and restricted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cash</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11,988</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175,352</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9,485</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196,825</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40</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consolidating condensed statement of cash flows for the six months ended June 30, 2018 is as follows:</w:t>
      </w:r>
    </w:p>
    <w:p>
      <w:pPr>
        <w:pStyle w:val="TextBody"/>
        <w:spacing w:before="0" w:after="0"/>
        <w:rPr/>
      </w:pPr>
      <w:r>
        <w:rPr/>
        <w:t> </w:t>
      </w:r>
    </w:p>
    <w:tbl>
      <w:tblPr>
        <w:tblW w:w="7728" w:type="dxa"/>
        <w:jc w:val="left"/>
        <w:tblInd w:w="0" w:type="dxa"/>
        <w:tblCellMar>
          <w:top w:w="0" w:type="dxa"/>
          <w:left w:w="0" w:type="dxa"/>
          <w:bottom w:w="28" w:type="dxa"/>
          <w:right w:w="0" w:type="dxa"/>
        </w:tblCellMar>
      </w:tblPr>
      <w:tblGrid>
        <w:gridCol w:w="2570"/>
        <w:gridCol w:w="60"/>
        <w:gridCol w:w="145"/>
        <w:gridCol w:w="92"/>
        <w:gridCol w:w="772"/>
        <w:gridCol w:w="65"/>
        <w:gridCol w:w="60"/>
        <w:gridCol w:w="104"/>
        <w:gridCol w:w="66"/>
        <w:gridCol w:w="600"/>
        <w:gridCol w:w="65"/>
        <w:gridCol w:w="60"/>
        <w:gridCol w:w="155"/>
        <w:gridCol w:w="98"/>
        <w:gridCol w:w="697"/>
        <w:gridCol w:w="65"/>
        <w:gridCol w:w="60"/>
        <w:gridCol w:w="227"/>
        <w:gridCol w:w="143"/>
        <w:gridCol w:w="624"/>
        <w:gridCol w:w="60"/>
        <w:gridCol w:w="60"/>
        <w:gridCol w:w="118"/>
        <w:gridCol w:w="74"/>
        <w:gridCol w:w="623"/>
        <w:gridCol w:w="65"/>
      </w:tblGrid>
      <w:tr>
        <w:trPr/>
        <w:tc>
          <w:tcPr>
            <w:tcW w:w="257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(Parent Obligor)</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Non-Guarantor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Subsidiaries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94"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and Eliminating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Entries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gridSpan w:val="3"/>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Eldorado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Resorts, Inc.</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Consolidated</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033" w:type="dxa"/>
            <w:gridSpan w:val="23"/>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cash (used in) provided by</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operating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(34,171</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179,830</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2,845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7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148,504</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INVESTING ACTIVITIES: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Purchase of property and equipment, net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(2,246</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(51,862</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(1,073</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(55,181</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Proceeds from sale of property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equipment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840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840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Deposits on acquisitions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(15,000</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(15,000</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cash used in investing activities</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(17,246</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(51,022</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(1,073</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(69,341</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FINANCING ACTIVITIES: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proceeds from (payments to) related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parties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128,564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(128,034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(530</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Payments on other long-term payables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(44</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(157</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(143</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(344</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Debt issuance costs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(305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(305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Taxes paid related to net share settlement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of equity awards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(9,677</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(9,677</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cash provided by (used in)</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financing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118,538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(128,191</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(673</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(10,326</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Increase in cash, cash equivalents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and restricted 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67,121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617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1,099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68,837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Cash, cash equivalents and restricted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cash, beginning of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13,836</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118,483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15,430</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147,749</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doub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Cash, cash equivalents and restricted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cash, end of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80,957</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119,100</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16,529</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216,586</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63" w:type="dxa"/>
            <w:gridSpan w:val="25"/>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RECONCILIATION OF CASH, CASH EQUIVALENTS AND RESTRICTED CASH TO AMOUNTS REPORTED WITHIN THE CONDENSED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CONSOLIDATED BALANCE SHEETS:</w:t>
            </w:r>
          </w:p>
        </w:tc>
        <w:tc>
          <w:tcPr>
            <w:tcW w:w="6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Cash and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80,240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114,283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7,493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202,016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Restricted 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717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3,817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149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4,683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sing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Restricted cash included in other noncurrent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1,000</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8,887</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9,887</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70" w:type="dxa"/>
            <w:tcBorders>
              <w:bottom w:val="doub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Total cash, cash equivalents and restricted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3"/>
              </w:rPr>
              <w:t>cash</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80,957</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119,100</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16,529</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216,586</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hd w:fill="FFFFFF" w:val="clear"/>
        <w:spacing w:before="1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Note 18. Pending Acquisitions and Divestitures</w:t>
      </w:r>
    </w:p>
    <w:p>
      <w:pPr>
        <w:pStyle w:val="TextBody"/>
        <w:shd w:fill="FFFFFF" w:val="clear"/>
        <w:spacing w:before="0" w:after="0"/>
        <w:rPr/>
      </w:pPr>
      <w:r>
        <w:rPr/>
        <w:t> </w:t>
      </w:r>
    </w:p>
    <w:p>
      <w:pPr>
        <w:pStyle w:val="TextBody"/>
        <w:shd w:fill="FFFFFF" w:val="clear"/>
        <w:spacing w:before="0" w:after="0"/>
        <w:rPr>
          <w:rFonts w:ascii="Times New Roman" w:hAnsi="Times New Roman"/>
          <w:b w:val="false"/>
          <w:i/>
          <w:caps w:val="false"/>
          <w:smallCaps w:val="false"/>
          <w:sz w:val="17"/>
        </w:rPr>
      </w:pPr>
      <w:r>
        <w:rPr>
          <w:rFonts w:ascii="Times New Roman" w:hAnsi="Times New Roman"/>
          <w:b w:val="false"/>
          <w:i/>
          <w:caps w:val="false"/>
          <w:smallCaps w:val="false"/>
          <w:sz w:val="17"/>
        </w:rPr>
        <w:t>Caesars Entertainment Corporation</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On June 24, 2019, the Company entered into an Agreement and Plan of Merger (the “Merger Agreement”) with Caesars Entertainment Corporation (“Caesars”) pursuant to which a wholly-owned subsidiary of the Company will merge with and into Caesars, with Caesars surviving as a wholly-owned subsidiary of the Company (the “Merger”). Based on the terms and subject to the conditions set forth in the Merger Agreement, the aggregate consideration payable by the Company in respect of outstanding shares of common stock of Caesars will be (a) an amount of cash equal to (i) the sum of (A) $8.40 plus (B) if applicable closing conditions set forth in the Merger Agreement are not satisfied by March 25, 2020, an amount equal to $0.003333 for each day (subject to certain exceptions described in the Merger Agreement) from March 25, 2020 until the closing date of the Merger, multiplied by (ii) the number of shares of Caesars common stock outstanding at the effective time of the Merger and (b) a number of shares of common stock of Eldorado equal to 0.0899 multiplied by the number of shares of Caesars common stock outstanding at the effective time of the Merger (such amount per share of Caesars common stock, the “Merger Consideration”).  Following the consummation of the Merger, Eldorado and former Caesars stockholders will hold approximately 51% and 49%, respectively, of the combined company's outstanding shares of common stock.</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Merger Agreement contains customary representations and warranties by each of Caesars and Eldorado, and each party has agreed to customary covenants. </w:t>
      </w:r>
    </w:p>
    <w:p>
      <w:pPr>
        <w:pStyle w:val="TextBody"/>
        <w:shd w:fill="FFFFFF" w:val="clear"/>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41</w:t>
      </w:r>
    </w:p>
    <w:p>
      <w:pPr>
        <w:pStyle w:val="HorizontalLine"/>
        <w:rPr/>
      </w:pPr>
      <w:r>
        <w:rPr/>
      </w:r>
    </w:p>
    <w:p>
      <w:pPr>
        <w:pStyle w:val="TextBody"/>
        <w:spacing w:before="0" w:after="0"/>
        <w:rPr/>
      </w:pPr>
      <w:r>
        <w:rPr/>
        <w:t> </w:t>
      </w:r>
    </w:p>
    <w:p>
      <w:pPr>
        <w:pStyle w:val="TextBody"/>
        <w:shd w:fill="FFFFFF" w:val="clear"/>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Merger Agreement also contains termination rights for each of Caesars and Eldorado under certain circumstances. If the Merger Agreement is terminated in certain circumstances relating to changes in the recommendation of the board of directors of Caesars in favor of the Merger, entry by Caesars into an alternative transaction or in certain circumstances following the failure of Caesars stockholders to approve the Merger, Caesars will be required to pay Eldorado a termination fee of approximately $418.4 million. If the Merger Agreement is terminated in certain circumstances relating to changes in the recommendation of the board of directors of Eldorado in favor of the issuance of shares of Eldorado common stock in the Merger or in certain circumstances following the failure of Eldorado stockholders to approve such issuance, then Eldorado will be required to pay Caesars a termination fee of approximately $154.9 million. In addition, each party will be obligated to reimburse the other party’s expenses for an amount not to exceed $50.0 million if the Merger Agreement is terminated because of the failure to obtain the required approval of such party’s stockholders (creditable against any termination fee that may subsequently be paid by such party). The Merger Agreement also provides that Eldorado will be obligated to pay a termination fee of approximately $836.8 million to Caesars if the Merger Agreement is terminated (i) due to a law or order relating to gaming or antitrust laws that prohibits or permanently enjoins the consummation of the transactions, (ii) because the required regulatory approvals were not obtained prior to June 24, 2020 (subject to extension to a date no later than December 24, 2020 pursuant to the Merger Agreement) or (iii) due to Eldorado willfully and materially breaching certain obligations with respect to the actions required to be taken by Eldorado to obtain required antitrust approvals.</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Consummation of the Merger is subject to the satisfaction or waiver of certain conditions, including, among others, (1) the expiration or termination of any applicable waiting period under the HSR Act, and receipt of required gaming approvals, (2) the absence of any governmental order or law prohibiting the consummation of the Merger, (3) adoption of the Merger Agreement by holders of a majority of the outstanding shares of Caesars common stock, (4) the approval of the issuance of shares of Eldorado common stock in the Merger, (5) the effectiveness of the registration statement for Eldorado common stock to be issued in the Merger and the authorization for listing of those shares on the Nasdaq Stock Market, (6) absence of a material adverse effect on the other party, (7) the accuracy of the other party’s representations and warranties, subject to customary materiality standards, (8) compliance of the other party with its respective covenants under the Merger Agreement in all material respects and (9) conversion or certain amendments of, or another mutually agreed arrangement with respect to, Caesars’ 5.00% convertible senior notes due 2024.</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In connection with the execution of the Merger Agreement, on June 24, 2019, the Company entered into a debt financing commitment letter pursuant to which the lenders party thereto have committed to arrange and provide (i) the Company with: (w) a $1,000.0 million senior secured revolving credit facility, (x) a $3,000.0 million senior secured term loan B facility, (y) a $3,600.0 million senior secured 364-day bridge facility and (z) a $1,800.0 million senior unsecured bridge loan facility and (ii) a subsidiary of Caesars with a $2,400.0 million senior secured incremental term loan B facility (collectively, the “Debt Financing”). The proceeds of the Debt Financing will be used (a) to pay all or a portion of the cash consideration payable in the Merger, (b) to refinance all of the Company’s existing syndicated bank credit facilities and outstanding senior notes, (c) to refinance certain of Caesars’ and its subsidiaries’ existing debt, (d) to pay transaction fees and expenses related to the Merger and related transactions and (e) for working capital and general corporate purposes. The availability of the borrowings under the Debt Financing is subject to the satisfaction of certain customary conditions including the substantially concurrent closing of the Merger. </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In connection with the execution of the Merger Agreement, on June 24, 2019, the Company entered into a Master Transaction Agreement (the “MTA”) with VICI Properties L.P., a Delaware limited partnership (“VICI”), pursuant to which, among other things, the Company has agreed, subject to the consummation of the Merger and the other applicable conditions set forth therein and in any related documents, (i) through one or more of its subsidiaries (after giving effect to the Merger) to consummate one or more sale and leaseback transactions with VICI and/or its affiliates with respect to certain property described in the MTA, including Harrah’s New Orleans, Harrah’s Laughlin and Harrah’s Atlantic City (or, under certain circumstances, if necessary, certain replacement properties specified in the MTA),  (ii) through one or more of its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 (iv) to enter into (or cause its applicable subsidiaries (after giving effect to the Merger) to enter into) certain right of first refusal agreements and a put-call right agreement in accordance with the terms of the MTA and (v) to undertake certain related transactions in connection with or related to the foregoing.  The Company expects to apply the proceeds of the VICI transactions to pay a portion of the cash consideration payable in the Merger and transaction expenses associated with the Merger and related transactions. </w:t>
      </w:r>
    </w:p>
    <w:p>
      <w:pPr>
        <w:pStyle w:val="TextBody"/>
        <w:shd w:fill="FFFFFF" w:val="clear"/>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42</w:t>
      </w:r>
    </w:p>
    <w:p>
      <w:pPr>
        <w:pStyle w:val="HorizontalLine"/>
        <w:rPr/>
      </w:pPr>
      <w:r>
        <w:rPr/>
      </w:r>
    </w:p>
    <w:p>
      <w:pPr>
        <w:pStyle w:val="TextBody"/>
        <w:spacing w:before="0" w:after="0"/>
        <w:rPr/>
      </w:pPr>
      <w:r>
        <w:rPr/>
        <w:t> </w:t>
      </w:r>
    </w:p>
    <w:p>
      <w:pPr>
        <w:pStyle w:val="TextBody"/>
        <w:shd w:fill="FFFFFF" w:val="clear"/>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 expects that the Merger and related transactions will be consummated in the first half of 2020.</w:t>
      </w:r>
    </w:p>
    <w:p>
      <w:pPr>
        <w:pStyle w:val="TextBody"/>
        <w:shd w:fill="FFFFFF" w:val="clear"/>
        <w:spacing w:before="0" w:after="0"/>
        <w:rPr/>
      </w:pPr>
      <w:r>
        <w:rPr/>
        <w:t> </w:t>
      </w:r>
    </w:p>
    <w:p>
      <w:pPr>
        <w:pStyle w:val="TextBody"/>
        <w:shd w:fill="FFFFFF" w:val="clear"/>
        <w:spacing w:before="160" w:after="0"/>
        <w:rPr>
          <w:rFonts w:ascii="Times New Roman" w:hAnsi="Times New Roman"/>
          <w:b w:val="false"/>
          <w:i/>
          <w:caps w:val="false"/>
          <w:smallCaps w:val="false"/>
          <w:sz w:val="17"/>
        </w:rPr>
      </w:pPr>
      <w:r>
        <w:rPr>
          <w:rFonts w:ascii="Times New Roman" w:hAnsi="Times New Roman"/>
          <w:b w:val="false"/>
          <w:i/>
          <w:caps w:val="false"/>
          <w:smallCaps w:val="false"/>
          <w:sz w:val="17"/>
        </w:rPr>
        <w:t>Twin River Worldwide Holdings, Inc.</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On July 10, 2019, we entered into definitive agreements to sell the equity interests of Rainbow Casino Vicksburg Partnership, L.P. and IOC-Kansas City, L.L.C., the entities that hold Isle of Capri Casino Kansas City and Lady Luck Casino Vicksburg, to Twin River Worldwide Holdings, Inc. for cash consideration of approximately $230 million, subject to a working capital adjustment.</w:t>
      </w:r>
    </w:p>
    <w:p>
      <w:pPr>
        <w:pStyle w:val="TextBody"/>
        <w:shd w:fill="FFFFFF" w:val="clear"/>
        <w:spacing w:before="0" w:after="0"/>
        <w:rPr/>
      </w:pPr>
      <w:r>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The definitive agreement provides that the consummation of the sale is subject to satisfaction of customary conditions, including receipt of required regulatory approvals.  The transaction is expected to close in early 2020.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43</w:t>
      </w:r>
    </w:p>
    <w:p>
      <w:pPr>
        <w:pStyle w:val="HorizontalLine"/>
        <w:rPr/>
      </w:pPr>
      <w:r>
        <w:rPr/>
      </w:r>
    </w:p>
    <w:p>
      <w:pPr>
        <w:pStyle w:val="TextBody"/>
        <w:spacing w:before="0" w:after="0"/>
        <w:rPr/>
      </w:pPr>
      <w:r>
        <w:rPr/>
        <w:t> </w:t>
      </w:r>
    </w:p>
    <w:tbl>
      <w:tblPr>
        <w:tblW w:w="9280" w:type="dxa"/>
        <w:jc w:val="left"/>
        <w:tblInd w:w="0" w:type="dxa"/>
        <w:tblCellMar>
          <w:top w:w="0" w:type="dxa"/>
          <w:left w:w="0" w:type="dxa"/>
          <w:bottom w:w="0" w:type="dxa"/>
          <w:right w:w="0" w:type="dxa"/>
        </w:tblCellMar>
      </w:tblPr>
      <w:tblGrid>
        <w:gridCol w:w="620"/>
        <w:gridCol w:w="8660"/>
      </w:tblGrid>
      <w:tr>
        <w:trPr/>
        <w:tc>
          <w:tcPr>
            <w:tcW w:w="620" w:type="dxa"/>
            <w:tcBorders/>
            <w:shd w:fill="auto" w:val="clear"/>
          </w:tcPr>
          <w:p>
            <w:pPr>
              <w:pStyle w:val="TableContents"/>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ITEM 2.</w:t>
            </w:r>
          </w:p>
        </w:tc>
        <w:tc>
          <w:tcPr>
            <w:tcW w:w="8660" w:type="dxa"/>
            <w:tcBorders/>
            <w:shd w:fill="auto" w:val="clear"/>
          </w:tcPr>
          <w:p>
            <w:pPr>
              <w:pStyle w:val="TableContents"/>
              <w:spacing w:before="0" w:after="0"/>
              <w:rPr>
                <w:rFonts w:ascii="Times New Roman" w:hAnsi="Times New Roman"/>
                <w:b/>
                <w:i w:val="false"/>
                <w:caps w:val="false"/>
                <w:smallCaps w:val="false"/>
                <w:sz w:val="17"/>
              </w:rPr>
            </w:pPr>
            <w:bookmarkStart w:id="10" w:name="ITEM_2_MANAGEMENTS_DISCUSSION_ANALYSIS_F"/>
            <w:bookmarkEnd w:id="10"/>
            <w:r>
              <w:rPr>
                <w:rFonts w:ascii="Times New Roman" w:hAnsi="Times New Roman"/>
                <w:b/>
                <w:i w:val="false"/>
                <w:caps w:val="false"/>
                <w:smallCaps w:val="false"/>
                <w:sz w:val="17"/>
              </w:rPr>
              <w:t>MANAGEMENT’S DISCUSSION AND ANALYSIS OF FINANCIAL CONDITION AND RESULTS OF OPERATIONS.</w:t>
            </w:r>
          </w:p>
        </w:tc>
      </w:tr>
    </w:tbl>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You should read the following discussion together with the financial statements, including the related notes and the other financial information, contained in this Quarterly Report on Form 10-Q.</w:t>
      </w:r>
    </w:p>
    <w:p>
      <w:pPr>
        <w:pStyle w:val="TextBody"/>
        <w:spacing w:before="120" w:after="0"/>
        <w:rPr>
          <w:rFonts w:ascii="Times New Roman" w:hAnsi="Times New Roman"/>
          <w:b w:val="false"/>
          <w:i w:val="false"/>
          <w:caps w:val="false"/>
          <w:smallCaps w:val="false"/>
          <w:color w:val="000000"/>
          <w:sz w:val="17"/>
          <w:highlight w:val="white"/>
        </w:rPr>
      </w:pPr>
      <w:r>
        <w:rPr>
          <w:rFonts w:ascii="Times New Roman" w:hAnsi="Times New Roman"/>
          <w:b w:val="false"/>
          <w:i w:val="false"/>
          <w:caps w:val="false"/>
          <w:smallCaps w:val="false"/>
          <w:color w:val="000000"/>
          <w:sz w:val="17"/>
          <w:highlight w:val="white"/>
        </w:rPr>
        <w:t>Eldorado Resorts, Inc., a Nevada corporation, is referred to as the “Company,” “ERI,” or the “Registrant,” and together with its subsidiaries may also be referred to as “we,” “us” or “our.”</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Overview</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We are a geographically diversified gaming and hospitality company with 26 gaming facilities in 12 states as of June 30, 2019. Our properties, </w:t>
      </w:r>
      <w:r>
        <w:rPr>
          <w:rFonts w:ascii="Times New Roman" w:hAnsi="Times New Roman"/>
          <w:b w:val="false"/>
          <w:i w:val="false"/>
          <w:caps w:val="false"/>
          <w:smallCaps w:val="false"/>
          <w:color w:val="000000"/>
          <w:sz w:val="17"/>
          <w:highlight w:val="white"/>
        </w:rPr>
        <w:t>which are located in Ohio, Louisiana, Nevada, New Jersey, West Virginia, Colorado, Florida, Iowa, Mississippi, Illinois, Indiana and Missouri, feature approximately 26,700 slot machines and video lottery terminals (“VLTs”), approximately 750 table games and approximately 12,700 hotel rooms. Our primary source of revenue is generated by gaming operations, and we utilize our hotels, restaurants, bars, entertainment, racing, retail shops and other services to attract customers to our properties.</w:t>
      </w:r>
      <w:r>
        <w:rPr>
          <w:rFonts w:ascii="Times New Roman" w:hAnsi="Times New Roman"/>
          <w:b w:val="false"/>
          <w:i w:val="false"/>
          <w:caps w:val="false"/>
          <w:smallCaps w:val="false"/>
          <w:sz w:val="17"/>
        </w:rPr>
        <w:t xml:space="preserve">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We were founded in 1973 by the Carano family with the opening of the Eldorado Hotel Casino in Reno, Nevada.</w:t>
      </w:r>
      <w:r>
        <w:rPr>
          <w:rFonts w:ascii="Times New Roman" w:hAnsi="Times New Roman"/>
          <w:b w:val="false"/>
          <w:i w:val="false"/>
          <w:caps w:val="false"/>
          <w:smallCaps w:val="false"/>
          <w:color w:val="000000"/>
          <w:sz w:val="17"/>
        </w:rPr>
        <w:t xml:space="preserve"> In 1993, we partnered with MGM Resorts International to build Silver Legacy Resort Casino, the first mega-themed resort in Reno. In 2005, we acquired our first property outside of Reno when we purchased a casino in Shreveport, Louisiana, now known as Eldorado Shreveport. In September 2014, we merged with MTR Gaming Group, Inc. and acquired its three gaming and racing facilities in Ohio, Pennsylvania and West Virginia. The following year, in November 2015, we acquired Circus Circus Reno and the 50% membership interest in the Silver Legacy that was owned by MGM Resorts International. On May 1, 2017, we completed our acquisition of Isle of Capri Casinos, Inc. (“Isle” or “Isle of Capri”), adding 13 gaming properties to our portfolio</w:t>
      </w:r>
      <w:r>
        <w:rPr>
          <w:rFonts w:ascii="Times New Roman" w:hAnsi="Times New Roman"/>
          <w:b w:val="false"/>
          <w:i w:val="false"/>
          <w:caps w:val="false"/>
          <w:smallCaps w:val="false"/>
          <w:color w:val="000000"/>
          <w:sz w:val="17"/>
          <w:highlight w:val="white"/>
        </w:rPr>
        <w:t xml:space="preserve">. On August 7, 2018, we acquired the </w:t>
      </w:r>
      <w:r>
        <w:rPr>
          <w:rFonts w:ascii="Times New Roman" w:hAnsi="Times New Roman"/>
          <w:b w:val="false"/>
          <w:i w:val="false"/>
          <w:caps w:val="false"/>
          <w:smallCaps w:val="false"/>
          <w:color w:val="000000"/>
          <w:sz w:val="17"/>
        </w:rPr>
        <w:t>Elgin Riverboat Resort – Riverboat Casino d/b/a Grand Victoria Casino (“Elgin”) (the “Elgin Acquisition”). On October 1, 2018, we completed our acquisition of Tropicana Entertainment, Inc. (“Tropicana”), and added seven properties to our portfolio (the “Tropicana Acquisition”). On January 11, 2019 and March 8, 2019, respectively, we closed on our sales of Presque Isle Downs &amp; Casino and Lady Luck Casino Nemacolin, which are both located in Pennsylvania.</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we owned and operated the following properties: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Resort Casino Reno (“Eldorado Reno”)—A 814-room hotel, casino and entertainment facility connected via an enclosed skywalk to Silver Legacy and Circus Reno located in downtown Reno, Nevada that includes 1,008 slot machines, 36 table games and a race and sportsbook;</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Silver Legacy Resort Casino (“Silver Legacy”)—A 1,685-room themed hotel and casino connected via an enclosed skywalk to Eldorado Reno and Circus Reno that includes 984 slot machines, 48 table games, a 13-table poker room and a race and sportsbook;</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Circus Circus Reno (“Circus Reno”)—A 1,571-room hotel-casino and entertainment complex connected via an enclosed skywalk to Eldorado Reno and Silver Legacy that includes 567 slot machines and a race and sportsbook;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Resort Casino Shreveport (“Eldorado Shreveport”)—A 403-room, all suite art deco-style hotel and tri-level riverboat dockside casino situated on the Red River in Shreveport, Louisiana that includes 1,406 slot machines, 46 table games and an eight-table poker room;</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Mountaineer Casino, Racetrack &amp; Resort (“Mountaineer”)—A 357-room hotel, casino, entertainment and live thoroughbred horse racing facility located on the Ohio River at the northern tip of West Virginia’s northwestern panhandle that includes 1,362 slot machines, 32 table games, a 10-table poker room and a race and sportsbook;</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Gaming Scioto Downs (“Scioto Downs”)—A modern “racino” on an approximately 208-acre site offering 2,194 VLTs, harness racing and a 118-room third party hotel connected to Scioto Downs located 15 minutes from downtown Columbus, Ohio.</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Casino Hotel</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Black Hawk (“Isle Black Hawk”)</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land-based casino on an approximately 10-acre site in Black Hawk, Colorado that includes 928 slot machines, 20 table games, a 10-table poker room and a 240-room hotel;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Lady Luck Casino</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Black Hawk (“Lady Luck Black Hawk”)</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land-based casino across the intersection from Isle Casino Hotel in Black Hawk Colorado, that includes 430 slot machines, seven table games and a 164-room hotel with a parking structure connecting Isle Black Hawk and Lady Luck Black Hawk; </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44</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Casino Racing Pompano Park (“Pompano”)</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casino and harness racing track on an approximately 223-acre owned site in Pompano Beach, Florida that includes 1,454 slot machines and a 41-table poker room;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Casino Bettendorf (“Bettendorf”)</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land-based single-level casino located off Interstate 74 in Bettendorf, Iowa that includes 972 slot machines and 14 table games with 509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Casino Waterloo (“Waterloo”)</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single-level land-based casino in Waterloo, Iowa that includes 917 slot machines, 23 table games, and a 194-room hotel;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of Capri Casino Hotel Lake Charles (“Lake Charles”)</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gaming vessel on an approximately 19-acre site in Lake Charles, Louisiana, with 1,160 slot machines, 34 table games, 11 poker tables, and two hotels offering 493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of Capri Casino Lula (“Lula”)</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Two dockside casinos in Lula, Mississippi with 869 slot machines and 17 table games, two on-site hotels with a total of 486 rooms and a 28-space RV Park;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Lady Luck Casino Vicksburg (“Vicksburg”)</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dockside casino in Vicksburg, Mississippi that includes 599 slot machines and a hotel with a total of 89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of Capri Casino Boonville (“Boonville”)</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single-level dockside casino in Boonville, Missouri that includes 872 slot machines, 20 table games and a 140-room hotel;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Casino Cape Girardeau (“Cape Girardeau”)</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dockside casino and pavilion and entertainment center in Cape Girardeau, Missouri that includes 851 slot machines, 20 table games and four poker tables;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Lady Luck Casino Caruthersville (“Caruthersville</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 xml:space="preserve">A riverboat casino located along the Mississippi River in Caruthersville, Missouri that includes 513 slot machines and nine table games;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Isle of Capri Casino Kansas City (“Kansas City”)</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A dockside casino located close to downtown Kansas City, Missouri offering 935 slot machines and 13 table games;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Tropicana Casino and Resort, Atlantic City (“Trop AC”)—A casino and resort situated on approximately 15 acres with approximately 660 feet of ocean frontage in Atlantic City, New Jersey that includes 2,323 slot machines, 107 table games, 18 poker tables, a race and sportsbook and 2,364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Tropicana Evansville (“Evansville”)—A casino hotel and entertainment complex in Evansville, Indiana featuring 1,118 slot machines, 35 table games, six poker tables and two on-site hotels with a total of 338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Lumière Place Casino (“Lumière”)—A casino located on approximately 20 acres, located in historic downtown St. Louis, Missouri near business and entertainment districts that overlooks the Mississippi River with 1,385 slot machines, 46 table games, 10 poker tables and 494 hotel rooms (including a 200-room Four Season Hotel);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Tropicana Laughlin Hotel and Casino (“Laughlin”)—A casino in Laughlin, Nevada that includes 917 slot machines, 13 table games, a race and sportsbook and 1,487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MontBleu Casino Resort &amp; Spa (“MontBleu”)—A casino situated on approximately 21 acres in South Lake Tahoe, Nevada surrounded by the Sierra Nevada Mountains featuring 425 slot machines, 17 table games, a race and sportsbook and 438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Trop Casino Greenville (“Greenville”)—A landside gaming facility located in Greenville, Mississippi with 600 slot machines, four table games and 40 hotel rooms;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Belle of Baton Rouge Casino &amp; Hotel (“Baton Rouge”)—A dockside riverboat situated on approximately 23 acres on the Mississippi River in the downtown historic district of Baton Rouge featuring 773 slot machines, 14 table games and 288 hotel rooms; and </w:t>
            </w:r>
          </w:p>
        </w:tc>
      </w:tr>
    </w:tbl>
    <w:tbl>
      <w:tblPr>
        <w:tblW w:w="8425" w:type="dxa"/>
        <w:jc w:val="left"/>
        <w:tblInd w:w="0" w:type="dxa"/>
        <w:tblCellMar>
          <w:top w:w="0" w:type="dxa"/>
          <w:left w:w="0" w:type="dxa"/>
          <w:bottom w:w="0" w:type="dxa"/>
          <w:right w:w="0" w:type="dxa"/>
        </w:tblCellMar>
      </w:tblPr>
      <w:tblGrid>
        <w:gridCol w:w="60"/>
        <w:gridCol w:w="110"/>
        <w:gridCol w:w="825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825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Grand Victoria Casino (“Elgin”)—A casino located in Elgin, Illinois featuring 1,088 slot machines and 30 table games.</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45</w:t>
      </w:r>
    </w:p>
    <w:p>
      <w:pPr>
        <w:pStyle w:val="HorizontalLine"/>
        <w:rPr/>
      </w:pPr>
      <w:r>
        <w:rPr/>
      </w:r>
    </w:p>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Acquisitions and Development Opportunities </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Caesars Entertainment</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On June 24, 2019, we entered into an Agreement and Plan of Merger (the “Merger Agreement”) with Caesars Entertainment Corporation (“Caesars”) pursuant to which a wholly-owned subsidiary of the Company will merge with and into Caesars, with Caesars surviving as a wholly-owned subsidiary of the Company(the “Merger”). On the terms and subject to the conditions set forth in the Merger Agreement, the aggregate consideration paid by the Company in respect of outstanding shares of common stock of Caesars will be (a) an amount of cash equal to (i) the sum of (A) $8.40 plus (B) if the applicable closing conditions set forth in the Merger Agreement are not satisfied by March 25, 2020, an amount equal to $0.003333 for each day (subject to certain exceptions described in the Merger Agreement) from March 25, 2020 until the closing date of the Merger, multiplied by (ii) the number of shares of Caesars common stock outstanding at the effective time of the Merger and (b) a number of shares of ERI common stock equal to 0.0899 multiplied by the number of shares of Caesars common stock outstanding at the effective time of the Merger (such amount per share of Caesars common stock, the “Merger Consideration”). Following the consummation of the Merger, Eldorado stockholders and former Caesars stockholders will hold approximately 51% and 49%, respectively, of the combined company's outstanding shares of common stock. </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Merger Agreement contains customary representations and warranties by each of Caesars and Eldorado, and each party has agreed to customary covenants.</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Merger Agreement also contains termination rights for each of Caesars and Eldorado under certain circumstances. If the Merger Agreement is terminated in certain circumstances relating to changes in the recommendation of the board of directors of Caesars in favor of the Merger, entry by Caesars into an alternative transaction or in certain circumstances following the failure of Caesars stockholders to approve the Merger, Caesars will be required to pay Eldorado a termination fee of approximately $418.4 million. If the Merger Agreement is terminated in certain circumstances relating to changes in the recommendation of the board of directors of Eldorado in favor of the issuance of shares of Eldorado common stock in the Merger or in certain circumstances following the failure of Eldorado stockholders to approve such issuance, then Eldorado will be required to pay Caesars a termination fee of approximately $154.9 million. In addition, each party will be obligated to reimburse the other party’s expenses for an amount not to exceed $50.0 million if the Merger Agreement is terminated because of the failure to obtain the required approval of such party’s stockholders (creditable against any termination fee that may subsequently be paid by such party). The Merger Agreement also provides that Eldorado will be obligated to pay a termination fee of approximately $836.8 million to Caesars if the Merger Agreement is terminated (i) due to a law or order relating to gaming or antitrust laws that prohibits or permanently enjoins the consummation of the transactions, (ii) because the required regulatory approvals were not obtained prior to June 24, 2020 (subject to extension to a date no later than December 24, 2020 pursuant to the Merger Agreement) or (iii) due to Eldorado willfully and materially breaching certain obligations with respect to the actions required to be taken by Eldorado to obtain required antitrust approvals.</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Consummation of the Merger is subject to the satisfaction or waiver of certain conditions, including, among others, (1) the expiration or termination of any applicable waiting period under the Hart-Scott-Rodino Antitrust Improvements Act of 1976, as amended (the “HSR Act”), and receipt of required gaming approvals, (2) the absence of any governmental order or law prohibiting the consummation of the Merger, (3) adoption of the Merger Agreement by holders of a majority of the outstanding shares of Caesars common stock, (4) the approval of the issuance of shares of Eldorado common stock in the Merger, (5) the effectiveness of the registration statement for Eldorado common stock to be issued in the Merger and the authorization for listing of those shares on the Nasdaq Stock Market, (6) absence of a material adverse effect on the other party, (7) the accuracy of the other party’s representations and warranties, subject to customary materiality standards, (8) compliance of the other party with its respective covenants under the Merger Agreement in all material respects and (9) conversion or certain amendments of, or another mutually agreed arrangement with respect to, Caesars’ 5.00% convertible senior notes due 2024.</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In connection with execution of the Merger Agreement, on June 24, 2019, we entered into a debt financing commitment letter (the “Commitment Letter”) pursuant to which the lenders party thereto have committed to arrange and provide (i) us with: (w) a $1,000.0 million senior secured revolving credit facility, (x) a $3,000.0 million senior secured term loan B facility, (y) a $3,600.0 million senior secured 364-day bridge facility and (z) a $1,800.0 million senior unsecured bridge loan facility and (ii) a subsidiary of Caesars with a $2,400.0 million senior secured incremental term loan B facility (collectively, the “Debt Financing”). The proceeds of the Debt Financing will be used (a) to pay all or a portion of the cash consideration payable in the Merger, (b) to refinance all of our existing syndicated bank credit facilities and outstanding senior notes, (c) to refinance certain of Caesars’ and its subsidiaries’ existing debt, (d) to pay transaction fees and expenses related to the Merger and related transactions and (e) for working capital and general corporate purposes. The availability of the borrowings under the Debt Financing is subject to the satisfaction of certain customary conditions including the substantially concurrent closing of the Merger. </w:t>
      </w:r>
    </w:p>
    <w:p>
      <w:pPr>
        <w:pStyle w:val="TextBody"/>
        <w:shd w:fill="FFFFFF" w:val="clear"/>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46</w:t>
      </w:r>
    </w:p>
    <w:p>
      <w:pPr>
        <w:pStyle w:val="HorizontalLine"/>
        <w:rPr/>
      </w:pPr>
      <w:r>
        <w:rPr/>
      </w:r>
    </w:p>
    <w:p>
      <w:pPr>
        <w:pStyle w:val="TextBody"/>
        <w:spacing w:before="0" w:after="0"/>
        <w:rPr/>
      </w:pPr>
      <w:r>
        <w:rPr/>
        <w:t> </w:t>
      </w:r>
    </w:p>
    <w:p>
      <w:pPr>
        <w:pStyle w:val="TextBody"/>
        <w:shd w:fill="FFFFFF" w:val="clear"/>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 connection with the execution of the Merger Agreement, on June 24, 2019, we entered into a Master Transaction Agreement (the “MTA”) with VICI Properties L.P., a Delaware limited partnership (“VICI”), pursuant to which, among other things, we have agreed, subject to the consummation of the Merger and the other applicable conditions set forth therein and in any related documents, (i) through one or more of its subsidiaries (after giving effect to the Merger) to consummate one or more sale and leaseback transactions with VICI and/or its affiliates with respect to certain property described in the MTA, including Harrah’s New Orleans, Harrah’s Laughlin and Harrah’s Atlantic City, (ii) through one or more of its subsidiaries (after giving effect to the Merger) to amend the CPLV Lease, the Non-CPLV Lease and the Joliet Lease (each as defined in the MTA) in accordance with the terms of the MTA and receive certain consideration from VICI or its affiliates in respect thereof, (iii) to provide a guaranty in respect of each of the CPLV Lease, the Non-CPLV Lease and the Joliet Lease in accordance with the terms of the MTA, (iv) to enter into (or cause our subsidiaries (after giving effect to the Merger) to enter into) certain right of first refusal agreements and a put-call right agreement in accordance with the terms of the MTA and (v) to undertake certain related transactions in connection with or related to the foregoing.  We expect to apply the proceeds of the VICI transactions to pay a portion of the cash consideration payable in the Merger and transaction expenses associated with the Merger and related transactions.</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 expect that the Merger and related transactions will be consummated in the first half of 2020.</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William Hill</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September 2018, we entered into a 25-year agreement, which became effective January 2019, with William Hill PLC and William Hill US, its U.S. subsidiary (together, “William Hill”) pursuant to which we (i) granted to William Hill the right to conduct betting activities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territory</w:t>
      </w:r>
      <w:r>
        <w:rPr>
          <w:rFonts w:ascii="Times New Roman" w:hAnsi="Times New Roman"/>
          <w:b w:val="false"/>
          <w:i/>
          <w:caps w:val="false"/>
          <w:smallCaps w:val="false"/>
          <w:sz w:val="17"/>
        </w:rPr>
        <w:t>.  </w:t>
      </w:r>
      <w:r>
        <w:rPr>
          <w:rFonts w:ascii="Times New Roman" w:hAnsi="Times New Roman"/>
          <w:b w:val="false"/>
          <w:i w:val="false"/>
          <w:caps w:val="false"/>
          <w:smallCaps w:val="false"/>
          <w:sz w:val="17"/>
        </w:rPr>
        <w:t xml:space="preserve">Pursuant to the terms of the agreement, we received a 20% ownership interest in William Hill US valued at approximately $128.9 million as well as 13.4 million ordinary shares of William Hill PLC valued at approximately $27.3 million upon closing of the transaction in January 2019. The Company’s initial equity and the profit and losses attributable to William Hill US are in included in income (loss) from unconsolidated affiliates on the Consolidated Statements of Income. The amortization of deferred revenues associated with the Company’s equity interests totaled $1.5 million and $2.6 million for the three and six months ended June 30, 2019, respectively, and is included in other revenues and operating income. Additionally, we receive a profit share from the operations of betting and other gaming activities associated with the Company’s properties, which is included in other revenues and operating income.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The Stars Group</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will receive a revenue share from the operation of the applicable verticals by TSG under our licenses. Pursuant to the terms of the TSG agreement, we received 1.1 million TSG common shares valued at approximately $18.6 million and we may receive an additional $5.0 million in TSG common shares upon the exercise of the first option by TSG. TSG has notified us that they intend to exercise their option with respect to licenses in West Virginia and Indiana. We may also receive additional TSG common shares in the future based on TSG net gaming revenue generated in our markets. Upon the entry into the TSG agreement, the Company also recorded deferred revenue associated with the shares received and recognized revenue of $0.3 million and $0.6 million during the three and six months ended June 30, 2019, respectively, which is included in other revenues and operating income.</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Tropicana Entertainment Inc.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October 1, 2018, we acquired Tropicana in a cash transaction valued at $1.9 billion. At the closing of the transaction Tropicana became a wholly-owned subsidiary of ours. Immediately prior to our acquisition, Tropicana sold Tropicana Aruba Resort and GLP Capital, L.P., a wholly-owned subsidiary of Gaming and Leisure Properties, Inc. (“GLPI”), acquired substantially all of Tropicana’s real estate, other than the real estate underlying MontBleu and Lumière, for approximately $964 million. We acquired the real estate underlying Lumière for $246 million with the proceeds of a $246 million loan from GLPI. We funded the remaining consideration payable with our cash on hand and cash on hand at Tropicana, borrowings under our revolving credit facility and proceeds from our offering of $600 million of 6.0% senior notes due 2026. In addition, our borrowing capacity on our revolving credit facility increased from $300 million to $500 million effective October 1, 2018, and the maturity of the revolving credit facility was extended to October 1, 2023.</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Substantially concurrently with the acquisition of the real estate portfolio by GLPI, we entered into a triple net master lease for the Tropicana properties acquired by GLPI with an initial term of 15 years, with renewals of up to 20 years at our option (“Master Lease”). Under the Master Lease, we are required to pay the following, among other things: lease payments to the underlying ground lessor for properties that are subject to ground leases, facility maintenance costs, all insurance premiums for insurance with respect to the leased properties and the business conducted on the leased properties, taxes levied on or with respect to the leased properties (other than taxes on the income of the lessor and all utilities and other services necessary or appropriate for the leased properties and the business conducted on the leased properties). The initial annual rent under the terms of the lease was approximately $87.6 million and is subject to annual escalation. We do not have the ability to terminate the obligations under the Master Lease prior to its expiration without GLPI’s consent.</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connection with the purchase of the real estate related to Lumière, GLPI, Tropicana St. Louis RE LLC, a wholly-owned subsidiary of ours (“Tropicana St. Louis RE”), and GLPI entered into a loan agreement, dated as of October 1, 2018 (the “Lumière Loan”), relating to a loan of $246 million by GLPI to Tropicana St. Louis RE to fund the purchase price of the real estate underlying Lumière. The Lumière Loan is guaranteed by us, bears interest at a rate equal to (i) 9.09% until October 1, 2019 and (ii) 9.27% thereafter and matures on October 1, 2020. The Lumière Loan is secured by a first priority mortgage on the Lumière real estate until October 1, 2019. In connection with the issuance of the Lumière Loan, we agreed to use our commercially reasonable efforts to transfer one or more of Elgin, Bettendorf, Waterloo, Lula, Vicksburg and Mountaineer or such other property or properties mutually acceptable to Tropicana St. Louis RE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Tropicana St. Louis RE’s obligations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outstanding obligations of Tropicana St. Louis RE under the Lumière Loan, GLPI will pay Tropicana St. Louis RE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Grand Victoria Casino</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August 7, 2018, we completed the acquisition of the Grand Victoria Casino in Elgin, Illinois. We purchased Elgin for $328.8 million, including a working capital adjustment totaling $1.3 million. The Elgin Acquisition was financed using cash on hand and borrowings under the Company’s revolving credit facility.</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Pompano Joint Venture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April 2018, we entered into a joint venture with Cordish Companies (“Cordish”) to master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We and Cordish have made cash contributions of $500,000 each and could be required to make additional contributions to a maximum of $2.0 million ($1.0 million per member) at the request of the managing member. We have agreed to contribute approximately 130 to 200 acres of land to the joint venture for the project. While we hold a 50% variable interest in the joint venture, we are not the primary beneficiary; as such the investment in the joint venture is accounted for using the equity method. We participate evenly with Cordish in the profits and losses of the joint venture, which is included in loss from unconsolidated affiliates on the Consolidated Statements of Income.</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48</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Divestitures</w:t>
      </w:r>
    </w:p>
    <w:p>
      <w:pPr>
        <w:pStyle w:val="TextBody"/>
        <w:shd w:fill="FFFFFF" w:val="clear"/>
        <w:spacing w:before="0" w:after="0"/>
        <w:rPr/>
      </w:pPr>
      <w:r>
        <w:rPr/>
        <w:t> </w:t>
      </w:r>
    </w:p>
    <w:p>
      <w:pPr>
        <w:pStyle w:val="TextBody"/>
        <w:shd w:fill="FFFFFF" w:val="clear"/>
        <w:spacing w:before="0" w:after="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Twin River Worldwide Holdings, Inc.</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On July 10, 2019, we entered into definitive agreements to sell the equity interests of Rainbow Casino Vicksburg Partnership, L.P. and IOC-Kansas City, L.L.C., the entities that hold Isle of Capri Casino Kansas City and Lady Luck Casino Vicksburg, to Twin River Worldwide Holdings, Inc. for cash consideration of approximately $230 million, subject to a working capital adjustment.</w:t>
      </w:r>
    </w:p>
    <w:p>
      <w:pPr>
        <w:pStyle w:val="TextBody"/>
        <w:shd w:fill="FFFFFF" w:val="clear"/>
        <w:spacing w:before="0" w:after="0"/>
        <w:rPr/>
      </w:pPr>
      <w:r>
        <w:rPr/>
        <w:t> </w:t>
      </w:r>
    </w:p>
    <w:p>
      <w:pPr>
        <w:pStyle w:val="TextBody"/>
        <w:shd w:fill="FFFFFF" w:val="clear"/>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The definitive agreement provides that the consummation of the sale is subject to satisfaction of customary conditions, including receipt of required regulatory approvals. The transaction is expected to close in early 2020. </w:t>
      </w:r>
    </w:p>
    <w:p>
      <w:pPr>
        <w:pStyle w:val="TextBody"/>
        <w:shd w:fill="FFFFFF" w:val="clear"/>
        <w:spacing w:before="0" w:after="0"/>
        <w:rPr/>
      </w:pPr>
      <w:r>
        <w:rPr/>
        <w:t> </w:t>
      </w:r>
    </w:p>
    <w:p>
      <w:pPr>
        <w:pStyle w:val="TextBody"/>
        <w:shd w:fill="FFFFFF" w:val="clear"/>
        <w:spacing w:before="160" w:after="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Century Casinos, Inc.</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June 17, 2019, we entered into definitive agreements to sell the real property relating to Mountaineer, Cape Girardeau, and Caruthersville to VICI Properties Inc. (“VICI) for approximately $278 million and, immediately following the consummation of the sale such real property, sell all of the outstanding equity interests of Mountaineer Park, Inc., IOC-Caruthersville, LLC and IOC- Cape Girardeau, LLC to Century Casinos, Inc. for approximately $107 million, subject to a working capital adjustment.</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definitive agreements provide that the consummation of the sales is subject to </w:t>
      </w:r>
      <w:r>
        <w:rPr>
          <w:rFonts w:ascii="Times New Roman" w:hAnsi="Times New Roman"/>
          <w:b w:val="false"/>
          <w:i w:val="false"/>
          <w:caps w:val="false"/>
          <w:smallCaps w:val="false"/>
          <w:color w:val="000000"/>
          <w:sz w:val="17"/>
        </w:rPr>
        <w:t xml:space="preserve">satisfaction of customary conditions, including receipt of required regulatory approvals.  The transaction is expected to close in early 2020.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Churchill Downs Incorporated</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February 28, 2018, we entered into definitive agreements to sell substantially all of the assets and liabilities of Presque Isle Downs and Vicksburg to Churchill Downs Incorporated (“CDI”). Under the terms of the agreements, CDI agreed to purchase Presque Isle Downs for cash consideration of approximately $178.9 million and Vicksburg for cash consideration of approximately $50.6 million, in each case subject to a customary working capital adjustment. In conjunction with the classification of Vicksburg’s operations as assets held for sale at June 30, 2018 as a result of the announced sale to CDI, an impairment charge totaling $9.8 million was recorded due to the carrying value exceeding the estimated net sales proceeds.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definitive agreements provided that the divestitures were subject to receipt of required regulatory approvals, termination of the waiting period under the HSR Act and other customary closing conditions, including, in the case of Presque Isle Downs, the prior closing of the sale of Vicksburg or the entry into an agreement to acquire another asset of ours. On May 7, 2018, we and CDI each received a Request for Additional Information and Documentary Materials, often referred to as a “Second Request,” from the Federal Trade Commission in connection with its review of the Vicksburg acquisition.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On July 6, 2018, in consideration of the time and expense needed to reply to the Second Request, the Company and CDI entered into a termination agreement and release pursuant to which the parties agreed to terminate the asset purchase agreement with respect to Vicksburg and to enter into an asset purchase agreement pursuant to which CDI would acquire and assume the rights and obligations to operate Nemacolin (the “Vicksburg Termination Agreement”). The Vicksburg Termination Agreement also provided that CDI would pay us a $5.0 million termination fee upon execution of a definitive agreement with respect to the Nemacolin transaction.  On August 10, 2018, we entered into a definitive agreement to sell substantially all of the assets and liabilities of Nemacolin to CDI.  Under the terms of the agreement, CDI agreed to purchase Nemacolin for cash consideration of approximately $0.1 million, subject to a customary working capital adjustment.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a result of the agreement to sell Nemacolin, an impairment charge of $3.8 million was recorded in the third quarter of 2018 due to the carrying value of the net property and equipment being sold exceeding the estimated net sales proceeds.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closed on the sale of Presque Isle Downs on January 11, 2019 and the sale of Nemacolin on March 8, 2019.</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49</w:t>
      </w:r>
    </w:p>
    <w:p>
      <w:pPr>
        <w:pStyle w:val="HorizontalLine"/>
        <w:rPr/>
      </w:pPr>
      <w:r>
        <w:rPr/>
      </w:r>
    </w:p>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Reportable Segments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executive decision maker of our company reviews operating results, assesses performance and makes decisions on a “significant market” basis. Our management views each of our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our acquisition of Isle, our principal operating activities occurred in three geographic regions: Nevada, Louisiana and parts of the eastern United States. Following the Isle Acquisition, the Company’s principal operating activities occurred in four geographic regions and reportable segments: West, Midwest, South and East. Following the Tropicana Acquisition and Elgin Acquisition, an additional segment, Central, was added increasing our reportable segments to five. The five segments are summarized as follows:</w:t>
      </w:r>
    </w:p>
    <w:p>
      <w:pPr>
        <w:pStyle w:val="TextBody"/>
        <w:spacing w:before="0" w:after="0"/>
        <w:rPr/>
      </w:pPr>
      <w:r>
        <w:rPr/>
        <w:t> </w:t>
      </w:r>
    </w:p>
    <w:p>
      <w:pPr>
        <w:pStyle w:val="TextBody"/>
        <w:spacing w:before="0" w:after="0"/>
        <w:rPr/>
      </w:pPr>
      <w:r>
        <w:rPr/>
        <w:t> </w:t>
      </w:r>
    </w:p>
    <w:tbl>
      <w:tblPr>
        <w:tblW w:w="4595" w:type="dxa"/>
        <w:jc w:val="left"/>
        <w:tblInd w:w="0" w:type="dxa"/>
        <w:tblCellMar>
          <w:top w:w="0" w:type="dxa"/>
          <w:left w:w="0" w:type="dxa"/>
          <w:bottom w:w="28" w:type="dxa"/>
          <w:right w:w="0" w:type="dxa"/>
        </w:tblCellMar>
      </w:tblPr>
      <w:tblGrid>
        <w:gridCol w:w="605"/>
        <w:gridCol w:w="60"/>
        <w:gridCol w:w="1670"/>
        <w:gridCol w:w="60"/>
        <w:gridCol w:w="1175"/>
        <w:gridCol w:w="60"/>
        <w:gridCol w:w="965"/>
      </w:tblGrid>
      <w:tr>
        <w:trPr/>
        <w:tc>
          <w:tcPr>
            <w:tcW w:w="60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Segment</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7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Property</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7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Date Acquired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State</w:t>
            </w:r>
          </w:p>
        </w:tc>
      </w:tr>
      <w:tr>
        <w:trPr/>
        <w:tc>
          <w:tcPr>
            <w:tcW w:w="6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Reno</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Silver Legacy</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Circus Reno</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MontBleu</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Laughlin</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Nevada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Isle Black Hawk</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Colorado</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Lady Luck Black Hawk</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Colorado</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Waterloo</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Iowa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Bettendorf</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Iowa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Boonville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Cape Girardeau</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(c)</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Caruthersville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(c)</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Kansas City</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(c)</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Pompano</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Florida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Eldorado Shreveport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Louisiana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Lake Charles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Louisiana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Baton Rouge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Louisiana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Lula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Mississippi</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Vicksburg</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(c)</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Mississippi</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Greenville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Mississippi</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Presque Isle Downs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 (b)</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Pennsylvania</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Nemacolin</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 2017 (b)</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Pennsylvania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Scioto Downs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Ohio</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Mountaineer</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 (c)</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 Virginia</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Trop AC</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New Jersey</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Elgin</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August 7,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Illinois</w:t>
            </w:r>
          </w:p>
        </w:tc>
      </w:tr>
      <w:tr>
        <w:trPr/>
        <w:tc>
          <w:tcPr>
            <w:tcW w:w="60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Lumière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CFF0FC"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Missouri</w:t>
            </w:r>
          </w:p>
        </w:tc>
      </w:tr>
      <w:tr>
        <w:trPr/>
        <w:tc>
          <w:tcPr>
            <w:tcW w:w="60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Evansville</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75" w:type="dxa"/>
            <w:tcBorders/>
            <w:shd w:fill="FFFFFF" w:val="clear"/>
            <w:tcMar>
              <w:bottom w:w="0" w:type="dxa"/>
            </w:tcMar>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 2018</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Indiana</w:t>
            </w:r>
          </w:p>
        </w:tc>
      </w:tr>
    </w:tbl>
    <w:p>
      <w:pPr>
        <w:pStyle w:val="TextBody"/>
        <w:spacing w:before="0" w:after="0"/>
        <w:rPr/>
      </w:pPr>
      <w:r>
        <w:rPr/>
        <w:t> </w:t>
      </w:r>
    </w:p>
    <w:tbl>
      <w:tblPr>
        <w:tblW w:w="4720" w:type="dxa"/>
        <w:jc w:val="left"/>
        <w:tblInd w:w="0" w:type="dxa"/>
        <w:tblCellMar>
          <w:top w:w="0" w:type="dxa"/>
          <w:left w:w="0" w:type="dxa"/>
          <w:bottom w:w="0" w:type="dxa"/>
          <w:right w:w="0" w:type="dxa"/>
        </w:tblCellMar>
      </w:tblPr>
      <w:tblGrid>
        <w:gridCol w:w="60"/>
        <w:gridCol w:w="215"/>
        <w:gridCol w:w="444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15"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4445"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Property was aggregated into segment prior to January 1, 2016.</w:t>
            </w:r>
          </w:p>
        </w:tc>
      </w:tr>
    </w:tbl>
    <w:tbl>
      <w:tblPr>
        <w:tblW w:w="6850" w:type="dxa"/>
        <w:jc w:val="left"/>
        <w:tblInd w:w="0" w:type="dxa"/>
        <w:tblCellMar>
          <w:top w:w="0" w:type="dxa"/>
          <w:left w:w="0" w:type="dxa"/>
          <w:bottom w:w="0" w:type="dxa"/>
          <w:right w:w="0" w:type="dxa"/>
        </w:tblCellMar>
      </w:tblPr>
      <w:tblGrid>
        <w:gridCol w:w="60"/>
        <w:gridCol w:w="230"/>
        <w:gridCol w:w="656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3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656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Presque Isle Downs was sold on January 11, 2019 and Nemacolin was sold on March 8, 2019.</w:t>
            </w:r>
          </w:p>
        </w:tc>
      </w:tr>
    </w:tbl>
    <w:tbl>
      <w:tblPr>
        <w:tblW w:w="4315" w:type="dxa"/>
        <w:jc w:val="left"/>
        <w:tblInd w:w="0" w:type="dxa"/>
        <w:tblCellMar>
          <w:top w:w="0" w:type="dxa"/>
          <w:left w:w="0" w:type="dxa"/>
          <w:bottom w:w="0" w:type="dxa"/>
          <w:right w:w="0" w:type="dxa"/>
        </w:tblCellMar>
      </w:tblPr>
      <w:tblGrid>
        <w:gridCol w:w="60"/>
        <w:gridCol w:w="215"/>
        <w:gridCol w:w="404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15"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w:t>
            </w:r>
          </w:p>
        </w:tc>
        <w:tc>
          <w:tcPr>
            <w:tcW w:w="404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Property currently pending sale (see Note 5 and Note 18).</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Presentation of Financial Information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presentation of information herein for periods prior to our acquisitions of Elgin and Tropicana and after our acquisitions of Elgin and Tropicana are not fully comparable because the results of operations for Elgin and Tropicana are not included for periods prior to August 7, 2018 and October 1, 2018, respectively. Additionally, the Company closed on its sales of Presque Isle Downs and Nemacolin on January 11, 2019 and March 8, 2019, respectively.</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Summary financial results of Tropicana for the three and six months ended June 30, 2018 is included in Tropicana’s Quarterly Report on Form 10-Q as filed with the SEC. In conjunction with our acquisition of Tropicana, Tropicana was no longer required to file quarterly and annual reports with the SEC and terminated its registration on October 1, 2018.</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unaudited consolidated financial statements and the notes to those statements included in this Quarterly Report on Form 10-Q. </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Key Performance Metrics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primary source of revenue is generated by our gaming operations, but we use our hotels, restaurants, bars, entertainment, retail shops, racing and other services to attract customers to our properties. Our operating results are highly dependent on the volume and quality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Significant Factors Impacting Financial Results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summary highlights the significant factors impacting our financial results for the three and six months ended June 30, 2019 and 2018.</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Elgin Acquisition –</w:t>
            </w:r>
            <w:r>
              <w:rPr>
                <w:rFonts w:ascii="Times New Roman" w:hAnsi="Times New Roman"/>
                <w:b w:val="false"/>
                <w:i w:val="false"/>
                <w:caps w:val="false"/>
                <w:smallCaps w:val="false"/>
                <w:sz w:val="17"/>
              </w:rPr>
              <w:t xml:space="preserve"> Our results of operations for the three and six months ended June 30, 2019 include incremental revenues and expenses attributable to Elgin. Transaction expenses related to our acquisition of Elgin totaled $14 thousand and $0.7 million, respectively, for the three months ended June 30, 2019 and 2018, and $45 thousand and $1.3 million for the six months ended June 30, 2019 and 2018.</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Tropicana Acquisition</w:t>
            </w:r>
            <w:r>
              <w:rPr>
                <w:rFonts w:ascii="Times New Roman" w:hAnsi="Times New Roman"/>
                <w:b w:val="false"/>
                <w:i w:val="false"/>
                <w:caps w:val="false"/>
                <w:smallCaps w:val="false"/>
                <w:sz w:val="17"/>
              </w:rPr>
              <w:t xml:space="preserve"> – Our results of operations for the three and six months ended June 30, 2019 include incremental revenues and expenses attributable to the seven properties we acquired in our acquisition of Tropicana on October 1, 2018. Transaction expenses related to our acquisition of Tropicana totaled $1.1 million and $2.5 million, respectively, for the three months ended June 30, 2019 and 2018, and $2.5 million and $3.5 million for the six months ended June 30, 2019 and 2018.</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 xml:space="preserve">Isle Acquisition – </w:t>
            </w:r>
            <w:r>
              <w:rPr>
                <w:rFonts w:ascii="Times New Roman" w:hAnsi="Times New Roman"/>
                <w:b w:val="false"/>
                <w:i w:val="false"/>
                <w:caps w:val="false"/>
                <w:smallCaps w:val="false"/>
                <w:sz w:val="17"/>
              </w:rPr>
              <w:t>Transaction expenses related to our acquisition of Isle totaled $0.2 million and $1.1 million for the three and six months ended June 30, 2018.</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 xml:space="preserve">Master Lease </w:t>
            </w:r>
            <w:r>
              <w:rPr>
                <w:rFonts w:ascii="Times New Roman" w:hAnsi="Times New Roman"/>
                <w:b w:val="false"/>
                <w:i w:val="false"/>
                <w:caps w:val="false"/>
                <w:smallCaps w:val="false"/>
                <w:sz w:val="17"/>
              </w:rPr>
              <w:t>– We account for the Master Lease entered into effective October 1, 2019 with GLPI as a direct financing obligation. As a result, we recorded minimum lease payments and amortization of the direct financing obligation totaling $24.6 million and $49.2 million as interest expense for the three and six months ended June 30, 2019, respectively.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Tropicana Financing –</w:t>
            </w:r>
            <w:r>
              <w:rPr>
                <w:rFonts w:ascii="Times New Roman" w:hAnsi="Times New Roman"/>
                <w:b w:val="false"/>
                <w:i w:val="false"/>
                <w:caps w:val="false"/>
                <w:smallCaps w:val="false"/>
                <w:sz w:val="17"/>
              </w:rPr>
              <w:t xml:space="preserve"> On September 20, 2018 we issued $600 million aggregate principal amount of 6.0% senior notes due 2026. The proceeds from the notes were used to fund the Tropicana Acquisition which closed on October 1, 2018. We incurred $9.0 million and $18.0 million of incremental interest expense associated with the new senior notes for the three and six months ended June 30, 2019, respectively.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William Hill and TSG –</w:t>
            </w:r>
            <w:r>
              <w:rPr>
                <w:rFonts w:ascii="Times New Roman" w:hAnsi="Times New Roman"/>
                <w:b w:val="false"/>
                <w:i w:val="false"/>
                <w:caps w:val="false"/>
                <w:smallCaps w:val="false"/>
                <w:sz w:val="17"/>
              </w:rPr>
              <w:t xml:space="preserve"> The amortization of deferred revenues associated with the William Hill and TSG agreements totaled $1.8 million and $3.1 million for the three and six months ended June 30, 2019, respectively, and is included in other revenues and operating income.</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51</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Divestitures</w:t>
            </w:r>
            <w:r>
              <w:rPr>
                <w:rFonts w:ascii="Times New Roman" w:hAnsi="Times New Roman"/>
                <w:b w:val="false"/>
                <w:i w:val="false"/>
                <w:caps w:val="false"/>
                <w:smallCaps w:val="false"/>
                <w:sz w:val="17"/>
              </w:rPr>
              <w:t xml:space="preserve"> – The sales of Presque Isle Downs and Nemacolin met the requirements for presentation as assets held for sale under generally accepted accounting principles. However, they did not meet the requirements for presentation as discontinued operations and are included in income from continuing operations for the six months ended June 30, 2019 and 2018 prior to their respective sale closing dates. We closed on the sale of Presque Isle Downs on January 11, 2019 and recorded a gain on sale of approximately $22.1 million for the six months ended June 30, 2019. We closed on the sale of Nemacolin on March 8, 2019 and recorded a gain on sale of $0.1 million for the six months ended June 30, 2019. </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conjunction with the classification of Vicksburg’s operations as assets held for sale at June 30, 2018 as a result of the announced sale to CDI, an impairment charge totaling $9.8 million was recorded due to the carrying value exceeding the estimated net sales proceeds. Effective July 6, 2018, the sale of Vicksburg was terminated, and Vicksburg was no longer presented as an asset held for sale as of July 31, 2018. In connection with this termination, CDI paid us a $5.0 million termination fee.</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sales of Mountaineer, Cape Girardeau and Caruthersville met the requirements for presentation as assets held for sale under generally accepted accounting principles as of June 30, 2019. However, they did not meet the requirements for presentation as discontinued operations and are included in income from continuing operations.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spacing w:val="-2"/>
              </w:rPr>
            </w:pPr>
            <w:r>
              <w:rPr>
                <w:caps w:val="false"/>
                <w:smallCaps w:val="false"/>
                <w:spacing w:val="-2"/>
              </w:rPr>
              <w:t> </w:t>
            </w:r>
          </w:p>
        </w:tc>
        <w:tc>
          <w:tcPr>
            <w:tcW w:w="110" w:type="dxa"/>
            <w:tcBorders/>
            <w:shd w:fill="auto" w:val="clear"/>
          </w:tcPr>
          <w:p>
            <w:pPr>
              <w:pStyle w:val="TableContents"/>
              <w:spacing w:before="120" w:after="0"/>
              <w:rPr>
                <w:caps w:val="false"/>
                <w:smallCaps w:val="false"/>
                <w:spacing w:val="-2"/>
              </w:rPr>
            </w:pPr>
            <w:r>
              <w:rPr>
                <w:caps w:val="false"/>
                <w:smallCaps w:val="false"/>
                <w:spacing w:val="-2"/>
              </w:rPr>
              <w:t>•</w:t>
            </w:r>
          </w:p>
        </w:tc>
        <w:tc>
          <w:tcPr>
            <w:tcW w:w="10035" w:type="dxa"/>
            <w:tcBorders/>
            <w:shd w:fill="auto" w:val="clear"/>
          </w:tcPr>
          <w:p>
            <w:pPr>
              <w:pStyle w:val="TableContents"/>
              <w:spacing w:before="120" w:after="0"/>
              <w:rPr>
                <w:rFonts w:ascii="Times New Roman" w:hAnsi="Times New Roman"/>
                <w:b w:val="false"/>
                <w:i w:val="false"/>
                <w:caps w:val="false"/>
                <w:smallCaps w:val="false"/>
                <w:spacing w:val="-2"/>
                <w:sz w:val="17"/>
              </w:rPr>
            </w:pPr>
            <w:r>
              <w:rPr>
                <w:rFonts w:ascii="Times New Roman" w:hAnsi="Times New Roman"/>
                <w:b w:val="false"/>
                <w:i/>
                <w:caps w:val="false"/>
                <w:smallCaps w:val="false"/>
                <w:spacing w:val="-2"/>
                <w:sz w:val="17"/>
              </w:rPr>
              <w:t>Execution of Synergies and Cost Savings Programs</w:t>
            </w:r>
            <w:r>
              <w:rPr>
                <w:rFonts w:ascii="Times New Roman" w:hAnsi="Times New Roman"/>
                <w:b w:val="false"/>
                <w:i w:val="false"/>
                <w:caps w:val="false"/>
                <w:smallCaps w:val="false"/>
                <w:spacing w:val="-2"/>
                <w:sz w:val="17"/>
              </w:rPr>
              <w:t xml:space="preserve"> – We continue to identify areas to improve property level and consolidated margins across our existing and acquired properties through operating and cost efficiencies, including reductions in revenues associated with unprofitable customer play, and exercising financial discipline throughout the company. In addition to cost savings relating to duplicative executive compensation, legal and accounting fees and other corporate expenses that have been eliminated as a result of our acquisitions, we have achieved savings in marketing, food and beverage costs, selling, general and administrative expenses, and other operating departments as a result of operating efficiencies, changes in marketing strategies and purchasing power of the combined Eldorado organization.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Property Enhancement Capital Expenditures</w:t>
            </w:r>
            <w:r>
              <w:rPr>
                <w:rFonts w:ascii="Times New Roman" w:hAnsi="Times New Roman"/>
                <w:b w:val="false"/>
                <w:i w:val="false"/>
                <w:caps w:val="false"/>
                <w:smallCaps w:val="false"/>
                <w:sz w:val="17"/>
              </w:rPr>
              <w:t xml:space="preserve"> – Property enhancement initiatives and targeted investments that improve our guests’ experiences and elevate our properties’ overall competitiveness in their markets continued throughout 2018 and during the three and six months ended June 30, 2019. </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part of the continuing evolution of the Reno tri-properties, we built a new 21,000 square foot spa at Silver Legacy which opened in early October 2018. We have substantially renovated every room at Circus Reno and completed the first phase of room renovations at Silver Legacy and Eldorado. We will start the second phase of renovations of approximately 1,200 rooms at Silver Legacy and Eldorado in the third quarter of 2019. In Black Hawk we completed our renovation of all 402 hotel rooms and refresh of the casino floor in June 2019. In addition, our joint venture with Cordish continues to make progress on development plans of a new, mixed-use entertainment and hospitality destination anchored by our Isle Casino Racing Pompano Park. At Tropicana Atlantic City, we opened an expansive, new sportsbook in the fourth quarter of 2018.</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caps w:val="false"/>
                <w:smallCaps w:val="false"/>
                <w:sz w:val="17"/>
              </w:rPr>
              <w:t>Weather and Construction Disruption</w:t>
            </w:r>
            <w:r>
              <w:rPr>
                <w:rFonts w:ascii="Times New Roman" w:hAnsi="Times New Roman"/>
                <w:b w:val="false"/>
                <w:i w:val="false"/>
                <w:caps w:val="false"/>
                <w:smallCaps w:val="false"/>
                <w:sz w:val="17"/>
              </w:rPr>
              <w:t xml:space="preserve"> – All of our segments, and to a greater extent, our Midwest regions, were negatively impacted by weather for the three and six months ended June 30, 2019 compared to the same prior year period.  Additionally, our West segment was negatively impacted by disruption to our casino floor and hotel availability associated with our renovation project at our Black Hawk property throughout the six months ended June 30, 2019.</w:t>
            </w:r>
          </w:p>
        </w:tc>
      </w:tr>
    </w:tbl>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Results of Operations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highlights the results of our operations (dollars in thousands):</w:t>
      </w:r>
    </w:p>
    <w:p>
      <w:pPr>
        <w:pStyle w:val="TextBody"/>
        <w:spacing w:before="0" w:after="0"/>
        <w:rPr>
          <w:caps w:val="false"/>
          <w:smallCaps w:val="false"/>
        </w:rPr>
      </w:pPr>
      <w:r>
        <w:rPr>
          <w:caps w:val="false"/>
          <w:smallCaps w:val="false"/>
        </w:rPr>
        <w:t> </w:t>
      </w:r>
    </w:p>
    <w:tbl>
      <w:tblPr>
        <w:tblW w:w="6630" w:type="dxa"/>
        <w:jc w:val="left"/>
        <w:tblInd w:w="0" w:type="dxa"/>
        <w:tblCellMar>
          <w:top w:w="0" w:type="dxa"/>
          <w:left w:w="0" w:type="dxa"/>
          <w:bottom w:w="0" w:type="dxa"/>
          <w:right w:w="0" w:type="dxa"/>
        </w:tblCellMar>
      </w:tblPr>
      <w:tblGrid>
        <w:gridCol w:w="1265"/>
        <w:gridCol w:w="60"/>
        <w:gridCol w:w="110"/>
        <w:gridCol w:w="60"/>
        <w:gridCol w:w="605"/>
        <w:gridCol w:w="60"/>
        <w:gridCol w:w="60"/>
        <w:gridCol w:w="110"/>
        <w:gridCol w:w="60"/>
        <w:gridCol w:w="605"/>
        <w:gridCol w:w="60"/>
        <w:gridCol w:w="60"/>
        <w:gridCol w:w="61"/>
        <w:gridCol w:w="409"/>
        <w:gridCol w:w="80"/>
        <w:gridCol w:w="155"/>
        <w:gridCol w:w="60"/>
        <w:gridCol w:w="60"/>
        <w:gridCol w:w="110"/>
        <w:gridCol w:w="60"/>
        <w:gridCol w:w="740"/>
        <w:gridCol w:w="60"/>
        <w:gridCol w:w="60"/>
        <w:gridCol w:w="110"/>
        <w:gridCol w:w="60"/>
        <w:gridCol w:w="605"/>
        <w:gridCol w:w="60"/>
        <w:gridCol w:w="60"/>
        <w:gridCol w:w="71"/>
        <w:gridCol w:w="399"/>
        <w:gridCol w:w="80"/>
        <w:gridCol w:w="155"/>
        <w:gridCol w:w="60"/>
      </w:tblGrid>
      <w:tr>
        <w:trPr/>
        <w:tc>
          <w:tcPr>
            <w:tcW w:w="126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5"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5"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Change</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Change</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637,121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456,802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1,272,944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896,994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102,550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77,414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226,154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131,608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2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18,936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36,796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57,165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57,651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52</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caps w:val="false"/>
          <w:smallCaps w:val="false"/>
          <w:sz w:val="17"/>
        </w:rPr>
      </w:pPr>
      <w:r>
        <w:rPr>
          <w:rFonts w:ascii="Times New Roman" w:hAnsi="Times New Roman"/>
          <w:b w:val="false"/>
          <w:i/>
          <w:caps w:val="false"/>
          <w:smallCaps w:val="false"/>
          <w:sz w:val="17"/>
        </w:rPr>
        <w:t>Operating Results</w:t>
      </w:r>
      <w:r>
        <w:rPr>
          <w:rFonts w:ascii="Times New Roman" w:hAnsi="Times New Roman"/>
          <w:b w:val="false"/>
          <w:i w:val="false"/>
          <w:caps w:val="false"/>
          <w:smallCaps w:val="false"/>
          <w:sz w:val="17"/>
        </w:rPr>
        <w:t>.  Including incremental net revenues totaling $250.5</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million generated by Elgin and the Tropicana properties,</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net revenues rose 39.5% for the three</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months ended June 30, 2019 compared to the same prior year period.</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For the six</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months ended June 30, 2019 compared to the same prior year period, Elgin and Tropicana contributed incremental net revenues totaling $494.8</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million resulting in a 41.9% increase in net revenues for the six</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months ended June 30, 2019 compared to the same prior year period. Excluding the impact of our</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acquisitions and the divestitures</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of Presque Isle Downs and Nemacolin, net revenues decreased 6.0%</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and 4.9%, respectively,</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for the three and six</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months ended June 30, 2019 compared to the same prior year period</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mainly due to the significant factors described above.</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These decreases were offset by the incremental revenues recognized from our new sports betting partnerships for the three and six months ended June 30, 2019 compared to the same prior year periods.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Operating income increased $25.1 million and $94.6 million, or 32.5% and 71.8%, for the three and six months ended June 30, 2019, respectively, compared to the same prior year periods mainly due to incremental operating income contributed by the acquired Elgin and Tropicana properties. Excluding the impact of our acquisitions and divestitures, operating income decreased 20.0% for the three months ended June 30, 2019 due to higher depreciation expense and transaction costs associated with the Tropicana and Caesars transactions. For the six months ended June 30, 2019, we recorded a $22.1 million net gain on the sale of assets associated with the sales of Presque Isle Downs and Nemacolin resulting in an increase in operating income of 15.3%.</w:t>
      </w:r>
    </w:p>
    <w:p>
      <w:pPr>
        <w:pStyle w:val="TextBody"/>
        <w:spacing w:before="240" w:after="0"/>
        <w:ind w:left="72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income decreased $17.9 million and $0.5 million, respectively, for the three and six months ended June 30, 2019, compared to the same prior year periods principally due to the same factors impacting operating income. Additionally, higher interest expense for the three and six months ended June 30, 2019 compared to the same prior year periods resulting from increased debt associated with the Tropicana Acquisition and amortization of the direct financing obligation associated with the Master Lease also contributed to the declines.</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Net Revenues and Operating Income (Loss)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tables highlight our net revenues and operating income (loss) by reportable segment (dollars in thousands):</w:t>
      </w:r>
    </w:p>
    <w:p>
      <w:pPr>
        <w:pStyle w:val="TextBody"/>
        <w:spacing w:before="0" w:after="0"/>
        <w:rPr/>
      </w:pPr>
      <w:r>
        <w:rPr/>
        <w:t> </w:t>
      </w:r>
    </w:p>
    <w:tbl>
      <w:tblPr>
        <w:tblW w:w="4698" w:type="dxa"/>
        <w:jc w:val="left"/>
        <w:tblInd w:w="0" w:type="dxa"/>
        <w:tblCellMar>
          <w:top w:w="0" w:type="dxa"/>
          <w:left w:w="0" w:type="dxa"/>
          <w:bottom w:w="28" w:type="dxa"/>
          <w:right w:w="0" w:type="dxa"/>
        </w:tblCellMar>
      </w:tblPr>
      <w:tblGrid>
        <w:gridCol w:w="710"/>
        <w:gridCol w:w="60"/>
        <w:gridCol w:w="110"/>
        <w:gridCol w:w="60"/>
        <w:gridCol w:w="740"/>
        <w:gridCol w:w="60"/>
        <w:gridCol w:w="60"/>
        <w:gridCol w:w="110"/>
        <w:gridCol w:w="60"/>
        <w:gridCol w:w="605"/>
        <w:gridCol w:w="60"/>
        <w:gridCol w:w="60"/>
        <w:gridCol w:w="125"/>
        <w:gridCol w:w="68"/>
        <w:gridCol w:w="689"/>
        <w:gridCol w:w="91"/>
        <w:gridCol w:w="68"/>
        <w:gridCol w:w="125"/>
        <w:gridCol w:w="68"/>
        <w:gridCol w:w="689"/>
        <w:gridCol w:w="80"/>
      </w:tblGrid>
      <w:tr>
        <w:trPr/>
        <w:tc>
          <w:tcPr>
            <w:tcW w:w="71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5"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Net Revenues for the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3"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Operating Income (Loss) for the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2"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9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2"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127,727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117,880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20,613</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97,239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100,607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29,012</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27,411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116,937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112,242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19,023</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20,564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170,455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125,961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35,213</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122,792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28,033</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(29,344</w:t>
            </w:r>
          </w:p>
        </w:tc>
        <w:tc>
          <w:tcPr>
            <w:tcW w:w="91"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(16,823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71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637,121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456,802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102,550</w:t>
            </w:r>
          </w:p>
        </w:tc>
        <w:tc>
          <w:tcPr>
            <w:tcW w:w="9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77,414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5"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Net Revenues for the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23" w:type="dxa"/>
            <w:gridSpan w:val="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Operating Income (Loss) for the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2"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82"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245,822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217,459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31,414</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32,004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194,026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201,402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56,845</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54,087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249,651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235,042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46,538</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33,923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336,688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242,852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62,374</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43,528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243,264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55,103</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(26,120</w:t>
            </w:r>
          </w:p>
        </w:tc>
        <w:tc>
          <w:tcPr>
            <w:tcW w:w="91"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(31,934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71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1,272,944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896,994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226,154</w:t>
            </w:r>
          </w:p>
        </w:tc>
        <w:tc>
          <w:tcPr>
            <w:tcW w:w="9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131,608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53</w:t>
      </w:r>
    </w:p>
    <w:p>
      <w:pPr>
        <w:pStyle w:val="HorizontalLine"/>
        <w:rPr/>
      </w:pPr>
      <w:r>
        <w:rPr/>
      </w:r>
    </w:p>
    <w:p>
      <w:pPr>
        <w:pStyle w:val="TextBody"/>
        <w:spacing w:before="0" w:after="0"/>
        <w:rPr/>
      </w:pPr>
      <w:r>
        <w:rPr/>
        <w:t> </w:t>
      </w:r>
    </w:p>
    <w:p>
      <w:pPr>
        <w:pStyle w:val="TextBody"/>
        <w:spacing w:before="160" w:after="0"/>
        <w:rPr>
          <w:rFonts w:ascii="Times New Roman" w:hAnsi="Times New Roman"/>
          <w:b/>
          <w:i/>
          <w:caps w:val="false"/>
          <w:smallCaps w:val="false"/>
          <w:sz w:val="17"/>
        </w:rPr>
      </w:pPr>
      <w:r>
        <w:rPr>
          <w:rFonts w:ascii="Times New Roman" w:hAnsi="Times New Roman"/>
          <w:b/>
          <w:i/>
          <w:caps w:val="false"/>
          <w:smallCaps w:val="false"/>
          <w:sz w:val="17"/>
        </w:rPr>
        <w:t>Three Months Ended June 30, 2019 Compared to the Three Months Ended June 30, 2018</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revenues and operating expenses were as follows (dollars in thousands):</w:t>
      </w:r>
    </w:p>
    <w:p>
      <w:pPr>
        <w:pStyle w:val="TextBody"/>
        <w:spacing w:before="0" w:after="0"/>
        <w:rPr/>
      </w:pPr>
      <w:r>
        <w:rPr/>
        <w:t> </w:t>
      </w:r>
    </w:p>
    <w:tbl>
      <w:tblPr>
        <w:tblW w:w="6730" w:type="dxa"/>
        <w:jc w:val="left"/>
        <w:tblInd w:w="0" w:type="dxa"/>
        <w:tblCellMar>
          <w:top w:w="0" w:type="dxa"/>
          <w:left w:w="0" w:type="dxa"/>
          <w:bottom w:w="0" w:type="dxa"/>
          <w:right w:w="0" w:type="dxa"/>
        </w:tblCellMar>
      </w:tblPr>
      <w:tblGrid>
        <w:gridCol w:w="3110"/>
        <w:gridCol w:w="60"/>
        <w:gridCol w:w="110"/>
        <w:gridCol w:w="60"/>
        <w:gridCol w:w="605"/>
        <w:gridCol w:w="60"/>
        <w:gridCol w:w="60"/>
        <w:gridCol w:w="110"/>
        <w:gridCol w:w="60"/>
        <w:gridCol w:w="605"/>
        <w:gridCol w:w="60"/>
        <w:gridCol w:w="60"/>
        <w:gridCol w:w="110"/>
        <w:gridCol w:w="60"/>
        <w:gridCol w:w="605"/>
        <w:gridCol w:w="80"/>
        <w:gridCol w:w="60"/>
        <w:gridCol w:w="60"/>
        <w:gridCol w:w="560"/>
        <w:gridCol w:w="80"/>
        <w:gridCol w:w="155"/>
      </w:tblGrid>
      <w:tr>
        <w:trPr/>
        <w:tc>
          <w:tcPr>
            <w:tcW w:w="311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70"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70"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Percent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Variance</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Change</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Gaming and Pari-Mutuel Commissions: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55,328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57,696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(2,368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85,223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87,448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(2,225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94,872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91,584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3,288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124,051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111,992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12,059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97,523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97,523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Gaming and Pari-Mutuel Commissions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456,997</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348,720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108,277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Non-gaming:</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72,399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60,184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12,215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12,016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13,159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(1,143</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22,065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20,658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1,407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46,404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13,969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32,435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232.2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25,269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25,269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1,971</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1,859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1,659.8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Non-gaming</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180,124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108,082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72,042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66.7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Net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637,121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456,802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180,319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Gaming and Pari-Mutuel Commissions: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20,862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21,327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34,176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35,530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(1,354</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45,377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43,631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1,746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59,057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69,457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(10,400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43,768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43,768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Gaming and Pari-Mutuel Commissions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203,240</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169,945</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33,295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Non-gaming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38,634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36,690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1,944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7,802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(19.0</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13,624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13,485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23,884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8,798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15,086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171.5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12,891</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12,891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Non-gaming</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95,356</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66,775</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28,581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42.8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Marketing and promotions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32,080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21,832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10,248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General and administrative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117,431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73,745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43,686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21,051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12,232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Impairment charges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56,533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31,910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24,623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Operating Expenses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525,691</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376,439</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149,252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bl>
    <w:p>
      <w:pPr>
        <w:pStyle w:val="TextBody"/>
        <w:spacing w:before="0" w:after="0"/>
        <w:rPr/>
      </w:pPr>
      <w:r>
        <w:rPr/>
        <w:t> </w:t>
      </w:r>
    </w:p>
    <w:p>
      <w:pPr>
        <w:pStyle w:val="TextBody"/>
        <w:spacing w:before="40" w:after="0"/>
        <w:rPr>
          <w:rFonts w:ascii="Times New Roman" w:hAnsi="Times New Roman"/>
          <w:b w:val="false"/>
          <w:i/>
          <w:caps w:val="false"/>
          <w:smallCaps w:val="false"/>
          <w:sz w:val="17"/>
        </w:rPr>
      </w:pPr>
      <w:r>
        <w:rPr>
          <w:rFonts w:ascii="Times New Roman" w:hAnsi="Times New Roman"/>
          <w:b w:val="false"/>
          <w:i/>
          <w:caps w:val="false"/>
          <w:smallCaps w:val="false"/>
          <w:sz w:val="17"/>
        </w:rPr>
        <w:t>Gaming Revenues and Pari-Mutuel Commissions.  </w:t>
      </w:r>
      <w:r>
        <w:rPr>
          <w:rFonts w:ascii="Times New Roman" w:hAnsi="Times New Roman"/>
          <w:b w:val="false"/>
          <w:i w:val="false"/>
          <w:caps w:val="false"/>
          <w:smallCaps w:val="false"/>
          <w:sz w:val="17"/>
        </w:rPr>
        <w:t>Elgin and Tropicana contributed $169.9 million of incremental gaming revenues and pari-mutuel commissions for the three months ended June 30, 2019 compared to the same prior year period. This increase was partially offset by the decline in revenues associated with the divestitures of Presque Isle Downs and Nemacolin for the three months ended June 30, 2019 compared to the same prior year period, resulting in a 31.0% increase in gaming revenues and pari-mutuel commissions.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54</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gaming revenues and pari-mutuel commissions and the impact of the Presque Isle Downs and Nemacolin divestitures, gaming revenues and pari-mutuel commissions decreased 6.5% for the three months ended June 30, 2019 compared to the same prior year period due to reductions in casino volume associated with changes in promotional activity. Additionally, a lower table games hold percentage in our East segment, construction disruption in our West segment and weather in our Midwest and South segments contributed to the declines in casino revenues for the current period. Furthermore, the absence of a major bowling tournament in the Reno market also affected the West region’s visitation and casino volume.</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Non-gaming Revenues</w:t>
      </w:r>
      <w:r>
        <w:rPr>
          <w:rFonts w:ascii="Times New Roman" w:hAnsi="Times New Roman"/>
          <w:b w:val="false"/>
          <w:i w:val="false"/>
          <w:caps w:val="false"/>
          <w:smallCaps w:val="false"/>
          <w:sz w:val="17"/>
        </w:rPr>
        <w:t xml:space="preserve">.  Elgin and Tropicana contributed $80.6 million of incremental non-gaming revenues for the three months ended June 30, 2019, which was partially offset by declines in non-gaming revenues attributable to the Presque Isle Downs and Nemacolin divestitures, resulting in an increase of 66.7%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non-gaming revenues and the impact of the Presque Isle Downs and Nemacolin divestitures, non-gaming revenues decreased 4.6% for the three months ended June 30, 2019 compared to the same prior year period. This decline was primarily driven by the West segment, resulting from changes in promotional activity and construction disruption that negatively impacted visitor traffic.</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Gaming Expenses and Pari-Mutuel Commissions</w:t>
      </w:r>
      <w:r>
        <w:rPr>
          <w:rFonts w:ascii="Times New Roman" w:hAnsi="Times New Roman"/>
          <w:b w:val="false"/>
          <w:i w:val="false"/>
          <w:caps w:val="false"/>
          <w:smallCaps w:val="false"/>
          <w:sz w:val="17"/>
        </w:rPr>
        <w:t xml:space="preserve">. Elgin and Tropicana contributed $70.0 million of incremental gaming expenses and pari-mutuel commissions for the three months ended June 30, 2019, which was partially offset by the Presque Isle Downs and Nemacolin divestitures, resulting in an increase of 19.6% in gaming expenses and pari-mutuel commissions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Excluding incremental Elgin and Tropicana gaming expenses and pari-mutuel commissions, and the impact of the Presque Isle Downs and Nemacolin divestitures, gaming expenses and pari-mutuel commissions decreased 5.7% for the three months ended June 30, 2019 compared to the same prior year period. Gaming expenses declined in comparison to the same prior year period due to lower volume combined with savings initiatives targeted at reducing variable expenses. </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Non-gaming Expenses</w:t>
      </w:r>
      <w:r>
        <w:rPr>
          <w:rFonts w:ascii="Times New Roman" w:hAnsi="Times New Roman"/>
          <w:b w:val="false"/>
          <w:i w:val="false"/>
          <w:caps w:val="false"/>
          <w:smallCaps w:val="false"/>
          <w:sz w:val="17"/>
        </w:rPr>
        <w:t>.  Elgin and Tropicana contributed $39.6 million of incremental non-gaming expenses for the three months ended June 30, 2019, which was partially offset by the Presque Isle Downs and Nemacolin divestitures, resulting in an increase of 42.8% over the same prior year period.</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non-gaming expenses, and the impact of the Presque Isle Downs and Nemacolin divestitures, non-gaming expenses decreased 12.8% for the three months ended June 30, 2019 compared to the same prior year period. Decreased non-gaming expenses across all segments were associated with lower non-gaming revenues along with continued efforts to reduce variable expenses including labor and cost of sales.</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Marketing and Promotions Expenses</w:t>
      </w:r>
      <w:r>
        <w:rPr>
          <w:rFonts w:ascii="Times New Roman" w:hAnsi="Times New Roman"/>
          <w:b w:val="false"/>
          <w:i w:val="false"/>
          <w:caps w:val="false"/>
          <w:smallCaps w:val="false"/>
          <w:sz w:val="17"/>
        </w:rPr>
        <w:t xml:space="preserve">.  Elgin and Tropicana contributed $16.7 million of incremental marketing and promotions expense for the three months ended June 30, 2019, which was partially offset by the Presque Isle Downs and Nemacolin divestitures, resulting in an increase of 46.9%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marketing and promotions expenses, and the impact of the Presque Isle Downs and Nemacolin divestitures, consolidated marketing and promotions expense decreased 24.6% for the three months ended June 30, 2019 compared to the same prior year period. This decline was primarily due to savings achieved via the termination of certain marketing contracts and continued company-wide changes in marketing and promotional activity.  </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General and Administrative Expenses</w:t>
      </w:r>
      <w:r>
        <w:rPr>
          <w:rFonts w:ascii="Times New Roman" w:hAnsi="Times New Roman"/>
          <w:b w:val="false"/>
          <w:i w:val="false"/>
          <w:caps w:val="false"/>
          <w:smallCaps w:val="false"/>
          <w:sz w:val="17"/>
        </w:rPr>
        <w:t>.  Elgin and Tropicana contributed $52.6 million of general and administrative expense for the three months ended June 30, 2019, which was partially offset by the Presque Isle Downs and Nemacolin dispositions, resulting in an increase of 59.2%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general and administrative expenses, and the impact of the Presque Isle Downs and Nemacolin divestitures, consolidated general and administrative expenses decreased 4.0% for the three months ended June 30, 2019 compared to the same prior year period mainly due to the centralization of certain services provided to our properties and realized savings achieved through consolidated purchasing programs.</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Corporate Expenses</w:t>
      </w:r>
      <w:r>
        <w:rPr>
          <w:rFonts w:ascii="Times New Roman" w:hAnsi="Times New Roman"/>
          <w:b w:val="false"/>
          <w:i w:val="false"/>
          <w:caps w:val="false"/>
          <w:smallCaps w:val="false"/>
          <w:sz w:val="17"/>
        </w:rPr>
        <w:t>.  For the three months ended June 30, 2019 compared to the same prior year period, corporate expenses increased primarily due to payroll and other expenses associated with additional corporate costs, including stock compensation expense, driven by growth related to the Company’s acquisitions. Additionally, an increase in severance expense also drove the increase in corporate expense for the current quarter.</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55</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Depreciation and Amortization Expense</w:t>
      </w:r>
      <w:r>
        <w:rPr>
          <w:rFonts w:ascii="Times New Roman" w:hAnsi="Times New Roman"/>
          <w:b w:val="false"/>
          <w:i w:val="false"/>
          <w:caps w:val="false"/>
          <w:smallCaps w:val="false"/>
          <w:sz w:val="17"/>
        </w:rPr>
        <w:t>.  Elgin and Tropicana contributed $25.0</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million of depreciation and amortization expense for the three months ended June 30, 2019 resulting in an increase of 77.2%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depreciation and amortization expense, depreciation and amortization expense was relatively flat for the three months ended June 30, 2019 compared to the same prior year period.</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Six Months Ended June 30, 2019 Compared to the Six Months Ended June 30, 2018</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revenues and operating expenses were as follows (dollars in thousands):</w:t>
      </w:r>
    </w:p>
    <w:p>
      <w:pPr>
        <w:pStyle w:val="TextBody"/>
        <w:spacing w:before="0" w:after="0"/>
        <w:rPr/>
      </w:pPr>
      <w:r>
        <w:rPr/>
        <w:t> </w:t>
      </w:r>
    </w:p>
    <w:tbl>
      <w:tblPr>
        <w:tblW w:w="6865" w:type="dxa"/>
        <w:jc w:val="left"/>
        <w:tblInd w:w="0" w:type="dxa"/>
        <w:tblCellMar>
          <w:top w:w="0" w:type="dxa"/>
          <w:left w:w="0" w:type="dxa"/>
          <w:bottom w:w="0" w:type="dxa"/>
          <w:right w:w="0" w:type="dxa"/>
        </w:tblCellMar>
      </w:tblPr>
      <w:tblGrid>
        <w:gridCol w:w="3110"/>
        <w:gridCol w:w="60"/>
        <w:gridCol w:w="110"/>
        <w:gridCol w:w="60"/>
        <w:gridCol w:w="740"/>
        <w:gridCol w:w="60"/>
        <w:gridCol w:w="60"/>
        <w:gridCol w:w="110"/>
        <w:gridCol w:w="60"/>
        <w:gridCol w:w="605"/>
        <w:gridCol w:w="60"/>
        <w:gridCol w:w="60"/>
        <w:gridCol w:w="110"/>
        <w:gridCol w:w="60"/>
        <w:gridCol w:w="605"/>
        <w:gridCol w:w="80"/>
        <w:gridCol w:w="60"/>
        <w:gridCol w:w="60"/>
        <w:gridCol w:w="560"/>
        <w:gridCol w:w="80"/>
        <w:gridCol w:w="155"/>
      </w:tblGrid>
      <w:tr>
        <w:trPr/>
        <w:tc>
          <w:tcPr>
            <w:tcW w:w="311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05" w:type="dxa"/>
            <w:gridSpan w:val="8"/>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05" w:type="dxa"/>
            <w:gridSpan w:val="8"/>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Percent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0"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5" w:type="dxa"/>
            <w:gridSpan w:val="3"/>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Variance</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Change</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Gaming and Pari-Mutuel Commissions: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108,899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107,430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1,469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170,392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175,807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(5,415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204,221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192,502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11,719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249,003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216,509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32,494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195,333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195,333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Gaming and Pari-Mutuel Commissions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927,848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692,248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235,600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Non-gaming:</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136,923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110,029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26,894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23,634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25,595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(1,961</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45,430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42,540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2,890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87,685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26,343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61,342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232.9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47,931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47,931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239</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3,254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1,361.5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Non-gaming</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345,096</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204,746</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140,350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Net Revenues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1,272,944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896,994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375,950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Gaming and Pari-Mutuel Commissions: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41,910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41,726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68,656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71,475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(2,819</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95,318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91,987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120,343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134,308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(13,965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(10.4</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87,319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87,319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Gaming and Pari-Mutuel Commissions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413,546</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339,496</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74,050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Non-gaming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77,796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70,434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7,362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Midwest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12,828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15,955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(3,127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South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28,100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28,042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East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46,358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17,031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29,327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172.2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Central</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25,558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25,558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Non-gaming</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190,640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131,462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59,178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Marketing and promotions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64,381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43,133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21,248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General and administrative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237,319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147,947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89,372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37,805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23,801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14,004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Impairment charges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9,815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(8,857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114,290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63,444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50,846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1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Operating Expenses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1,058,939</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759,098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299,841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56</w:t>
      </w:r>
    </w:p>
    <w:p>
      <w:pPr>
        <w:pStyle w:val="HorizontalLine"/>
        <w:rPr/>
      </w:pPr>
      <w:r>
        <w:rPr/>
      </w:r>
    </w:p>
    <w:p>
      <w:pPr>
        <w:pStyle w:val="TextBody"/>
        <w:spacing w:before="0" w:after="0"/>
        <w:rPr/>
      </w:pPr>
      <w:r>
        <w:rPr/>
        <w:t> </w:t>
      </w:r>
    </w:p>
    <w:p>
      <w:pPr>
        <w:pStyle w:val="TextBody"/>
        <w:spacing w:before="40" w:after="0"/>
        <w:rPr>
          <w:rFonts w:ascii="Times New Roman" w:hAnsi="Times New Roman"/>
          <w:b w:val="false"/>
          <w:i/>
          <w:caps w:val="false"/>
          <w:smallCaps w:val="false"/>
          <w:sz w:val="17"/>
        </w:rPr>
      </w:pPr>
      <w:r>
        <w:rPr>
          <w:rFonts w:ascii="Times New Roman" w:hAnsi="Times New Roman"/>
          <w:b w:val="false"/>
          <w:i/>
          <w:caps w:val="false"/>
          <w:smallCaps w:val="false"/>
          <w:sz w:val="17"/>
        </w:rPr>
        <w:t>Gaming Revenues and Pari-Mutuel Commissions.  </w:t>
      </w:r>
      <w:r>
        <w:rPr>
          <w:rFonts w:ascii="Times New Roman" w:hAnsi="Times New Roman"/>
          <w:b w:val="false"/>
          <w:i w:val="false"/>
          <w:caps w:val="false"/>
          <w:smallCaps w:val="false"/>
          <w:sz w:val="17"/>
        </w:rPr>
        <w:t>Elgin and Tropicana contributed $341.2</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million of incremental gaming revenues and pari-mutuel commissions for the six</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months ended June 30, 2019 compared to the same prior year period. This increase was partially offset by the decline in revenues associated with the divestitures</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of Presque Isle Downs and Nemacolin for the six</w:t>
      </w:r>
      <w:r>
        <w:rPr>
          <w:rFonts w:ascii="Times New Roman" w:hAnsi="Times New Roman"/>
          <w:b w:val="false"/>
          <w:i/>
          <w:caps w:val="false"/>
          <w:smallCaps w:val="false"/>
          <w:sz w:val="17"/>
        </w:rPr>
        <w:t xml:space="preserve"> </w:t>
      </w:r>
      <w:r>
        <w:rPr>
          <w:rFonts w:ascii="Times New Roman" w:hAnsi="Times New Roman"/>
          <w:b w:val="false"/>
          <w:i w:val="false"/>
          <w:caps w:val="false"/>
          <w:smallCaps w:val="false"/>
          <w:sz w:val="17"/>
        </w:rPr>
        <w:t>months ended June 30, 2019 compared to the same prior year period, resulting in a 34.0% increase in gaming revenues and pari-mutuel commissions.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gaming revenues and pari-mutuel commissions and the impact of the Presque Isle Downs and Nemacolin divestitures, gaming revenues and pari-mutuel commissions decreased 5.4% for the six months ended June 30, 2019 compared to the same prior year period due to reductions in casino volume associated with changes in promotional activity. Additionally, construction disruption affected our West segment and weather negatively impacted our visitor volume across all segments contributing to the declines in casino revenues for the six months ended June 30, 2019 compared to the same prior year period.</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Non-gaming Revenues</w:t>
      </w:r>
      <w:r>
        <w:rPr>
          <w:rFonts w:ascii="Times New Roman" w:hAnsi="Times New Roman"/>
          <w:b w:val="false"/>
          <w:i w:val="false"/>
          <w:caps w:val="false"/>
          <w:smallCaps w:val="false"/>
          <w:sz w:val="17"/>
        </w:rPr>
        <w:t xml:space="preserve">.  Elgin and Tropicana contributed $153.6 million of incremental non-gaming revenues for the six months ended June 30, 2019, which was partially offset by declines in non-gaming revenues attributable to the Presque Isle Downs and Nemacolin divestitures, resulting in an increase of 68.5%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non-gaming revenues and the impact of the Presque Isle Downs and Nemacolin divestitures, non-gaming revenues decreased 3.4% for the six months ended June 30, 2019 compared to the same prior year period. This decline was primarily driven by the West segment, resulting from changes in promotional activity, construction disruption and weather that negatively impacted visitor traffic.</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Gaming Expenses and Pari-Mutuel Commissions</w:t>
      </w:r>
      <w:r>
        <w:rPr>
          <w:rFonts w:ascii="Times New Roman" w:hAnsi="Times New Roman"/>
          <w:b w:val="false"/>
          <w:i w:val="false"/>
          <w:caps w:val="false"/>
          <w:smallCaps w:val="false"/>
          <w:sz w:val="17"/>
        </w:rPr>
        <w:t xml:space="preserve">. Elgin and Tropicana contributed $139.5 million of incremental gaming expenses and pari-mutuel commissions for the six months ended June 30, 2019, which was partially offset by the Presque Isle Downs and Nemacolin divestitures, resulting in an increase of 21.8% in gaming expenses and pari-mutuel commissions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Excluding incremental Elgin and Tropicana gaming expenses and pari-mutuel commissions, and the impact of the Presque Isle Downs and Nemacolin divestitures, gaming expenses and pari-mutuel commissions decreased 5.5% for the six months ended June 30, 2019 compared to the same prior year period. Gaming expenses declined in comparison to the same prior year period due to lower volume combined with savings initiatives targeted at reducing variable expenses. Successful efforts to control costs and maximize departmental profit across all segments also drove the improved departmental profit margin for the six months ended June 30, 2019 compared to the same prior year period. </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Non-gaming </w:t>
      </w:r>
      <w:r>
        <w:rPr>
          <w:rFonts w:ascii="Times New Roman" w:hAnsi="Times New Roman"/>
          <w:b w:val="false"/>
          <w:i w:val="false"/>
          <w:caps w:val="false"/>
          <w:smallCaps w:val="false"/>
          <w:sz w:val="17"/>
        </w:rPr>
        <w:t>Expenses.  Elgin and Tropicana contributed $78.9 million of incremental non-gaming expenses for the six months ended June 30, 2019, which was partially offset by the Presque Isle Downs and Nemacolin divestitures, resulting in an increase of 45.0% over the same prior year period.</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non-gaming expenses, and the impact of the Presque Isle Downs and Nemacolin divestitures, non-gaming expenses decreased 11.7% for the six months ended June 30, 2019 compared to the same prior year period. Decreased non-gaming expenses across all segments were associated with lower non-gaming revenues along with continued efforts to reduce variable expenses including labor and cost of sales.</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Marketing and </w:t>
      </w:r>
      <w:r>
        <w:rPr>
          <w:rFonts w:ascii="Times New Roman" w:hAnsi="Times New Roman"/>
          <w:b w:val="false"/>
          <w:i w:val="false"/>
          <w:caps w:val="false"/>
          <w:smallCaps w:val="false"/>
          <w:sz w:val="17"/>
        </w:rPr>
        <w:t>Promotions</w:t>
      </w:r>
      <w:r>
        <w:rPr>
          <w:rFonts w:ascii="Times New Roman" w:hAnsi="Times New Roman"/>
          <w:b w:val="false"/>
          <w:i/>
          <w:caps w:val="false"/>
          <w:smallCaps w:val="false"/>
          <w:sz w:val="17"/>
        </w:rPr>
        <w:t xml:space="preserve"> Expenses</w:t>
      </w:r>
      <w:r>
        <w:rPr>
          <w:rFonts w:ascii="Times New Roman" w:hAnsi="Times New Roman"/>
          <w:b w:val="false"/>
          <w:i w:val="false"/>
          <w:caps w:val="false"/>
          <w:smallCaps w:val="false"/>
          <w:sz w:val="17"/>
        </w:rPr>
        <w:t xml:space="preserve">.  Elgin and Tropicana contributed $33.7 million of incremental marketing and promotions expense for the six months ended June 30, 2019, which was partially offset by the Presque Isle Downs and Nemacolin divestitures, resulting in an increase of 49.3%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marketing and promotions expenses, and the impact of the Presque Isle Downs and Nemacolin divestitures, consolidated marketing and promotions expense decreased 24.2% for the six months ended June 30, 2019 compared to the same prior year period. This decline was primarily due to savings achieved via the termination of certain marketing contracts and continued company-wide changes in marketing and promotional activity.  </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General and Administrative Expenses</w:t>
      </w:r>
      <w:r>
        <w:rPr>
          <w:rFonts w:ascii="Times New Roman" w:hAnsi="Times New Roman"/>
          <w:b w:val="false"/>
          <w:i w:val="false"/>
          <w:caps w:val="false"/>
          <w:smallCaps w:val="false"/>
          <w:sz w:val="17"/>
        </w:rPr>
        <w:t>.  Elgin and Tropicana contributed $106.1 million of general and administrative expense for the six months ended June 30, 2019, which was partially offset by the Presque Isle Downs and Nemacolin divestitures, resulting in an increase of 60.4% over the same prior year period.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general and administrative expenses, and the impact of the Presque Isle Downs and Nemacolin divestitures, consolidated general and administrative expenses decreased 4.6% for the six months ended June 30, 2019 compared to the same prior year period mainly due to the centralization of certain services provided to our properties and realized savings achieved through consolidated purchasing programs.</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Corporate Expenses</w:t>
      </w:r>
      <w:r>
        <w:rPr>
          <w:rFonts w:ascii="Times New Roman" w:hAnsi="Times New Roman"/>
          <w:b w:val="false"/>
          <w:i w:val="false"/>
          <w:caps w:val="false"/>
          <w:smallCaps w:val="false"/>
          <w:sz w:val="17"/>
        </w:rPr>
        <w:t>.  For the six months ended June 30, 2019 compared to the same prior year period, corporate expenses increased primarily due to payroll and other expenses associated with additional corporate costs, including stock compensation expense, driven by growth related to the Company’s acquisitions. Additionally, an increase in severance expense also drove the increase in corporate expense for the current period.</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Impairment Charges. </w:t>
      </w:r>
      <w:r>
        <w:rPr>
          <w:rFonts w:ascii="Times New Roman" w:hAnsi="Times New Roman"/>
          <w:b w:val="false"/>
          <w:i w:val="false"/>
          <w:caps w:val="false"/>
          <w:smallCaps w:val="false"/>
          <w:sz w:val="17"/>
        </w:rPr>
        <w:t xml:space="preserve">We recorded an impairment charge for the six months ended June 30, 2019 totaling $1.0 million related to our non-operating real property located in Pennsylvania. </w:t>
      </w:r>
      <w:r>
        <w:rPr>
          <w:rFonts w:ascii="Times New Roman" w:hAnsi="Times New Roman"/>
          <w:b w:val="false"/>
          <w:i w:val="false"/>
          <w:caps w:val="false"/>
          <w:smallCaps w:val="false"/>
          <w:color w:val="000000"/>
          <w:sz w:val="17"/>
          <w:highlight w:val="white"/>
        </w:rPr>
        <w:t>In conjunction with the classification of Vicksburg’s operations as assets held for sale, we recorded an impairment charge totaling $9.8 million for the six months ended June 30, 2018.</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Depreciation and Amortization Expense</w:t>
      </w:r>
      <w:r>
        <w:rPr>
          <w:rFonts w:ascii="Times New Roman" w:hAnsi="Times New Roman"/>
          <w:b w:val="false"/>
          <w:i w:val="false"/>
          <w:caps w:val="false"/>
          <w:smallCaps w:val="false"/>
          <w:sz w:val="17"/>
        </w:rPr>
        <w:t>.  Elgin and Tropicana contributed $49.4 million of depreciation and amortization expense for the six months ended June 30, 2019 resulting in an increase of 80.1% over the same prior year period.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Excluding incremental Elgin and Tropicana depreciation and amortization expense, depreciation and amortization expense increased 4.9% for the six months ended June 30, 2019 compared to the same prior year period mainly due to asset additions primarily at our three Reno properties.</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Supplemental Unaudited Presentation of Consolidated Earnings before Interest, Taxes, Depreciation and Amortization (“EBITDA”) and Adjusted EBITDA for the Three and Six Months Ended June 30, 2019 and 2018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the Company’s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operating income (loss) before depreciation and amortization, stock-based compensation, transaction expenses, severance expense, selling costs associated with the disposition of properties, preopening expenses, costs associated with resolving the historical Tropicana bankruptcy,  impairment charges, equity in income (loss) of unconsolidated affiliates, (gain) loss on the sale or disposal of property and equipment, (gain) loss associated with the sales of Presque Isle Downs and Nemacolin and other non-cash regulatory gaming assessments. Adjusted EBITDA also excludes the expense associated with our Master Lease with GLPI as the transaction was accounted for as a financing obligation. Adjusted EBITDA is not a measure of performance or liquidity calculated in accordance with accounting principles generally accepted in the United States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Master Lease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58</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summarizes our Adjusted EBITDA for our operating segments for the three and six months ended June 30, 2019 and 2018, in addition to reconciling Adjusted EBITDA to operating income (loss) in accordance with US GAAP (unaudited, in thousands):</w:t>
      </w:r>
    </w:p>
    <w:p>
      <w:pPr>
        <w:pStyle w:val="TextBody"/>
        <w:spacing w:before="0" w:after="0"/>
        <w:rPr/>
      </w:pPr>
      <w:r>
        <w:rPr/>
        <w:t> </w:t>
      </w:r>
    </w:p>
    <w:tbl>
      <w:tblPr>
        <w:tblW w:w="8427" w:type="dxa"/>
        <w:jc w:val="left"/>
        <w:tblInd w:w="0" w:type="dxa"/>
        <w:tblCellMar>
          <w:top w:w="0" w:type="dxa"/>
          <w:left w:w="0" w:type="dxa"/>
          <w:bottom w:w="28" w:type="dxa"/>
          <w:right w:w="0" w:type="dxa"/>
        </w:tblCellMar>
      </w:tblPr>
      <w:tblGrid>
        <w:gridCol w:w="2915"/>
        <w:gridCol w:w="60"/>
        <w:gridCol w:w="121"/>
        <w:gridCol w:w="75"/>
        <w:gridCol w:w="663"/>
        <w:gridCol w:w="65"/>
        <w:gridCol w:w="60"/>
        <w:gridCol w:w="166"/>
        <w:gridCol w:w="104"/>
        <w:gridCol w:w="770"/>
        <w:gridCol w:w="60"/>
        <w:gridCol w:w="60"/>
        <w:gridCol w:w="159"/>
        <w:gridCol w:w="100"/>
        <w:gridCol w:w="616"/>
        <w:gridCol w:w="65"/>
        <w:gridCol w:w="60"/>
        <w:gridCol w:w="139"/>
        <w:gridCol w:w="88"/>
        <w:gridCol w:w="542"/>
        <w:gridCol w:w="60"/>
        <w:gridCol w:w="60"/>
        <w:gridCol w:w="102"/>
        <w:gridCol w:w="64"/>
        <w:gridCol w:w="393"/>
        <w:gridCol w:w="65"/>
        <w:gridCol w:w="60"/>
        <w:gridCol w:w="95"/>
        <w:gridCol w:w="60"/>
        <w:gridCol w:w="515"/>
        <w:gridCol w:w="65"/>
      </w:tblGrid>
      <w:tr>
        <w:trPr/>
        <w:tc>
          <w:tcPr>
            <w:tcW w:w="291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87" w:type="dxa"/>
            <w:gridSpan w:val="2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2019</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Operating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Income (Loss)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Depreciation and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Amortization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Stock-Based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Compensation</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Transaction</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Expenses (6)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 (7)</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Adjusted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EBITDA</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West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20,613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13,508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34,305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Midwest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29,012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7,714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36,753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South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19,023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9,850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29,109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East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35,213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12,240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47,418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Central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28,033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11,480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39,602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Corporate and Other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(29,344</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1,741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6,499</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7,292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5,286</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(8,526</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915"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102,550</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56,533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6,509</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7,292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5,777</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178,661</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87" w:type="dxa"/>
            <w:gridSpan w:val="2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Operating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Income (Loss)</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Depreciation and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Amortization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Stock-Based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Compensation</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Transaction</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Expenses (6)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 (8)</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Adjusted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EBITDA</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Excluding Pre-Acquisition / Including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5"/>
              </w:rPr>
              <w:t>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West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21,865</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9,382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31,758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Midwest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27,411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8,404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35,923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South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20,564</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8,108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(287</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28,402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East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24,397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4,717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29,363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Central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(16,823</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1,299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3,516</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3,404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1,173</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(7,431</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915" w:type="dxa"/>
            <w:tcBorders>
              <w:bottom w:val="double" w:sz="6" w:space="0" w:color="000000"/>
            </w:tcBorders>
            <w:shd w:fill="FFFFFF" w:val="clear"/>
          </w:tcPr>
          <w:p>
            <w:pPr>
              <w:pStyle w:val="TableContents"/>
              <w:spacing w:before="0" w:after="0"/>
              <w:ind w:left="137"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Total Excluding Pre-Acquisition / Including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5"/>
              </w:rPr>
              <w:t>Divestitures: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77,414</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31,910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3,472</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3,404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1,815</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118,015</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Divestitures: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East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6,026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6,466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Total Divestitures (1)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6,026</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162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3</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275</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6,466</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Pre-Acquisition: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West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4,671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7,760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Midwest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South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404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2,439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East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15,478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8,496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24,006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Central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25,593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7,950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33,790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Corporate and Other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(7,389</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457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2,258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(4,674</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915"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Total Pre-Acquisition (2)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38,757</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22,019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2,258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287</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63,321</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Including Pre-Acquisition / Excluding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5"/>
              </w:rPr>
              <w:t>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West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26,536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12,471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(95</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606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39,518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Midwest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27,411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8,404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35,923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South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20,968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10,135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30,841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East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33,849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13,051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46,903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Central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25,593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7,950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247</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33,790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(24,212</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1,756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3,516</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5,662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1,173</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(12,105</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2915" w:type="dxa"/>
            <w:tcBorders>
              <w:bottom w:val="double" w:sz="6" w:space="0" w:color="000000"/>
            </w:tcBorders>
            <w:shd w:fill="FFFFFF" w:val="clear"/>
          </w:tcPr>
          <w:p>
            <w:pPr>
              <w:pStyle w:val="TableContents"/>
              <w:spacing w:before="0" w:after="0"/>
              <w:ind w:left="137"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Total Including Pre-Acquisition /</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5"/>
              </w:rPr>
              <w:t>Excluding Divestitures (3)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110,145</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53,767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10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3,469</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8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5,662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1,827</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174,870</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59</w:t>
      </w:r>
    </w:p>
    <w:p>
      <w:pPr>
        <w:pStyle w:val="HorizontalLine"/>
        <w:rPr/>
      </w:pPr>
      <w:r>
        <w:rPr/>
      </w:r>
    </w:p>
    <w:p>
      <w:pPr>
        <w:pStyle w:val="TextBody"/>
        <w:spacing w:before="0" w:after="0"/>
        <w:rPr/>
      </w:pPr>
      <w:r>
        <w:rPr/>
        <w:t> </w:t>
      </w:r>
    </w:p>
    <w:p>
      <w:pPr>
        <w:pStyle w:val="TextBody"/>
        <w:spacing w:before="0" w:after="0"/>
        <w:rPr/>
      </w:pPr>
      <w:r>
        <w:rPr/>
        <w:t> </w:t>
      </w:r>
    </w:p>
    <w:tbl>
      <w:tblPr>
        <w:tblW w:w="8208" w:type="dxa"/>
        <w:jc w:val="left"/>
        <w:tblInd w:w="0" w:type="dxa"/>
        <w:tblCellMar>
          <w:top w:w="0" w:type="dxa"/>
          <w:left w:w="0" w:type="dxa"/>
          <w:bottom w:w="28" w:type="dxa"/>
          <w:right w:w="0" w:type="dxa"/>
        </w:tblCellMar>
      </w:tblPr>
      <w:tblGrid>
        <w:gridCol w:w="2645"/>
        <w:gridCol w:w="60"/>
        <w:gridCol w:w="124"/>
        <w:gridCol w:w="78"/>
        <w:gridCol w:w="657"/>
        <w:gridCol w:w="65"/>
        <w:gridCol w:w="60"/>
        <w:gridCol w:w="150"/>
        <w:gridCol w:w="95"/>
        <w:gridCol w:w="795"/>
        <w:gridCol w:w="60"/>
        <w:gridCol w:w="60"/>
        <w:gridCol w:w="143"/>
        <w:gridCol w:w="90"/>
        <w:gridCol w:w="642"/>
        <w:gridCol w:w="65"/>
        <w:gridCol w:w="60"/>
        <w:gridCol w:w="144"/>
        <w:gridCol w:w="90"/>
        <w:gridCol w:w="535"/>
        <w:gridCol w:w="60"/>
        <w:gridCol w:w="60"/>
        <w:gridCol w:w="95"/>
        <w:gridCol w:w="60"/>
        <w:gridCol w:w="470"/>
        <w:gridCol w:w="65"/>
        <w:gridCol w:w="60"/>
        <w:gridCol w:w="95"/>
        <w:gridCol w:w="60"/>
        <w:gridCol w:w="500"/>
        <w:gridCol w:w="65"/>
      </w:tblGrid>
      <w:tr>
        <w:trPr/>
        <w:tc>
          <w:tcPr>
            <w:tcW w:w="2645" w:type="dxa"/>
            <w:tcBorders>
              <w:bottom w:val="single" w:sz="6" w:space="0" w:color="000000"/>
            </w:tcBorders>
            <w:shd w:fill="auto"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8" w:type="dxa"/>
            <w:gridSpan w:val="28"/>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2019</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Operating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Income (Loss)</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auto"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Depreciation and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Amortization</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auto"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Stock-Based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Compensation</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Transaction</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Expenses (6)</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auto"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 (7)</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5"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Adjusted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EBITDA</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Includes Divestitures: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West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31,414</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26,651</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283</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58,348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Midwest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56,845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16,135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73,077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South</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46,538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20,865</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9</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368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67,780</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East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62,374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24,389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152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86,922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Central</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55,103</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22,690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132</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77,925</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(26,120</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3,560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11,416</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9,186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(16,781</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(18,739</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r>
      <w:tr>
        <w:trPr/>
        <w:tc>
          <w:tcPr>
            <w:tcW w:w="2645" w:type="dxa"/>
            <w:tcBorders>
              <w:bottom w:val="double" w:sz="6" w:space="0" w:color="000000"/>
            </w:tcBorders>
            <w:shd w:fill="auto" w:val="cle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78"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226,154</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114,290</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11,457</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9,186</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(15,774</w:t>
            </w:r>
          </w:p>
        </w:tc>
        <w:tc>
          <w:tcPr>
            <w:tcW w:w="65" w:type="dxa"/>
            <w:tcBorders>
              <w:bottom w:val="double" w:sz="6"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345,313</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East</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(91</w:t>
            </w:r>
          </w:p>
        </w:tc>
        <w:tc>
          <w:tcPr>
            <w:tcW w:w="6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46</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(38</w:t>
            </w:r>
          </w:p>
        </w:tc>
        <w:tc>
          <w:tcPr>
            <w:tcW w:w="6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r>
      <w:tr>
        <w:trPr/>
        <w:tc>
          <w:tcPr>
            <w:tcW w:w="2645"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 Divestitures (4)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(91</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7</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46</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(38</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r>
      <w:tr>
        <w:trPr/>
        <w:tc>
          <w:tcPr>
            <w:tcW w:w="2645"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Excluding 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West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31,414</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26,651</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283</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58,348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Midwest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56,845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16,135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73,077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South</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46,538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20,865</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9</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368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67,780</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East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62,465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24,389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106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86,960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Central</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55,103</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22,690</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132</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77,925</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(26,120</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3,560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11,416</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9,186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(16,781</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(18,739</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r>
      <w:tr>
        <w:trPr/>
        <w:tc>
          <w:tcPr>
            <w:tcW w:w="2645" w:type="dxa"/>
            <w:tcBorders>
              <w:bottom w:val="double" w:sz="6" w:space="0" w:color="000000"/>
            </w:tcBorders>
            <w:shd w:fill="auto" w:val="cle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 Excluding Divestitures (5)</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78"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226,245</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114,290</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11,450</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9,186</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(15,820</w:t>
            </w:r>
          </w:p>
        </w:tc>
        <w:tc>
          <w:tcPr>
            <w:tcW w:w="65" w:type="dxa"/>
            <w:tcBorders>
              <w:bottom w:val="double" w:sz="6" w:space="0" w:color="000000"/>
            </w:tcBorders>
            <w:shd w:fill="auto" w:val="cle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345,351</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auto"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8" w:type="dxa"/>
            <w:gridSpan w:val="28"/>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2018</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Operating</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Income (Loss)</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Depreciation and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Amortization</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Stock-Based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Compensation</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Transaction</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Expenses (6)</w:t>
            </w:r>
          </w:p>
        </w:tc>
        <w:tc>
          <w:tcPr>
            <w:tcW w:w="60"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 (8)</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5" w:type="dxa"/>
            <w:gridSpan w:val="3"/>
            <w:tcBorders>
              <w:top w:val="single" w:sz="6" w:space="0" w:color="000000"/>
              <w:bottom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Adjusted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EBITDA</w:t>
            </w:r>
          </w:p>
        </w:tc>
        <w:tc>
          <w:tcPr>
            <w:tcW w:w="65" w:type="dxa"/>
            <w:tcBorders>
              <w:bottom w:val="sing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Excluding Pre-Acquisition / Including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4"/>
              </w:rPr>
              <w:t>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West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32,004</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17,571</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(32</w:t>
            </w:r>
          </w:p>
        </w:tc>
        <w:tc>
          <w:tcPr>
            <w:tcW w:w="6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639</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50,182</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Midwest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54,087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16,049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227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70,438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South</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33,923</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16,639</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42</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10,015</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60,619</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East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43,528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10,766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1,241</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55,543</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Central</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(31,934</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2,419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7,058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5,952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1,282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(15,223</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r>
      <w:tr>
        <w:trPr/>
        <w:tc>
          <w:tcPr>
            <w:tcW w:w="2645" w:type="dxa"/>
            <w:tcBorders>
              <w:bottom w:val="double" w:sz="6" w:space="0" w:color="000000"/>
            </w:tcBorders>
            <w:shd w:fill="auto" w:val="clear"/>
          </w:tcPr>
          <w:p>
            <w:pPr>
              <w:pStyle w:val="TableContents"/>
              <w:spacing w:before="0" w:after="0"/>
              <w:ind w:left="137"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 Excluding Pre-Acquisition / Including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4"/>
              </w:rPr>
              <w:t>Divestitures:</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78"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131,608</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63,444</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7,151</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5,952</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13,404</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221,559</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East</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9,028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1,577</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560</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11,173</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 Divestitures (1)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9,028</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1,577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8</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560</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11,173</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auto"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double" w:sz="6" w:space="0" w:color="000000"/>
            </w:tcBorders>
            <w:shd w:fill="auto"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Pre-Acquisition: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West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9,345</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6,173</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15,526</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Midwest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South</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1,790</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4,054</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5,860</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East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23,882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16,372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128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40,382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Central</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52,599</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16,055</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267</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68,921</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(13,339</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1,089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2,730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(9,520</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r>
      <w:tr>
        <w:trPr/>
        <w:tc>
          <w:tcPr>
            <w:tcW w:w="2645" w:type="dxa"/>
            <w:tcBorders>
              <w:bottom w:val="double" w:sz="6" w:space="0" w:color="000000"/>
            </w:tcBorders>
            <w:shd w:fill="auto" w:val="cle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 Pre-Acquisition (2)</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78"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74,277</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43,743</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2,730</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419</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121,169</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Including Pre-Acquisition / Excluding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4"/>
              </w:rPr>
              <w:t>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West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41,349</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23,744</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(32</w:t>
            </w:r>
          </w:p>
        </w:tc>
        <w:tc>
          <w:tcPr>
            <w:tcW w:w="6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647</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65,708</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Midwest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54,087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16,049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227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70,438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South</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35,713</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20,693</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42</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10,031</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66,479</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East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58,382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25,561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809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84,752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Central</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52,599</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16,055</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267</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shd w:fill="auto"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68,921</w:t>
            </w:r>
          </w:p>
        </w:tc>
        <w:tc>
          <w:tcPr>
            <w:tcW w:w="65" w:type="dxa"/>
            <w:tcBorders/>
            <w:shd w:fill="auto"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4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(45,273</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3,508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7,058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8,682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1,282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(24,743</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4"/>
              </w:rPr>
            </w:pPr>
            <w:r>
              <w:rPr>
                <w:rFonts w:ascii="Times New Roman" w:hAnsi="Times New Roman"/>
                <w:b w:val="false"/>
                <w:i w:val="false"/>
                <w:caps w:val="false"/>
                <w:smallCaps w:val="false"/>
                <w:color w:val="000000"/>
                <w:sz w:val="14"/>
              </w:rPr>
              <w:t>)</w:t>
            </w:r>
          </w:p>
        </w:tc>
      </w:tr>
      <w:tr>
        <w:trPr/>
        <w:tc>
          <w:tcPr>
            <w:tcW w:w="2645" w:type="dxa"/>
            <w:tcBorders>
              <w:bottom w:val="double" w:sz="6" w:space="0" w:color="000000"/>
            </w:tcBorders>
            <w:shd w:fill="auto" w:val="clear"/>
          </w:tcPr>
          <w:p>
            <w:pPr>
              <w:pStyle w:val="TableContents"/>
              <w:spacing w:before="0" w:after="0"/>
              <w:ind w:left="137"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 Including Pre-Acquisition / Excluding</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i w:val="false"/>
                <w:caps w:val="false"/>
                <w:smallCaps w:val="false"/>
                <w:color w:val="000000"/>
                <w:sz w:val="14"/>
              </w:rPr>
              <w:t>Divestitures (3)</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78"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7"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196,857</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105,610</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7,143</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9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8,682</w:t>
            </w:r>
          </w:p>
        </w:tc>
        <w:tc>
          <w:tcPr>
            <w:tcW w:w="60"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13,263</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auto"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5"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w:t>
            </w:r>
          </w:p>
        </w:tc>
        <w:tc>
          <w:tcPr>
            <w:tcW w:w="6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0" w:type="dxa"/>
            <w:tcBorders>
              <w:top w:val="single" w:sz="6"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331,555</w:t>
            </w:r>
          </w:p>
        </w:tc>
        <w:tc>
          <w:tcPr>
            <w:tcW w:w="65" w:type="dxa"/>
            <w:tcBorders>
              <w:bottom w:val="double" w:sz="6" w:space="0" w:color="000000"/>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360" w:type="dxa"/>
        <w:jc w:val="left"/>
        <w:tblInd w:w="0" w:type="dxa"/>
        <w:tblCellMar>
          <w:top w:w="0" w:type="dxa"/>
          <w:left w:w="0" w:type="dxa"/>
          <w:bottom w:w="0" w:type="dxa"/>
          <w:right w:w="0" w:type="dxa"/>
        </w:tblCellMar>
      </w:tblPr>
      <w:tblGrid>
        <w:gridCol w:w="60"/>
        <w:gridCol w:w="230"/>
        <w:gridCol w:w="7070"/>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230"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7070"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Figures are for Presque Isle Downs and Nemacolin for the three and six months ended June 30, 2018.</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04"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9941"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Figures are for Elgin and Tropicana for the three and six months ended June 30, 2018. Such figures are based on the unaudited internal financial statements and have not been reviewed by the Company’s auditors and do not conform to GAAP.</w:t>
            </w:r>
          </w:p>
        </w:tc>
      </w:tr>
    </w:tbl>
    <w:tbl>
      <w:tblPr>
        <w:tblW w:w="10205" w:type="dxa"/>
        <w:jc w:val="left"/>
        <w:tblInd w:w="0" w:type="dxa"/>
        <w:tblCellMar>
          <w:top w:w="0" w:type="dxa"/>
          <w:left w:w="0" w:type="dxa"/>
          <w:bottom w:w="0" w:type="dxa"/>
          <w:right w:w="0" w:type="dxa"/>
        </w:tblCellMar>
      </w:tblPr>
      <w:tblGrid>
        <w:gridCol w:w="60"/>
        <w:gridCol w:w="181"/>
        <w:gridCol w:w="9964"/>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81"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tc>
        <w:tc>
          <w:tcPr>
            <w:tcW w:w="9964"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Total figures for three and six months ended June 30, 2018 include combined results of operations for Elgin, Tropicana and the Company and exclude results of operations for Presque Isle Downs and Nemacolin. Such presentation does not conform with GAAP or the Securities and Exchange Commission rules for pro forma presentation; however, we believe that the additional financial information will be helpful to investors in comparing current results with results of prior periods. This non-GAAP data and should not be considered a substitute for data prepared in accordance with GAAP, but should be viewed in addition to the results of operations reported by the Company.</w:t>
            </w:r>
          </w:p>
        </w:tc>
      </w:tr>
    </w:tbl>
    <w:tbl>
      <w:tblPr>
        <w:tblW w:w="10205" w:type="dxa"/>
        <w:jc w:val="left"/>
        <w:tblInd w:w="0" w:type="dxa"/>
        <w:tblCellMar>
          <w:top w:w="0" w:type="dxa"/>
          <w:left w:w="0" w:type="dxa"/>
          <w:bottom w:w="0" w:type="dxa"/>
          <w:right w:w="0" w:type="dxa"/>
        </w:tblCellMar>
      </w:tblPr>
      <w:tblGrid>
        <w:gridCol w:w="60"/>
        <w:gridCol w:w="213"/>
        <w:gridCol w:w="9932"/>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13"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tc>
        <w:tc>
          <w:tcPr>
            <w:tcW w:w="9932"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Figures are for Presque Isle Downs for the period beginning January 1, 2019 and ending January 11, 2019 and Nemacolin for the period beginning January 1, 2019 and ending March 8, 2019.</w:t>
            </w:r>
          </w:p>
        </w:tc>
      </w:tr>
    </w:tbl>
    <w:tbl>
      <w:tblPr>
        <w:tblW w:w="6670" w:type="dxa"/>
        <w:jc w:val="left"/>
        <w:tblInd w:w="0" w:type="dxa"/>
        <w:tblCellMar>
          <w:top w:w="0" w:type="dxa"/>
          <w:left w:w="0" w:type="dxa"/>
          <w:bottom w:w="0" w:type="dxa"/>
          <w:right w:w="0" w:type="dxa"/>
        </w:tblCellMar>
      </w:tblPr>
      <w:tblGrid>
        <w:gridCol w:w="60"/>
        <w:gridCol w:w="230"/>
        <w:gridCol w:w="638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3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tc>
        <w:tc>
          <w:tcPr>
            <w:tcW w:w="6380"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Total figures for 2019 exclude results of operations for Presque Isle Downs and Nemacolin.</w:t>
            </w:r>
          </w:p>
        </w:tc>
      </w:tr>
    </w:tbl>
    <w:tbl>
      <w:tblPr>
        <w:tblW w:w="10205" w:type="dxa"/>
        <w:jc w:val="left"/>
        <w:tblInd w:w="0" w:type="dxa"/>
        <w:tblCellMar>
          <w:top w:w="0" w:type="dxa"/>
          <w:left w:w="0" w:type="dxa"/>
          <w:bottom w:w="0" w:type="dxa"/>
          <w:right w:w="0" w:type="dxa"/>
        </w:tblCellMar>
      </w:tblPr>
      <w:tblGrid>
        <w:gridCol w:w="60"/>
        <w:gridCol w:w="197"/>
        <w:gridCol w:w="9948"/>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97"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w:t>
            </w:r>
          </w:p>
        </w:tc>
        <w:tc>
          <w:tcPr>
            <w:tcW w:w="9948"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Transaction expenses represent primarily costs related to the pending acquisition of Caesars and the acquisitions of Elgin and Tropicana for the three and six months ended June 30, 2019 and costs related to the acquisitions of Elgin, Tropicana and Isle for the three and six months ended June 30, 2018.</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96"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w:t>
            </w:r>
          </w:p>
        </w:tc>
        <w:tc>
          <w:tcPr>
            <w:tcW w:w="9949"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Other, for the three and six months ended June 30, 2019, is comprised of severance expense, (gain) loss on the sale or disposal of property and equipment, equity in income (loss) of unconsolidated affiliate, impairment charges, and the (gain) loss associated with the sales of Presque Isle Downs and Nemacolin.</w:t>
            </w:r>
          </w:p>
        </w:tc>
      </w:tr>
    </w:tbl>
    <w:tbl>
      <w:tblPr>
        <w:tblW w:w="10205" w:type="dxa"/>
        <w:jc w:val="left"/>
        <w:tblInd w:w="0" w:type="dxa"/>
        <w:tblCellMar>
          <w:top w:w="0" w:type="dxa"/>
          <w:left w:w="0" w:type="dxa"/>
          <w:bottom w:w="0" w:type="dxa"/>
          <w:right w:w="0" w:type="dxa"/>
        </w:tblCellMar>
      </w:tblPr>
      <w:tblGrid>
        <w:gridCol w:w="60"/>
        <w:gridCol w:w="191"/>
        <w:gridCol w:w="9954"/>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91"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(8)</w:t>
            </w:r>
          </w:p>
        </w:tc>
        <w:tc>
          <w:tcPr>
            <w:tcW w:w="9954"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Other, for the three and six months ended June 30, 2018 is comprised of severance expense, (gain) loss on the sale or disposal of property and equipment, equity in income (loss) of an unconsolidated affiliate, an impairment charge at Vicksburg, selling costs associated with the divestitures of Presque Isle Downs, the terminated sale of Vicksburg and the purchase of Elgin. </w:t>
            </w:r>
          </w:p>
        </w:tc>
      </w:tr>
    </w:tbl>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Liquidity and Capital Resources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are a holding company and our only significant assets are ownership interests in our subsidiaries. Our ability to fund our obligations depends on the cash flow of our subsidiaries and the ability of our subsidiaries to distribute or otherwise make funds available to us.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primary sources of liquidity and capital resources have been existing cash, cash flow from operations, borrowings under our revolving credit facility, proceeds from the issuance of debt securities and proceeds from our recent disposition of Presque Isle Downs. As of June 30, 2019, we had no outstanding balance and $483.7 million of available borrowing capacity, after consideration of $16.3 million in outstanding letters of credit, under our Revolving Credit Facility.  We applied approximately $150.0 million of proceeds from the sale of Presque Isle Downs to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cash requirements can fluctuate significantly depending on our decisions with respect to business acquisitions or divestitures and strategic capital investments to maintain the quality of our properties. We expect that our primary capital requirements going forward will relate to the operation and maintenance of our properties, taxes, servicing our outstanding indebtedness, rent payments under our Master Lease, continued costs associated with the Elgin and Tropicana acquisitions and funding the recently announced Caesars acquisition. During the remainder of 2019, we plan to spend approximately $102.9 million on capital expenditures. Our capital requirements have increased significantly following the consummation of the acquisitions of Tropicana and Elgin, including as a result of the obligation to pay annual rent in an initial amount of approximately $87.6 million under the Master Lease with respect to certain of the Tropicana properties and the required payments under the Lumière Note.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funded the $328.8 million of cash consideration for the Elgin Acquisition using cash from ongoing operations and borrowings under our revolving credit facility. We funded the $246 million purchase of the real estate underlying Lumière with the proceeds of the Lumière Note. We funded the $640 million consideration in the Tropicana Acquisition and the repayment of amounts outstanding under the Tropicana credit facility with our cash on hand and cash on hand at Tropicana, borrowings under our revolving credit facility and proceeds from our offering of $600 million of 6.0% senior notes due 2026. In addition, our borrowing capacity on our revolving credit facility increased from $300 million to $500 million effective substantially concurrently with the consummation of the Tropicana Acquisition on October 1, 2018 and we extended the maturity of the revolving credit facility to October 1, 2023. We expect that cash generated from operations will be sufficient to fund our operations and capital requirements, and service our outstanding indebtedness for the next twelve months.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61</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At June 30, 2019, we had consolidated cash and cash equivalents of $183.1 million, excluding restricted cash. At June 30, 2018, we had consolidated cash and cash equivalents of $202.0 million, excluding restricted cash. This decrease in cash was primarily due to cash flow generated from our operations and investing activities, offset by net payments under our Revolving Credit Facility.</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Operating Cash Flow.  </w:t>
      </w:r>
      <w:r>
        <w:rPr>
          <w:rFonts w:ascii="Times New Roman" w:hAnsi="Times New Roman"/>
          <w:b w:val="false"/>
          <w:i w:val="false"/>
          <w:caps w:val="false"/>
          <w:smallCaps w:val="false"/>
          <w:sz w:val="17"/>
        </w:rPr>
        <w:t>For the six months ended June 30, 2019, cash flows provided by operating activities totaled $127.9 million compared to $148.5 million for the same prior year period. The decrease in operating cash was primarily due to cash tax payments related to the Tropicana transaction for the six months ended June 30, 2019 combined with changes in the balance sheet accounts in the normal course of business.</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Investing Cash Flow and Capital Expenditures</w:t>
      </w:r>
      <w:r>
        <w:rPr>
          <w:rFonts w:ascii="Times New Roman" w:hAnsi="Times New Roman"/>
          <w:b w:val="false"/>
          <w:i w:val="false"/>
          <w:caps w:val="false"/>
          <w:smallCaps w:val="false"/>
          <w:sz w:val="17"/>
        </w:rPr>
        <w:t>.  Net cash flows provided by investing activities totaled $75.5 million for the six months ended June 30, 2019 compared to $69.3 million used for investing activities in the same prior year period. Net cash provided by investing activities for the six months ended June 30, 2019 was primarily due to $176.7 million in net proceeds from the sales of Presque Isle Downs and Nemacolin. This increase was partially offset by cash used totaling $97.1 million for capital expenditures for various property enhancement and maintenance projects along with equipment purchases. Net cash flows used in investing activities for the six months ended June 30, 2018 consisted primarily of $55.2 million related to capital expenditures for various property enhancement and maintenance projects and equipment purchases.</w:t>
      </w:r>
    </w:p>
    <w:p>
      <w:pPr>
        <w:pStyle w:val="TextBody"/>
        <w:spacing w:before="240" w:after="0"/>
        <w:rPr>
          <w:rFonts w:ascii="Times New Roman" w:hAnsi="Times New Roman"/>
          <w:b w:val="false"/>
          <w:i/>
          <w:caps w:val="false"/>
          <w:smallCaps w:val="false"/>
          <w:sz w:val="17"/>
        </w:rPr>
      </w:pPr>
      <w:r>
        <w:rPr>
          <w:rFonts w:ascii="Times New Roman" w:hAnsi="Times New Roman"/>
          <w:b w:val="false"/>
          <w:i/>
          <w:caps w:val="false"/>
          <w:smallCaps w:val="false"/>
          <w:sz w:val="17"/>
        </w:rPr>
        <w:t>Financing Cash Flow</w:t>
      </w:r>
      <w:r>
        <w:rPr>
          <w:rFonts w:ascii="Times New Roman" w:hAnsi="Times New Roman"/>
          <w:b w:val="false"/>
          <w:i w:val="false"/>
          <w:caps w:val="false"/>
          <w:smallCaps w:val="false"/>
          <w:sz w:val="17"/>
        </w:rPr>
        <w:t xml:space="preserve">.  Net cash used in financing activities for the six months ended June 30, 2019 totaled $253.2 million compared to $10.3 million for the same prior year period. The cash used in financing activities for the six months ended June 30, 2019 was principally due to net payments under the Revolving Credit Facility partially funded by the proceeds from the sales of Presque Isle Downs and Nemacolin. For the six months ended June 30, 2018, cash used in financing activities consisted primarily of $9.7 million for payments of taxes related to net share settlements of equity awards. </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Share Repurchase Program</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November 8, 2018, the Company issued a press release announcing that its Board of Directors has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pStyle w:val="TextBody"/>
        <w:spacing w:before="240" w:after="0"/>
        <w:rPr>
          <w:rFonts w:ascii="Times New Roman" w:hAnsi="Times New Roman"/>
          <w:b w:val="false"/>
          <w:i w:val="false"/>
          <w:caps w:val="false"/>
          <w:smallCaps w:val="false"/>
          <w:color w:val="000000"/>
          <w:sz w:val="17"/>
          <w:highlight w:val="white"/>
        </w:rPr>
      </w:pPr>
      <w:r>
        <w:rPr>
          <w:rFonts w:ascii="Times New Roman" w:hAnsi="Times New Roman"/>
          <w:b w:val="false"/>
          <w:i w:val="false"/>
          <w:caps w:val="false"/>
          <w:smallCaps w:val="false"/>
          <w:color w:val="000000"/>
          <w:sz w:val="17"/>
          <w:highlight w:val="white"/>
        </w:rPr>
        <w:t>The Company acquired 223,823 shares of common stock at an aggregate value of $9.1 million and an average of $40.80 per share during the year ended December 31, 2018. No shares were repurchased during the six months ended June 30, 2019.</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Debt Obligations and Master Lease</w:t>
      </w:r>
    </w:p>
    <w:p>
      <w:pPr>
        <w:pStyle w:val="TextBody"/>
        <w:spacing w:before="120" w:after="0"/>
        <w:rPr>
          <w:rFonts w:ascii="Times New Roman" w:hAnsi="Times New Roman"/>
          <w:b/>
          <w:i/>
          <w:caps w:val="false"/>
          <w:smallCaps w:val="false"/>
          <w:sz w:val="17"/>
        </w:rPr>
      </w:pPr>
      <w:r>
        <w:rPr>
          <w:rFonts w:ascii="Times New Roman" w:hAnsi="Times New Roman"/>
          <w:b/>
          <w:i/>
          <w:caps w:val="false"/>
          <w:smallCaps w:val="false"/>
          <w:sz w:val="17"/>
        </w:rPr>
        <w:t>Term Loan and Revolving Credit Facility</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T</w:t>
      </w:r>
      <w:r>
        <w:rPr>
          <w:rFonts w:ascii="Times New Roman" w:hAnsi="Times New Roman"/>
          <w:b w:val="false"/>
          <w:i w:val="false"/>
          <w:caps w:val="false"/>
          <w:smallCaps w:val="false"/>
          <w:color w:val="000000"/>
          <w:sz w:val="17"/>
        </w:rPr>
        <w:t xml:space="preserve">he Company </w:t>
      </w:r>
      <w:r>
        <w:rPr>
          <w:rFonts w:ascii="Times New Roman" w:hAnsi="Times New Roman"/>
          <w:b w:val="false"/>
          <w:i w:val="false"/>
          <w:caps w:val="false"/>
          <w:smallCaps w:val="false"/>
          <w:color w:val="000000"/>
          <w:sz w:val="17"/>
          <w:highlight w:val="white"/>
        </w:rPr>
        <w:t>is party to a credit agreement with JPMorgan Chase Bank, N.A., as administrative agent, and the lenders party thereto dated as of April 17, 2017 (as amended, the “Credit Facility”), consisting of a $1.45 billion term loan facility (the “Term Loan Facility” or “Term Loan”) and a $500.0 million revolving credit facility (the “Revolving Credit Facility”).</w:t>
      </w:r>
      <w:r>
        <w:rPr>
          <w:rFonts w:ascii="Times New Roman" w:hAnsi="Times New Roman"/>
          <w:b w:val="false"/>
          <w:i w:val="false"/>
          <w:caps w:val="false"/>
          <w:smallCaps w:val="false"/>
          <w:color w:val="000000"/>
          <w:sz w:val="17"/>
        </w:rPr>
        <w:t xml:space="preserve"> The Company’s obligations under the Revolving Credit Facility will mature on October 1, 2023. The Company’s obligations under the Term Loan Facility will mature on April 17, 2024. The Company was required to make quarterly principal payments of $3.6 million on the Term Loan Facility on the last day of each fiscal quarter beginning on June 30, 2017 but satisfied this requirement as a result of the principal prepayment of $444.5 million on September 13, 2017 in conjunction with the issuance of the additional 6% Senior Notes due 2025. In addition, the Company is required to make mandatory payments of amounts outstanding under the Credit Facility with the proceeds of certain casualty events, debt issuances, and asset sales and, depending on its consolidated total leverage ratio, the Company may be required to apply a portion of its excess cash flow to repay amounts outstanding under the Credit Facility.</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62</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the Company had $956.8 million outstanding on the Term Loan and no outstanding balance under the Revolving Credit Facility. The Company had $483.7 million of available borrowing capacity, after consideration of $16.3 million in outstanding letters of credit under its Revolving Credit Facility as of June 30, 2019. The Company applied approximately $150.0 million of proceeds from the sale of Presque Isle Downs to repay amounts outstanding under the Revolving Credit Facility.  Pursuant to the terms of the indentures governing the Company’s senior notes, the Company will be required to make an offer to purchase a portion of its outstanding senior notes with the excess proceeds from such sale unless it applies the net proceeds of such sale to either permanently repay outstanding indebtedness or make specified acquisitions or capital expenditures within 365 days of the sale of Presque Isle Downs.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interest rate per annum applicable to loans under the Revolving Credit Facility are, at our option, either LIBOR plus a margin ranging from 1.75% to 2.50% or a base rate plus a margin from 0.75% to 1.50%, the margin is based on our total leverage ratio. The interest rate per annum applicable to the loans under the Term Loan Facility is, at our option, either LIBOR plus 2.25%, or a base rate plus 1.25%; provided, however, that in no event will LIBOR be less than zero or the base rate be less than 1.00%. Additionally, the Company pays a commitment fee on the unused portion of the Revolving Credit Facility of 0.50% per annum. At June 30, 2019, the weighted average interest rate on the Term Loan was 4.69%.</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Senior Notes</w:t>
      </w:r>
    </w:p>
    <w:p>
      <w:pPr>
        <w:pStyle w:val="TextBody"/>
        <w:spacing w:before="120" w:after="0"/>
        <w:rPr>
          <w:rFonts w:ascii="Times New Roman" w:hAnsi="Times New Roman"/>
          <w:b w:val="false"/>
          <w:i/>
          <w:caps w:val="false"/>
          <w:smallCaps w:val="false"/>
          <w:sz w:val="17"/>
        </w:rPr>
      </w:pPr>
      <w:r>
        <w:rPr>
          <w:rFonts w:ascii="Times New Roman" w:hAnsi="Times New Roman"/>
          <w:b w:val="false"/>
          <w:i/>
          <w:caps w:val="false"/>
          <w:smallCaps w:val="false"/>
          <w:sz w:val="17"/>
        </w:rPr>
        <w:t xml:space="preserve">6% Senior Notes due 2026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On September 20, 2018, Delta Merger Sub, Inc. (“Escrow Issuer”), a Delaware corporation and a wholly-owned subsidiary of the Company, issued $600 million aggregate principal amount of 6.0% senior notes due 2026 (the “6% Senior Notes due 2026”) pursuant to an indenture, dated as of September 20, 2018 (the “2026 Indenture”), between Escrow Issuer and U.S. Bank, National Association, as Trustee. Interest on the 6% Senior Notes due 2026 will be paid every semi-annually in arrears on March 15 and September 15.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6% Senior Notes due 2026 were general unsecured obligations of Escrow Issuer’s upon issuance and, upon the assumption of such obligations by the Company and the subsidiary guarantors (the “Guarantors”) upon consummation of the Tropicana Acquisition, became general unsecured obligations of the Company and the Guarantors, ranking senior in right of payment to all of the Company’s existing and future debt that is expressly subordinated in right of payment to the 6% Senior Notes due 2026 and the guarantees, ranking equally in right of payment with all of the applicable obligor’s existing and future senior liabilities, including the obligations under the Company’s existing 7% Senior Notes due 2023 and 6% Senior Notes due 2025, and are effectively subordinated to all of the applicable obligor’s existing and future secured debt, including indebtedness under the Company’s Term Loan and Revolving Credit Facility and the Lumière Note (as defined in the 2026 Indenture), in each case, to the extent of the value of the collateral securing such debt. In addition, the 6% Senior Notes due 2026 and the related guarantees are structurally subordinated to all existing and future indebtedness and other liabilities of the Company’s subsidiaries and other entities in which the Company has an equity interest that do not guarantee the 6% Senior Notes due 2026 (other than indebtedness and liabilities owed to the Company or the Guarantors).</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6% Senior Notes due 2025</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March 29, 2017, Eagle II issued at par $375.0 million aggregate principal amount of 6.0% senior notes due 2025 (the “6% Senior Notes due 2025”) pursuant to an indenture, dated as of March 29, 2017 (the “2025 Indenture”), between Eagle II and U.S. Bank, National Association, as Trustee. The 6% Senior Notes due 2025 will mature on April 1, 2025, with interest payable semi-annually in arrears on April 1 and October 1. In connection with the consummation of the Isle Acquisition on May 1, 2017, the Company assumed Eagle II’s obligations under the 6% Senior Notes due 2025 and the 2025 Indenture and certain of the Company’s subsidiaries (including Isle and certain of its subsidiaries) executed guarantees of the Company’s obligations under the 6% Senior Notes due 2025.</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September 13, 2017, the Company issued an additional $500.0 million principal amount of its 6% Senior Notes due 2025 at an issue price equal to 105.5% of the principal amount of the 6% Senior Notes due 2025. The additional notes were issued pursuant to the 2025 Indenture that governs the 6% Senior Notes due 2025. The Company used the proceeds of the offering to repay $78.0 million of outstanding borrowings under the previous revolving credit facility and used the remainder to repay $444.5 million outstanding borrowings under the previous term loan facility and related accrued interest.</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63</w:t>
      </w:r>
    </w:p>
    <w:p>
      <w:pPr>
        <w:pStyle w:val="HorizontalLine"/>
        <w:rPr/>
      </w:pPr>
      <w:r>
        <w:rPr/>
      </w:r>
    </w:p>
    <w:p>
      <w:pPr>
        <w:pStyle w:val="TextBody"/>
        <w:spacing w:before="0" w:after="0"/>
        <w:rPr/>
      </w:pPr>
      <w:r>
        <w:rPr/>
        <w:t> </w:t>
      </w:r>
    </w:p>
    <w:p>
      <w:pPr>
        <w:pStyle w:val="TextBody"/>
        <w:spacing w:before="160" w:after="0"/>
        <w:rPr>
          <w:rFonts w:ascii="Times New Roman" w:hAnsi="Times New Roman"/>
          <w:b w:val="false"/>
          <w:i/>
          <w:caps w:val="false"/>
          <w:smallCaps w:val="false"/>
          <w:sz w:val="17"/>
        </w:rPr>
      </w:pPr>
      <w:r>
        <w:rPr>
          <w:rFonts w:ascii="Times New Roman" w:hAnsi="Times New Roman"/>
          <w:b w:val="false"/>
          <w:i/>
          <w:caps w:val="false"/>
          <w:smallCaps w:val="false"/>
          <w:sz w:val="17"/>
        </w:rPr>
        <w:t>7% Senior Notes due 2023</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July 23, 2015, the Company issued at par $375.0 million in aggregate principal amount of 7.0% senior notes due 2023 (“7% Senior Notes due 2023”) pursuant to an indenture, dated as of July 23, 2015 (the “2023 Indenture”), between the Company and U.S. Bank, National Association, as Trustee. The 7% Senior Notes due 2023 will mature on August 1, 2023, with interest payable semi-annually in arrears on February 1 and August 1 of each year.</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Lumière Loan</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borrowed $246 million from GLPI to fund the purchase price of the real estate underlying Lumière. The Lumière Loan bears interest at a rate equal to (i) 9.09% until October 1, 2019 and (ii) 9.27% until October 1, 2020, and matures on October 1, 2020. The Lumière Loan is secured by a first priority mortgage on the Lumière real property until October 1, 2019. In connection with the issuance of the Lumière Loan, we agreed to use our commercially reasonable efforts to transfer one or more of the Grand Victoria Casino, Isle Casino Bettendorf, Isle Casino Hotel Waterloo, Isle of Capri Lula, Lady Luck Casino Vicksburg and Mountaineer Casino, Racetrack and Resort or such other property or properties mutually acceptable to us and GLPI, provided that the aggregate value of such property, individually or collectively, is at least $246 million (the “Replacement Property”), to GLPI with a simultaneous leaseback to us of such Replacement Property. In connection with such Replacement Property sale, (i) we and GLPI will enter into an amendment to the Master Lease to revise the economic terms to include the Replacement Property, (ii) GLPI, or one of its affiliates, will assume the Lumière Loan and Tropicana St. Louis RE’s obligations under the Lumière Loan in consideration of the acquisition of the Replacement Property and our obligations under the Lumière Loan will be deemed to have been satisfied, (iii) the Lumière Real Property will be released from the lien placed on it in connection with the Lumière Loan (if such lien has not yet been released in accordance with the terms of the Lumière Loan) and (iv) in the event the value of the Replacement Property is greater than the our outstanding obligations under the Lumière Loan, GLPI will pay us the difference between the value of the Replacement Property and the amount of outstanding obligations under the Lumière Loan. If such Replacement Property transaction is not consummated prior to the maturity date of the Lumière Loan, other than as a result of certain failures to perform by GLPI, then the amounts outstanding will be paid in full and the rent under the Master Lease will automatically increase, subject to certain escalations.</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Debt Covenant Compliance</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we were in compliance with all of the covenants under the 7% Senior Notes due 2023, 6% Senior Notes due 2025, 6% Senior Notes due 2026, the Credit Facility and the Lumière Loan.</w:t>
      </w:r>
    </w:p>
    <w:p>
      <w:pPr>
        <w:pStyle w:val="TextBody"/>
        <w:spacing w:before="360" w:after="0"/>
        <w:rPr>
          <w:rFonts w:ascii="Times New Roman" w:hAnsi="Times New Roman"/>
          <w:b w:val="false"/>
          <w:i/>
          <w:caps w:val="false"/>
          <w:smallCaps w:val="false"/>
          <w:sz w:val="17"/>
        </w:rPr>
      </w:pPr>
      <w:r>
        <w:rPr>
          <w:rFonts w:ascii="Times New Roman" w:hAnsi="Times New Roman"/>
          <w:b w:val="false"/>
          <w:i/>
          <w:caps w:val="false"/>
          <w:smallCaps w:val="false"/>
          <w:sz w:val="17"/>
        </w:rPr>
        <w:t>Master Lease</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Master Lease is accounted for as a financing obligation and totaled $965.2 million as of June 30, 2019. The Master Lease contains certain covenants, including minimum capital improvement expenditures. As of June 30, 2019, we were in compliance with all of the covenants under the Master Lease. See Note 10 to our Consolidated Financial Statements for additional information about our Master Lease and related matters.</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Contractual Obligations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There have been no material changes for the six months ended June 30, 2019 to our contractual obligations as disclosed in our Annual Report on Form 10</w:t>
        <w:noBreakHyphen/>
        <w:t xml:space="preserve">K for the year ended December 31, 2018. </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Other Liquidity Matters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are faced with certain contingencies involving litigation and environmental remediation and compliance. These commitments and contingencies are discussed in “Part II, Item 1. Legal Proceedings” and Note 11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2018 and “Part II, Item IA. Risk Factors” which is included in this Quarterly Report on Form 10-Q for the quarter ended June 30, 2019.</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64</w:t>
      </w:r>
    </w:p>
    <w:p>
      <w:pPr>
        <w:pStyle w:val="HorizontalLine"/>
        <w:rPr/>
      </w:pPr>
      <w:r>
        <w:rPr/>
      </w:r>
    </w:p>
    <w:p>
      <w:pPr>
        <w:pStyle w:val="TextBody"/>
        <w:spacing w:before="0" w:after="0"/>
        <w:rPr/>
      </w:pPr>
      <w:r>
        <w:rPr/>
        <w:t> </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Critical Accounting Policies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critical accounting policies disclosures are included in our Annual Report on Form 10</w:t>
        <w:noBreakHyphen/>
        <w:t>K for the year ended December 31, 2018. Except as described in Note 2 to the accompanying condensed notes of these consolidated financial statements, we believe there have been no material changes since December 31, 2018. We have not substantively changed the application of our policies and there have been no material changes in assumptions or estimation techniques used as compared to prior periods.</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Off</w:t>
        <w:noBreakHyphen/>
        <w:t>Balance Sheet Arrangements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do not currently have any off</w:t>
        <w:noBreakHyphen/>
        <w:t>balance sheet arrangements.</w:t>
      </w:r>
    </w:p>
    <w:p>
      <w:pPr>
        <w:pStyle w:val="TextBody"/>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Cautionary Statement Regarding Forward</w:t>
        <w:noBreakHyphen/>
        <w:t>Looking Information</w:t>
      </w:r>
    </w:p>
    <w:p>
      <w:pPr>
        <w:pStyle w:val="TextBody"/>
        <w:spacing w:before="120" w:after="0"/>
        <w:rPr>
          <w:rFonts w:ascii="Times New Roman" w:hAnsi="Times New Roman"/>
          <w:b w:val="false"/>
          <w:i w:val="false"/>
          <w:caps w:val="false"/>
          <w:smallCaps w:val="false"/>
          <w:spacing w:val="-2"/>
          <w:sz w:val="17"/>
        </w:rPr>
      </w:pPr>
      <w:r>
        <w:rPr>
          <w:rFonts w:ascii="Times New Roman" w:hAnsi="Times New Roman"/>
          <w:b w:val="false"/>
          <w:i w:val="false"/>
          <w:caps w:val="false"/>
          <w:smallCaps w:val="false"/>
          <w:spacing w:val="-2"/>
          <w:sz w:val="17"/>
        </w:rPr>
        <w:t>This report includes “forward</w:t>
        <w:noBreakHyphen/>
        <w:t>looking statements” within the meaning of Section 27A of the Securities Act of 1933, as amended, and Section 21E of the Securities Exchange Act of 1934, as amended. Forward</w:t>
        <w:noBreakHyphen/>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noBreakHyphen/>
        <w:t>looking statements. Specifically, forward-looking statements may include, among others, statements concerning:</w:t>
      </w:r>
    </w:p>
    <w:tbl>
      <w:tblPr>
        <w:tblW w:w="4645" w:type="dxa"/>
        <w:jc w:val="left"/>
        <w:tblInd w:w="0" w:type="dxa"/>
        <w:tblCellMar>
          <w:top w:w="0" w:type="dxa"/>
          <w:left w:w="0" w:type="dxa"/>
          <w:bottom w:w="0" w:type="dxa"/>
          <w:right w:w="0" w:type="dxa"/>
        </w:tblCellMar>
      </w:tblPr>
      <w:tblGrid>
        <w:gridCol w:w="60"/>
        <w:gridCol w:w="110"/>
        <w:gridCol w:w="447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447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projections of future results of operations or financial condition;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our ability to consummate the acquisition of Caesars, the related real estate transactions with VICI and the disposition of Mountaineer and our properties located in Cape Girardeau, Caruthersville, Kansas City and Vicksburg; </w:t>
            </w:r>
          </w:p>
        </w:tc>
      </w:tr>
    </w:tbl>
    <w:tbl>
      <w:tblPr>
        <w:tblW w:w="9385" w:type="dxa"/>
        <w:jc w:val="left"/>
        <w:tblInd w:w="0" w:type="dxa"/>
        <w:tblCellMar>
          <w:top w:w="0" w:type="dxa"/>
          <w:left w:w="0" w:type="dxa"/>
          <w:bottom w:w="0" w:type="dxa"/>
          <w:right w:w="0" w:type="dxa"/>
        </w:tblCellMar>
      </w:tblPr>
      <w:tblGrid>
        <w:gridCol w:w="60"/>
        <w:gridCol w:w="110"/>
        <w:gridCol w:w="921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921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expectations regarding our business and results of operations of our existing casino properties and prospects for future development;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expectations regarding trends that will affect our market and the gaming industry generally and the impact of those trends on our business and results of operations;</w:t>
            </w:r>
          </w:p>
        </w:tc>
      </w:tr>
    </w:tbl>
    <w:tbl>
      <w:tblPr>
        <w:tblW w:w="7135" w:type="dxa"/>
        <w:jc w:val="left"/>
        <w:tblInd w:w="0" w:type="dxa"/>
        <w:tblCellMar>
          <w:top w:w="0" w:type="dxa"/>
          <w:left w:w="0" w:type="dxa"/>
          <w:bottom w:w="0" w:type="dxa"/>
          <w:right w:w="0" w:type="dxa"/>
        </w:tblCellMar>
      </w:tblPr>
      <w:tblGrid>
        <w:gridCol w:w="60"/>
        <w:gridCol w:w="110"/>
        <w:gridCol w:w="696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696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ability to comply with the covenants in the agreements governing our outstanding indebtedness;</w:t>
            </w:r>
          </w:p>
        </w:tc>
      </w:tr>
    </w:tbl>
    <w:tbl>
      <w:tblPr>
        <w:tblW w:w="8260" w:type="dxa"/>
        <w:jc w:val="left"/>
        <w:tblInd w:w="0" w:type="dxa"/>
        <w:tblCellMar>
          <w:top w:w="0" w:type="dxa"/>
          <w:left w:w="0" w:type="dxa"/>
          <w:bottom w:w="0" w:type="dxa"/>
          <w:right w:w="0" w:type="dxa"/>
        </w:tblCellMar>
      </w:tblPr>
      <w:tblGrid>
        <w:gridCol w:w="60"/>
        <w:gridCol w:w="110"/>
        <w:gridCol w:w="809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809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ability to meet our projected debt service obligations, operating expenses, and maintenance capital expenditures;</w:t>
            </w:r>
          </w:p>
        </w:tc>
      </w:tr>
    </w:tbl>
    <w:tbl>
      <w:tblPr>
        <w:tblW w:w="4000" w:type="dxa"/>
        <w:jc w:val="left"/>
        <w:tblInd w:w="0" w:type="dxa"/>
        <w:tblCellMar>
          <w:top w:w="0" w:type="dxa"/>
          <w:left w:w="0" w:type="dxa"/>
          <w:bottom w:w="0" w:type="dxa"/>
          <w:right w:w="0" w:type="dxa"/>
        </w:tblCellMar>
      </w:tblPr>
      <w:tblGrid>
        <w:gridCol w:w="60"/>
        <w:gridCol w:w="110"/>
        <w:gridCol w:w="383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383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expectations regarding availability of capital resources;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intention to pursue development opportunities, including the development of a mixed-use entertainment and hospitality destination expected to be located on unused land adjacent to the Pompano casino and racetrack, and additional acquisitions and divestitures;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ability to obtain financing for, and realize the anticipated benefits, of the acquisition of Caesars and future development and acquisition opportunities;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impact of regulation on our business and our ability to receive and maintain necessary approvals for our existing properties and future projects and operation of online sportsbook, poker and gaming</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Any forward</w:t>
        <w:noBreakHyphen/>
        <w:t>looking statements are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noBreakHyphen/>
        <w:t>looking statements made herein. Forward</w:t>
        <w:noBreakHyphen/>
        <w:t>looking statements speak only as of the date they are made, and we assume no duty to update forward-looking statements. Forward-looking statements should not be regarded as a representation by us or any other person that the forward</w:t>
        <w:noBreakHyphen/>
        <w:t>looking statements will be achieved. Undue reliance should not be placed on any forward</w:t>
        <w:noBreakHyphen/>
        <w:t>looking statements. Some of the contingencies and uncertainties to which any forward</w:t>
        <w:noBreakHyphen/>
        <w:t>looking statement contained herein is subject include, but are not limited to, the following: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substantial indebtedness and significant financial commitments, including our obligations under the Master Lease, could adversely affect our results of operations and our ability to service such obligations, react to changes in our markets and pursue development and acquisition opportunities;</w:t>
            </w:r>
          </w:p>
        </w:tc>
      </w:tr>
    </w:tbl>
    <w:tbl>
      <w:tblPr>
        <w:tblW w:w="9835" w:type="dxa"/>
        <w:jc w:val="left"/>
        <w:tblInd w:w="0" w:type="dxa"/>
        <w:tblCellMar>
          <w:top w:w="0" w:type="dxa"/>
          <w:left w:w="0" w:type="dxa"/>
          <w:bottom w:w="0" w:type="dxa"/>
          <w:right w:w="0" w:type="dxa"/>
        </w:tblCellMar>
      </w:tblPr>
      <w:tblGrid>
        <w:gridCol w:w="60"/>
        <w:gridCol w:w="110"/>
        <w:gridCol w:w="966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966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restrictions and limitations in agreements governing our debt could significantly affect our ability to operate our business and our liquidity;</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65</w:t>
      </w:r>
    </w:p>
    <w:p>
      <w:pPr>
        <w:pStyle w:val="HorizontalLine"/>
        <w:rPr/>
      </w:pPr>
      <w:r>
        <w:rPr/>
      </w:r>
    </w:p>
    <w:p>
      <w:pPr>
        <w:pStyle w:val="TextBody"/>
        <w:spacing w:before="0" w:after="0"/>
        <w:rPr/>
      </w:pPr>
      <w:r>
        <w:rPr/>
        <w:t> </w:t>
      </w:r>
    </w:p>
    <w:tbl>
      <w:tblPr>
        <w:tblW w:w="8080" w:type="dxa"/>
        <w:jc w:val="left"/>
        <w:tblInd w:w="0" w:type="dxa"/>
        <w:tblCellMar>
          <w:top w:w="0" w:type="dxa"/>
          <w:left w:w="0" w:type="dxa"/>
          <w:bottom w:w="0" w:type="dxa"/>
          <w:right w:w="0" w:type="dxa"/>
        </w:tblCellMar>
      </w:tblPr>
      <w:tblGrid>
        <w:gridCol w:w="60"/>
        <w:gridCol w:w="110"/>
        <w:gridCol w:w="791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791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risks relating to payment of a significant portion of our cash flow as debt service and rent under the Master Lease;</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financial, operational, regulatory or other potential challenges that may arise as a result of leasing of a number of our properties from a single lessor;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our facilities operate in very competitive environments and we face increasing competition including through legalization of online betting and gaming;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uncertainty regarding legalization of betting and online gaming in the jurisdictions in which we operate and conditions applicable to obtaining the licenses required to enable our betting and online gaming partners to conduct betting and gaming activities;</w:t>
            </w:r>
          </w:p>
        </w:tc>
      </w:tr>
    </w:tbl>
    <w:tbl>
      <w:tblPr>
        <w:tblW w:w="8665" w:type="dxa"/>
        <w:jc w:val="left"/>
        <w:tblInd w:w="0" w:type="dxa"/>
        <w:tblCellMar>
          <w:top w:w="0" w:type="dxa"/>
          <w:left w:w="0" w:type="dxa"/>
          <w:bottom w:w="0" w:type="dxa"/>
          <w:right w:w="0" w:type="dxa"/>
        </w:tblCellMar>
      </w:tblPr>
      <w:tblGrid>
        <w:gridCol w:w="60"/>
        <w:gridCol w:w="110"/>
        <w:gridCol w:w="849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849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ability to identify suitable acquisition opportunities and realize growth and cost synergies from any future acquisitions;</w:t>
            </w:r>
          </w:p>
        </w:tc>
      </w:tr>
    </w:tbl>
    <w:tbl>
      <w:tblPr>
        <w:tblW w:w="8575" w:type="dxa"/>
        <w:jc w:val="left"/>
        <w:tblInd w:w="0" w:type="dxa"/>
        <w:tblCellMar>
          <w:top w:w="0" w:type="dxa"/>
          <w:left w:w="0" w:type="dxa"/>
          <w:bottom w:w="0" w:type="dxa"/>
          <w:right w:w="0" w:type="dxa"/>
        </w:tblCellMar>
      </w:tblPr>
      <w:tblGrid>
        <w:gridCol w:w="60"/>
        <w:gridCol w:w="110"/>
        <w:gridCol w:w="840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840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future maintenance, development or expansion projects will be subject to significant development and construction risks;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operations are particularly sensitive to reductions in discretionary consumer spending and are affected by changes in general economic and market conditions;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gaming operations are highly regulated by governmental authorities and the cost of complying or the impact of failing to comply with such regulations;</w:t>
            </w:r>
          </w:p>
        </w:tc>
      </w:tr>
    </w:tbl>
    <w:tbl>
      <w:tblPr>
        <w:tblW w:w="5050" w:type="dxa"/>
        <w:jc w:val="left"/>
        <w:tblInd w:w="0" w:type="dxa"/>
        <w:tblCellMar>
          <w:top w:w="0" w:type="dxa"/>
          <w:left w:w="0" w:type="dxa"/>
          <w:bottom w:w="0" w:type="dxa"/>
          <w:right w:w="0" w:type="dxa"/>
        </w:tblCellMar>
      </w:tblPr>
      <w:tblGrid>
        <w:gridCol w:w="60"/>
        <w:gridCol w:w="110"/>
        <w:gridCol w:w="488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488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changes in gaming taxes and fees in jurisdictions in which we operate;</w:t>
            </w:r>
          </w:p>
        </w:tc>
      </w:tr>
    </w:tbl>
    <w:tbl>
      <w:tblPr>
        <w:tblW w:w="5710" w:type="dxa"/>
        <w:jc w:val="left"/>
        <w:tblInd w:w="0" w:type="dxa"/>
        <w:tblCellMar>
          <w:top w:w="0" w:type="dxa"/>
          <w:left w:w="0" w:type="dxa"/>
          <w:bottom w:w="0" w:type="dxa"/>
          <w:right w:w="0" w:type="dxa"/>
        </w:tblCellMar>
      </w:tblPr>
      <w:tblGrid>
        <w:gridCol w:w="60"/>
        <w:gridCol w:w="110"/>
        <w:gridCol w:w="554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554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risks relating to pending claims or future claims that may be brought against us;</w:t>
            </w:r>
          </w:p>
        </w:tc>
      </w:tr>
    </w:tbl>
    <w:tbl>
      <w:tblPr>
        <w:tblW w:w="3985" w:type="dxa"/>
        <w:jc w:val="left"/>
        <w:tblInd w:w="0" w:type="dxa"/>
        <w:tblCellMar>
          <w:top w:w="0" w:type="dxa"/>
          <w:left w:w="0" w:type="dxa"/>
          <w:bottom w:w="0" w:type="dxa"/>
          <w:right w:w="0" w:type="dxa"/>
        </w:tblCellMar>
      </w:tblPr>
      <w:tblGrid>
        <w:gridCol w:w="60"/>
        <w:gridCol w:w="110"/>
        <w:gridCol w:w="381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381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changes in interest rates and capital and credit markets;</w:t>
            </w:r>
          </w:p>
        </w:tc>
      </w:tr>
    </w:tbl>
    <w:tbl>
      <w:tblPr>
        <w:tblW w:w="6400" w:type="dxa"/>
        <w:jc w:val="left"/>
        <w:tblInd w:w="0" w:type="dxa"/>
        <w:tblCellMar>
          <w:top w:w="0" w:type="dxa"/>
          <w:left w:w="0" w:type="dxa"/>
          <w:bottom w:w="0" w:type="dxa"/>
          <w:right w:w="0" w:type="dxa"/>
        </w:tblCellMar>
      </w:tblPr>
      <w:tblGrid>
        <w:gridCol w:w="60"/>
        <w:gridCol w:w="110"/>
        <w:gridCol w:w="623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623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ability to comply with certain covenants in our debt documents and the Master Lease;</w:t>
            </w:r>
          </w:p>
        </w:tc>
      </w:tr>
    </w:tbl>
    <w:tbl>
      <w:tblPr>
        <w:tblW w:w="6595" w:type="dxa"/>
        <w:jc w:val="left"/>
        <w:tblInd w:w="0" w:type="dxa"/>
        <w:tblCellMar>
          <w:top w:w="0" w:type="dxa"/>
          <w:left w:w="0" w:type="dxa"/>
          <w:bottom w:w="0" w:type="dxa"/>
          <w:right w:w="0" w:type="dxa"/>
        </w:tblCellMar>
      </w:tblPr>
      <w:tblGrid>
        <w:gridCol w:w="60"/>
        <w:gridCol w:w="110"/>
        <w:gridCol w:w="642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642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effect of disruptions to our information technology and other systems and infrastructure;</w:t>
            </w:r>
          </w:p>
        </w:tc>
      </w:tr>
    </w:tbl>
    <w:tbl>
      <w:tblPr>
        <w:tblW w:w="3070" w:type="dxa"/>
        <w:jc w:val="left"/>
        <w:tblInd w:w="0" w:type="dxa"/>
        <w:tblCellMar>
          <w:top w:w="0" w:type="dxa"/>
          <w:left w:w="0" w:type="dxa"/>
          <w:bottom w:w="0" w:type="dxa"/>
          <w:right w:w="0" w:type="dxa"/>
        </w:tblCellMar>
      </w:tblPr>
      <w:tblGrid>
        <w:gridCol w:w="60"/>
        <w:gridCol w:w="110"/>
        <w:gridCol w:w="290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290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ability to attract and retain customers;</w:t>
            </w:r>
          </w:p>
        </w:tc>
      </w:tr>
    </w:tbl>
    <w:tbl>
      <w:tblPr>
        <w:tblW w:w="4345" w:type="dxa"/>
        <w:jc w:val="left"/>
        <w:tblInd w:w="0" w:type="dxa"/>
        <w:tblCellMar>
          <w:top w:w="0" w:type="dxa"/>
          <w:left w:w="0" w:type="dxa"/>
          <w:bottom w:w="0" w:type="dxa"/>
          <w:right w:w="0" w:type="dxa"/>
        </w:tblCellMar>
      </w:tblPr>
      <w:tblGrid>
        <w:gridCol w:w="60"/>
        <w:gridCol w:w="110"/>
        <w:gridCol w:w="417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417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weather or road conditions limiting access to our properties;</w:t>
            </w:r>
          </w:p>
        </w:tc>
      </w:tr>
    </w:tbl>
    <w:tbl>
      <w:tblPr>
        <w:tblW w:w="6970" w:type="dxa"/>
        <w:jc w:val="left"/>
        <w:tblInd w:w="0" w:type="dxa"/>
        <w:tblCellMar>
          <w:top w:w="0" w:type="dxa"/>
          <w:left w:w="0" w:type="dxa"/>
          <w:bottom w:w="0" w:type="dxa"/>
          <w:right w:w="0" w:type="dxa"/>
        </w:tblCellMar>
      </w:tblPr>
      <w:tblGrid>
        <w:gridCol w:w="60"/>
        <w:gridCol w:w="110"/>
        <w:gridCol w:w="680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680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effect of war, terrorist activity, acts of violence, natural disasters and other catastrophic events;</w:t>
            </w:r>
          </w:p>
        </w:tc>
      </w:tr>
    </w:tbl>
    <w:tbl>
      <w:tblPr>
        <w:tblW w:w="7450" w:type="dxa"/>
        <w:jc w:val="left"/>
        <w:tblInd w:w="0" w:type="dxa"/>
        <w:tblCellMar>
          <w:top w:w="0" w:type="dxa"/>
          <w:left w:w="0" w:type="dxa"/>
          <w:bottom w:w="0" w:type="dxa"/>
          <w:right w:w="0" w:type="dxa"/>
        </w:tblCellMar>
      </w:tblPr>
      <w:tblGrid>
        <w:gridCol w:w="60"/>
        <w:gridCol w:w="110"/>
        <w:gridCol w:w="7280"/>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7280"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intense competition to attract and retain management and key employees in the gaming industry;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other factors described in Part II, Item 1A. “Risk Factors” contained herein and our reports on Form 10-K, Form 10-Q and Form 8-K filed with the Securities and Exchange Commission.</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addition, the acquisition of Caesars, the related real estate transactions with VICI and the disposition of Mountaineer and our properties located in Cape Girardeau, Caruthersville, Kansas City and Vicksburg and the provisions of the related acquisition agreements create additional risks, uncertainties and other important factors, including but not limited to:</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ability to obtain required regulatory approvals (including, in the case of the divestitures, approval from gaming regulators and expiration of the waiting period under the HSR Act), shareholder approvals and to satisfy or waive other closing conditions to consummate such transactions on a timely basis or at all;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possibility that the one or more of such transactions do not close on the terms described herein or that we are required to modify aspects of one or more of such transactions to obtain, or otherwise take action to satisfy conditions imposed in connection with, required regulatory approvals;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ability to obtain financing to pay the merger consideration and refinance our outstanding debt on the terms expected, or at all, and the impact of uncertainty in the global economy and credit markets on such financing activities;</w:t>
            </w:r>
          </w:p>
        </w:tc>
      </w:tr>
    </w:tbl>
    <w:tbl>
      <w:tblPr>
        <w:tblW w:w="7735" w:type="dxa"/>
        <w:jc w:val="left"/>
        <w:tblInd w:w="0" w:type="dxa"/>
        <w:tblCellMar>
          <w:top w:w="0" w:type="dxa"/>
          <w:left w:w="0" w:type="dxa"/>
          <w:bottom w:w="0" w:type="dxa"/>
          <w:right w:w="0" w:type="dxa"/>
        </w:tblCellMar>
      </w:tblPr>
      <w:tblGrid>
        <w:gridCol w:w="60"/>
        <w:gridCol w:w="110"/>
        <w:gridCol w:w="756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756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risks associated with increased leverage and increased lease payments as a result of the proposed transactions;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possibility that the anticipated benefits of the proposed transactions, including cost savings and expected synergies, are not realized when expected, or at all, including as a result of our ability to promptly and effectively implement our operating strategies and integrate our business and Caesars’ business;</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66</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incurrence of significant transaction and merger-related costs and the possibility that the transactions may be more expensive to complete than expected, including as a result of unexpected factors or events; </w:t>
            </w:r>
          </w:p>
        </w:tc>
      </w:tr>
    </w:tbl>
    <w:tbl>
      <w:tblPr>
        <w:tblW w:w="3775" w:type="dxa"/>
        <w:jc w:val="left"/>
        <w:tblInd w:w="0" w:type="dxa"/>
        <w:tblCellMar>
          <w:top w:w="0" w:type="dxa"/>
          <w:left w:w="0" w:type="dxa"/>
          <w:bottom w:w="0" w:type="dxa"/>
          <w:right w:w="0" w:type="dxa"/>
        </w:tblCellMar>
      </w:tblPr>
      <w:tblGrid>
        <w:gridCol w:w="60"/>
        <w:gridCol w:w="110"/>
        <w:gridCol w:w="360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360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competitive responses to the proposed transactions; </w:t>
            </w:r>
          </w:p>
        </w:tc>
      </w:tr>
    </w:tbl>
    <w:tbl>
      <w:tblPr>
        <w:tblW w:w="8275" w:type="dxa"/>
        <w:jc w:val="left"/>
        <w:tblInd w:w="0" w:type="dxa"/>
        <w:tblCellMar>
          <w:top w:w="0" w:type="dxa"/>
          <w:left w:w="0" w:type="dxa"/>
          <w:bottom w:w="0" w:type="dxa"/>
          <w:right w:w="0" w:type="dxa"/>
        </w:tblCellMar>
      </w:tblPr>
      <w:tblGrid>
        <w:gridCol w:w="60"/>
        <w:gridCol w:w="110"/>
        <w:gridCol w:w="8105"/>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110" w:type="dxa"/>
            <w:tcBorders/>
            <w:shd w:fill="auto" w:val="clear"/>
          </w:tcPr>
          <w:p>
            <w:pPr>
              <w:pStyle w:val="TableContents"/>
              <w:spacing w:before="0" w:after="120"/>
              <w:rPr>
                <w:caps w:val="false"/>
                <w:smallCaps w:val="false"/>
              </w:rPr>
            </w:pPr>
            <w:r>
              <w:rPr>
                <w:caps w:val="false"/>
                <w:smallCaps w:val="false"/>
              </w:rPr>
              <w:t>•</w:t>
            </w:r>
          </w:p>
        </w:tc>
        <w:tc>
          <w:tcPr>
            <w:tcW w:w="8105"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possibility that our business or Caesars’ business may suffer as a result of the announcement of the acquisition;    </w:t>
            </w:r>
          </w:p>
        </w:tc>
      </w:tr>
    </w:tbl>
    <w:tbl>
      <w:tblPr>
        <w:tblW w:w="4945" w:type="dxa"/>
        <w:jc w:val="left"/>
        <w:tblInd w:w="0" w:type="dxa"/>
        <w:tblCellMar>
          <w:top w:w="0" w:type="dxa"/>
          <w:left w:w="0" w:type="dxa"/>
          <w:bottom w:w="0" w:type="dxa"/>
          <w:right w:w="0" w:type="dxa"/>
        </w:tblCellMar>
      </w:tblPr>
      <w:tblGrid>
        <w:gridCol w:w="60"/>
        <w:gridCol w:w="110"/>
        <w:gridCol w:w="477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477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ability to retain our key employees and Caesars’ key employees; </w:t>
            </w:r>
          </w:p>
        </w:tc>
      </w:tr>
    </w:tbl>
    <w:tbl>
      <w:tblPr>
        <w:tblW w:w="6835" w:type="dxa"/>
        <w:jc w:val="left"/>
        <w:tblInd w:w="0" w:type="dxa"/>
        <w:tblCellMar>
          <w:top w:w="0" w:type="dxa"/>
          <w:left w:w="0" w:type="dxa"/>
          <w:bottom w:w="0" w:type="dxa"/>
          <w:right w:w="0" w:type="dxa"/>
        </w:tblCellMar>
      </w:tblPr>
      <w:tblGrid>
        <w:gridCol w:w="60"/>
        <w:gridCol w:w="110"/>
        <w:gridCol w:w="6665"/>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110" w:type="dxa"/>
            <w:tcBorders/>
            <w:shd w:fill="auto" w:val="clear"/>
          </w:tcPr>
          <w:p>
            <w:pPr>
              <w:pStyle w:val="TableContents"/>
              <w:spacing w:before="0" w:after="120"/>
              <w:rPr>
                <w:caps w:val="false"/>
                <w:smallCaps w:val="false"/>
              </w:rPr>
            </w:pPr>
            <w:r>
              <w:rPr>
                <w:caps w:val="false"/>
                <w:smallCaps w:val="false"/>
              </w:rPr>
              <w:t>•</w:t>
            </w:r>
          </w:p>
        </w:tc>
        <w:tc>
          <w:tcPr>
            <w:tcW w:w="6665"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outcome of legal proceedings that may be instituted as a result of the proposed transactions; </w:t>
            </w:r>
          </w:p>
        </w:tc>
      </w:tr>
    </w:tbl>
    <w:tbl>
      <w:tblPr>
        <w:tblW w:w="8185" w:type="dxa"/>
        <w:jc w:val="left"/>
        <w:tblInd w:w="0" w:type="dxa"/>
        <w:tblCellMar>
          <w:top w:w="0" w:type="dxa"/>
          <w:left w:w="0" w:type="dxa"/>
          <w:bottom w:w="0" w:type="dxa"/>
          <w:right w:w="0" w:type="dxa"/>
        </w:tblCellMar>
      </w:tblPr>
      <w:tblGrid>
        <w:gridCol w:w="60"/>
        <w:gridCol w:w="110"/>
        <w:gridCol w:w="8015"/>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110" w:type="dxa"/>
            <w:tcBorders/>
            <w:shd w:fill="auto" w:val="clear"/>
          </w:tcPr>
          <w:p>
            <w:pPr>
              <w:pStyle w:val="TableContents"/>
              <w:spacing w:before="0" w:after="120"/>
              <w:rPr>
                <w:caps w:val="false"/>
                <w:smallCaps w:val="false"/>
              </w:rPr>
            </w:pPr>
            <w:r>
              <w:rPr>
                <w:caps w:val="false"/>
                <w:smallCaps w:val="false"/>
              </w:rPr>
              <w:t>•</w:t>
            </w:r>
          </w:p>
        </w:tc>
        <w:tc>
          <w:tcPr>
            <w:tcW w:w="8015"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impact of the proposed transactions, or the failure to consummate the proposed transactions, on our stock price;</w:t>
            </w:r>
          </w:p>
        </w:tc>
      </w:tr>
    </w:tbl>
    <w:tbl>
      <w:tblPr>
        <w:tblW w:w="4885" w:type="dxa"/>
        <w:jc w:val="left"/>
        <w:tblInd w:w="0" w:type="dxa"/>
        <w:tblCellMar>
          <w:top w:w="0" w:type="dxa"/>
          <w:left w:w="0" w:type="dxa"/>
          <w:bottom w:w="0" w:type="dxa"/>
          <w:right w:w="0" w:type="dxa"/>
        </w:tblCellMar>
      </w:tblPr>
      <w:tblGrid>
        <w:gridCol w:w="60"/>
        <w:gridCol w:w="110"/>
        <w:gridCol w:w="4715"/>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110" w:type="dxa"/>
            <w:tcBorders/>
            <w:shd w:fill="auto" w:val="clear"/>
          </w:tcPr>
          <w:p>
            <w:pPr>
              <w:pStyle w:val="TableContents"/>
              <w:spacing w:before="0" w:after="120"/>
              <w:rPr>
                <w:caps w:val="false"/>
                <w:smallCaps w:val="false"/>
              </w:rPr>
            </w:pPr>
            <w:r>
              <w:rPr>
                <w:caps w:val="false"/>
                <w:smallCaps w:val="false"/>
              </w:rPr>
              <w:t>•</w:t>
            </w:r>
          </w:p>
        </w:tc>
        <w:tc>
          <w:tcPr>
            <w:tcW w:w="4715"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diversion of management’s attention from our ongoing operations; </w:t>
            </w:r>
          </w:p>
        </w:tc>
      </w:tr>
    </w:tbl>
    <w:tbl>
      <w:tblPr>
        <w:tblW w:w="8785" w:type="dxa"/>
        <w:jc w:val="left"/>
        <w:tblInd w:w="0" w:type="dxa"/>
        <w:tblCellMar>
          <w:top w:w="0" w:type="dxa"/>
          <w:left w:w="0" w:type="dxa"/>
          <w:bottom w:w="0" w:type="dxa"/>
          <w:right w:w="0" w:type="dxa"/>
        </w:tblCellMar>
      </w:tblPr>
      <w:tblGrid>
        <w:gridCol w:w="60"/>
        <w:gridCol w:w="110"/>
        <w:gridCol w:w="8615"/>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110" w:type="dxa"/>
            <w:tcBorders/>
            <w:shd w:fill="auto" w:val="clear"/>
          </w:tcPr>
          <w:p>
            <w:pPr>
              <w:pStyle w:val="TableContents"/>
              <w:spacing w:before="0" w:after="120"/>
              <w:rPr>
                <w:caps w:val="false"/>
                <w:smallCaps w:val="false"/>
              </w:rPr>
            </w:pPr>
            <w:r>
              <w:rPr>
                <w:caps w:val="false"/>
                <w:smallCaps w:val="false"/>
              </w:rPr>
              <w:t>•</w:t>
            </w:r>
          </w:p>
        </w:tc>
        <w:tc>
          <w:tcPr>
            <w:tcW w:w="8615"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impact of provisions of the Merger Agreement limiting the operation of our business prior to the closing of the Merger;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impact of the announcement or consummation of the proposed transactions on the Company’s relationships with third parties, which may make it more difficult to maintain business relationships;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120"/>
              <w:rPr>
                <w:caps w:val="false"/>
                <w:smallCaps w:val="false"/>
              </w:rPr>
            </w:pPr>
            <w:r>
              <w:rPr>
                <w:caps w:val="false"/>
                <w:smallCaps w:val="false"/>
              </w:rPr>
              <w:t> </w:t>
            </w:r>
          </w:p>
        </w:tc>
        <w:tc>
          <w:tcPr>
            <w:tcW w:w="110" w:type="dxa"/>
            <w:tcBorders/>
            <w:shd w:fill="auto" w:val="clear"/>
          </w:tcPr>
          <w:p>
            <w:pPr>
              <w:pStyle w:val="TableContents"/>
              <w:spacing w:before="120" w:after="120"/>
              <w:rPr>
                <w:caps w:val="false"/>
                <w:smallCaps w:val="false"/>
              </w:rPr>
            </w:pPr>
            <w:r>
              <w:rPr>
                <w:caps w:val="false"/>
                <w:smallCaps w:val="false"/>
              </w:rPr>
              <w:t>•</w:t>
            </w:r>
          </w:p>
        </w:tc>
        <w:tc>
          <w:tcPr>
            <w:tcW w:w="10035" w:type="dxa"/>
            <w:tcBorders/>
            <w:shd w:fill="auto" w:val="clear"/>
          </w:tcPr>
          <w:p>
            <w:pPr>
              <w:pStyle w:val="TableContents"/>
              <w:spacing w:before="12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other risks and uncertainties described in Part II, Item 1A. “Risk Factors” contained herein and our reports on Form 10-K, Form 10-Q and Form 8-K filed with the Securities and Exchange Commission.</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light of these and other risks, uncertainties and assumptions, the forward</w:t>
        <w:noBreakHyphen/>
        <w:t>looking events discussed in this report might not occur. These forward</w:t>
        <w:noBreakHyphen/>
        <w:t>looking statements speak only as of the date on which this statement is made, even if subsequently made available on our website or otherwise, and we do not intend to update publicly any forward</w:t>
        <w:noBreakHyphen/>
        <w:t>looking statement to reflect events or circumstances that occur after the date on which the statement is made, except as may be required by law.</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You should also be aware that while we from time to time communicate with securities analysts, we do not disclose to them any material non</w:t>
        <w:noBreakHyphen/>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pStyle w:val="TextBody"/>
        <w:spacing w:before="0" w:after="0"/>
        <w:rPr/>
      </w:pPr>
      <w:r>
        <w:rPr/>
        <w:t> </w:t>
      </w:r>
    </w:p>
    <w:tbl>
      <w:tblPr>
        <w:tblW w:w="6625" w:type="dxa"/>
        <w:jc w:val="left"/>
        <w:tblInd w:w="0" w:type="dxa"/>
        <w:tblCellMar>
          <w:top w:w="0" w:type="dxa"/>
          <w:left w:w="0" w:type="dxa"/>
          <w:bottom w:w="0" w:type="dxa"/>
          <w:right w:w="0" w:type="dxa"/>
        </w:tblCellMar>
      </w:tblPr>
      <w:tblGrid>
        <w:gridCol w:w="620"/>
        <w:gridCol w:w="6005"/>
      </w:tblGrid>
      <w:tr>
        <w:trPr/>
        <w:tc>
          <w:tcPr>
            <w:tcW w:w="620" w:type="dxa"/>
            <w:tcBorders/>
            <w:shd w:fill="auto" w:val="clear"/>
          </w:tcPr>
          <w:p>
            <w:pPr>
              <w:pStyle w:val="TableContents"/>
              <w:spacing w:before="160" w:after="0"/>
              <w:rPr>
                <w:rFonts w:ascii="Times New Roman" w:hAnsi="Times New Roman"/>
                <w:b/>
                <w:i w:val="false"/>
                <w:caps w:val="false"/>
                <w:smallCaps w:val="false"/>
                <w:sz w:val="17"/>
              </w:rPr>
            </w:pPr>
            <w:r>
              <w:rPr>
                <w:rFonts w:ascii="Times New Roman" w:hAnsi="Times New Roman"/>
                <w:b/>
                <w:i w:val="false"/>
                <w:caps w:val="false"/>
                <w:smallCaps w:val="false"/>
                <w:sz w:val="17"/>
              </w:rPr>
              <w:t>ITEM 3.</w:t>
            </w:r>
          </w:p>
        </w:tc>
        <w:tc>
          <w:tcPr>
            <w:tcW w:w="6005" w:type="dxa"/>
            <w:tcBorders/>
            <w:shd w:fill="auto" w:val="clear"/>
          </w:tcPr>
          <w:p>
            <w:pPr>
              <w:pStyle w:val="TableContents"/>
              <w:spacing w:before="160" w:after="0"/>
              <w:rPr>
                <w:rFonts w:ascii="Times New Roman" w:hAnsi="Times New Roman"/>
                <w:b/>
                <w:i w:val="false"/>
                <w:caps w:val="false"/>
                <w:smallCaps w:val="false"/>
                <w:sz w:val="17"/>
              </w:rPr>
            </w:pPr>
            <w:bookmarkStart w:id="11" w:name="ITEM_3_QUANTITATIVE_QUALITATIVE_DISCLOSU"/>
            <w:bookmarkEnd w:id="11"/>
            <w:r>
              <w:rPr>
                <w:rFonts w:ascii="Times New Roman" w:hAnsi="Times New Roman"/>
                <w:b/>
                <w:i w:val="false"/>
                <w:caps w:val="false"/>
                <w:smallCaps w:val="false"/>
                <w:sz w:val="17"/>
              </w:rPr>
              <w:t>QUANTITATIVE AND QUALITATIVE DISCLOSURES ABOUT MARKET RISK.</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Market risk is the risk of loss arising from adverse changes in market rates and prices, such as interest rates, foreign currency exchange rates and commodity prices. We are exposed to changes in interest rates primarily from variable rate long</w:t>
        <w:noBreakHyphen/>
        <w:t>term debt arrangements. At June 30, 2019, interest on borrowings under our Credit Facility was subject to fluctuation based on changes in short-term interest rates.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our long</w:t>
        <w:noBreakHyphen/>
        <w:t>term variable</w:t>
        <w:noBreakHyphen/>
        <w:t>rate borrowings totaled $956.8 million under the Term Loan and nothing outstanding under the Revolving Credit Facility, representing approximately 31% of our long</w:t>
        <w:noBreakHyphen/>
        <w:t>term debt compared to 43% of our long</w:t>
        <w:noBreakHyphen/>
        <w:t>term debt as of June 30, 2018. During the six months ended June 30, 2019, the weighted average interest rates on our variable and fixed rate debt were 4.69% and 6.54%, respectively.</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three months ended June 30, 2019.</w:t>
      </w:r>
    </w:p>
    <w:tbl>
      <w:tblPr>
        <w:tblW w:w="3205" w:type="dxa"/>
        <w:jc w:val="left"/>
        <w:tblInd w:w="0" w:type="dxa"/>
        <w:tblCellMar>
          <w:top w:w="0" w:type="dxa"/>
          <w:left w:w="0" w:type="dxa"/>
          <w:bottom w:w="0" w:type="dxa"/>
          <w:right w:w="0" w:type="dxa"/>
        </w:tblCellMar>
      </w:tblPr>
      <w:tblGrid>
        <w:gridCol w:w="620"/>
        <w:gridCol w:w="2585"/>
      </w:tblGrid>
      <w:tr>
        <w:trPr/>
        <w:tc>
          <w:tcPr>
            <w:tcW w:w="620" w:type="dxa"/>
            <w:tcBorders/>
            <w:shd w:fill="auto" w:val="clear"/>
          </w:tcPr>
          <w:p>
            <w:pPr>
              <w:pStyle w:val="TableContents"/>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ITEM 4.</w:t>
            </w:r>
          </w:p>
        </w:tc>
        <w:tc>
          <w:tcPr>
            <w:tcW w:w="2585" w:type="dxa"/>
            <w:tcBorders/>
            <w:shd w:fill="auto" w:val="clear"/>
          </w:tcPr>
          <w:p>
            <w:pPr>
              <w:pStyle w:val="TableContents"/>
              <w:spacing w:before="360" w:after="0"/>
              <w:rPr>
                <w:rFonts w:ascii="Times New Roman" w:hAnsi="Times New Roman"/>
                <w:b/>
                <w:i w:val="false"/>
                <w:caps w:val="false"/>
                <w:smallCaps w:val="false"/>
                <w:sz w:val="17"/>
              </w:rPr>
            </w:pPr>
            <w:bookmarkStart w:id="12" w:name="ITEM_4_CONTROLS_PROCEDURES"/>
            <w:bookmarkEnd w:id="12"/>
            <w:r>
              <w:rPr>
                <w:rFonts w:ascii="Times New Roman" w:hAnsi="Times New Roman"/>
                <w:b/>
                <w:i w:val="false"/>
                <w:caps w:val="false"/>
                <w:smallCaps w:val="false"/>
                <w:sz w:val="17"/>
              </w:rPr>
              <w:t>CONTROLS AND PROCEDURES.</w:t>
            </w:r>
          </w:p>
        </w:tc>
      </w:tr>
    </w:tbl>
    <w:tbl>
      <w:tblPr>
        <w:tblW w:w="3745" w:type="dxa"/>
        <w:jc w:val="left"/>
        <w:tblInd w:w="0" w:type="dxa"/>
        <w:tblCellMar>
          <w:top w:w="0" w:type="dxa"/>
          <w:left w:w="0" w:type="dxa"/>
          <w:bottom w:w="0" w:type="dxa"/>
          <w:right w:w="0" w:type="dxa"/>
        </w:tblCellMar>
      </w:tblPr>
      <w:tblGrid>
        <w:gridCol w:w="60"/>
        <w:gridCol w:w="215"/>
        <w:gridCol w:w="347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347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Evaluation of Disclosure Controls and Procedures</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noBreakHyphen/>
        <w:t>15(e) and 15d</w:t>
        <w:noBreakHyphen/>
        <w:t>15(e)) as of the end of the period covered by this Quarterly Report on Form 10</w:t>
        <w:noBreakHyphen/>
        <w:t>Q. Based on this evaluation, our Chief Executive Officer and Chief Financial Officer have concluded that our disclosure controls and procedures as of the end of the period covered by this Quarterly Report on Form 10</w:t>
        <w:noBreakHyphen/>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tbl>
      <w:tblPr>
        <w:tblW w:w="2290" w:type="dxa"/>
        <w:jc w:val="left"/>
        <w:tblInd w:w="0" w:type="dxa"/>
        <w:tblCellMar>
          <w:top w:w="0" w:type="dxa"/>
          <w:left w:w="0" w:type="dxa"/>
          <w:bottom w:w="0" w:type="dxa"/>
          <w:right w:w="0" w:type="dxa"/>
        </w:tblCellMar>
      </w:tblPr>
      <w:tblGrid>
        <w:gridCol w:w="60"/>
        <w:gridCol w:w="230"/>
        <w:gridCol w:w="20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200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Changes in Internal Controls</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Except as noted below, there were no changes in our internal control over financial reporting during the three months ended June 30, 2019 that have materially affected, or are reasonably likely to materially affect, our internal control over financial reporting.</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August 7, 2018 we completed the acquisition of Elgin and on October 1, 2018 we completed the acquisition of Tropicana. See Part I, Item 1, Condensed Notes to Unaudited Consolidated Financial Statements, Note 4: Purchase Price Accounting and Pro Forma Information, for a discussion of the acquisitions and related financial data. The Company is in the process of integrating Elgin and Tropicana into our internal controls over financial reporting. As a result of these integration activities, certain controls will be evaluated and may be changed.</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68</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bookmarkStart w:id="13" w:name="PART_II"/>
      <w:bookmarkEnd w:id="13"/>
      <w:r>
        <w:rPr>
          <w:rFonts w:ascii="Times New Roman" w:hAnsi="Times New Roman"/>
          <w:b/>
          <w:i w:val="false"/>
          <w:caps w:val="false"/>
          <w:smallCaps w:val="false"/>
          <w:sz w:val="17"/>
        </w:rPr>
        <w:t>PART II</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OTHER INFORMATION</w:t>
      </w:r>
    </w:p>
    <w:tbl>
      <w:tblPr>
        <w:tblW w:w="2470" w:type="dxa"/>
        <w:jc w:val="left"/>
        <w:tblInd w:w="0" w:type="dxa"/>
        <w:tblCellMar>
          <w:top w:w="0" w:type="dxa"/>
          <w:left w:w="0" w:type="dxa"/>
          <w:bottom w:w="0" w:type="dxa"/>
          <w:right w:w="0" w:type="dxa"/>
        </w:tblCellMar>
      </w:tblPr>
      <w:tblGrid>
        <w:gridCol w:w="620"/>
        <w:gridCol w:w="1850"/>
      </w:tblGrid>
      <w:tr>
        <w:trPr/>
        <w:tc>
          <w:tcPr>
            <w:tcW w:w="620" w:type="dxa"/>
            <w:tcBorders/>
            <w:shd w:fill="auto" w:val="clear"/>
          </w:tcPr>
          <w:p>
            <w:pPr>
              <w:pStyle w:val="TableContents"/>
              <w:spacing w:before="240" w:after="0"/>
              <w:rPr>
                <w:rFonts w:ascii="Times New Roman" w:hAnsi="Times New Roman"/>
                <w:b/>
                <w:i w:val="false"/>
                <w:caps w:val="false"/>
                <w:smallCaps w:val="false"/>
                <w:sz w:val="17"/>
              </w:rPr>
            </w:pPr>
            <w:r>
              <w:rPr>
                <w:rFonts w:ascii="Times New Roman" w:hAnsi="Times New Roman"/>
                <w:b/>
                <w:i w:val="false"/>
                <w:caps w:val="false"/>
                <w:smallCaps w:val="false"/>
                <w:sz w:val="17"/>
              </w:rPr>
              <w:t>ITEM 1.</w:t>
            </w:r>
          </w:p>
        </w:tc>
        <w:tc>
          <w:tcPr>
            <w:tcW w:w="1850" w:type="dxa"/>
            <w:tcBorders/>
            <w:shd w:fill="auto" w:val="clear"/>
          </w:tcPr>
          <w:p>
            <w:pPr>
              <w:pStyle w:val="TableContents"/>
              <w:spacing w:before="240" w:after="0"/>
              <w:rPr>
                <w:rFonts w:ascii="Times New Roman" w:hAnsi="Times New Roman"/>
                <w:b/>
                <w:i w:val="false"/>
                <w:caps w:val="false"/>
                <w:smallCaps w:val="false"/>
                <w:sz w:val="17"/>
              </w:rPr>
            </w:pPr>
            <w:bookmarkStart w:id="14" w:name="ITEM_1_LEGAL_PROCEEDINGS"/>
            <w:bookmarkEnd w:id="14"/>
            <w:r>
              <w:rPr>
                <w:rFonts w:ascii="Times New Roman" w:hAnsi="Times New Roman"/>
                <w:b/>
                <w:i w:val="false"/>
                <w:caps w:val="false"/>
                <w:smallCaps w:val="false"/>
                <w:sz w:val="17"/>
              </w:rPr>
              <w:t>LEGAL PROCEEDINGS</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Legal matters are discussed in greater detail in “Part I, Item 3. Legal Proceedings” and Note 15 to our Consolidated Financial statements included in our Annual Report on Form 10</w:t>
        <w:noBreakHyphen/>
        <w:t>K for the year ended December 31, 2018.</w:t>
      </w:r>
    </w:p>
    <w:tbl>
      <w:tblPr>
        <w:tblW w:w="2005" w:type="dxa"/>
        <w:jc w:val="left"/>
        <w:tblInd w:w="0" w:type="dxa"/>
        <w:tblCellMar>
          <w:top w:w="0" w:type="dxa"/>
          <w:left w:w="0" w:type="dxa"/>
          <w:bottom w:w="0" w:type="dxa"/>
          <w:right w:w="0" w:type="dxa"/>
        </w:tblCellMar>
      </w:tblPr>
      <w:tblGrid>
        <w:gridCol w:w="740"/>
        <w:gridCol w:w="1265"/>
      </w:tblGrid>
      <w:tr>
        <w:trPr/>
        <w:tc>
          <w:tcPr>
            <w:tcW w:w="740" w:type="dxa"/>
            <w:tcBorders/>
            <w:shd w:fill="auto" w:val="clear"/>
          </w:tcPr>
          <w:p>
            <w:pPr>
              <w:pStyle w:val="TableContents"/>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ITEM 1A.</w:t>
            </w:r>
          </w:p>
        </w:tc>
        <w:tc>
          <w:tcPr>
            <w:tcW w:w="1265" w:type="dxa"/>
            <w:tcBorders/>
            <w:shd w:fill="auto" w:val="clear"/>
          </w:tcPr>
          <w:p>
            <w:pPr>
              <w:pStyle w:val="TableContents"/>
              <w:spacing w:before="360" w:after="0"/>
              <w:rPr>
                <w:rFonts w:ascii="Times New Roman" w:hAnsi="Times New Roman"/>
                <w:b/>
                <w:i w:val="false"/>
                <w:caps w:val="false"/>
                <w:smallCaps w:val="false"/>
                <w:sz w:val="17"/>
              </w:rPr>
            </w:pPr>
            <w:bookmarkStart w:id="15" w:name="ITEM_1A_RISK_FACTORS"/>
            <w:bookmarkEnd w:id="15"/>
            <w:r>
              <w:rPr>
                <w:rFonts w:ascii="Times New Roman" w:hAnsi="Times New Roman"/>
                <w:b/>
                <w:i w:val="false"/>
                <w:caps w:val="false"/>
                <w:smallCaps w:val="false"/>
                <w:sz w:val="17"/>
              </w:rPr>
              <w:t>RISK FACTORS</w:t>
            </w:r>
          </w:p>
        </w:tc>
      </w:tr>
    </w:tbl>
    <w:p>
      <w:pPr>
        <w:pStyle w:val="TextBody"/>
        <w:spacing w:before="0" w:after="0"/>
        <w:rPr/>
      </w:pPr>
      <w:r>
        <w:rPr/>
        <w:t> </w:t>
      </w:r>
    </w:p>
    <w:p>
      <w:pPr>
        <w:pStyle w:val="TextBody"/>
        <w:spacing w:before="0" w:after="120"/>
        <w:rPr>
          <w:rFonts w:ascii="Times New Roman" w:hAnsi="Times New Roman"/>
          <w:b/>
          <w:i/>
          <w:caps w:val="false"/>
          <w:smallCaps w:val="false"/>
          <w:sz w:val="17"/>
        </w:rPr>
      </w:pPr>
      <w:r>
        <w:rPr>
          <w:rFonts w:ascii="Times New Roman" w:hAnsi="Times New Roman"/>
          <w:b/>
          <w:i/>
          <w:caps w:val="false"/>
          <w:smallCaps w:val="false"/>
          <w:sz w:val="17"/>
        </w:rPr>
        <w:t>The Merger Agreement subjects the Company to restrictions on its business activities during the pendency of the Merger.</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Merger Agreement subjects the Company to restrictions on its business activities and obligates the Company to generally operate its businesses in the ordinary course in all material respects during the pendency of the Merger absent Caesars’ prior written consent.  These restrictions could prevent the Company from pursuing attractive business opportunities or responding effectively to competitive pressures and industry developments that arise prior to the consummation of the Merger or termination of the Merger Agreement and are outside the ordinary course of business.  In particular, the Merger Agreement restricts the Company from making certain acquisitions and dispositions. If the Company is unable to take actions it believes are beneficial, such restrictions could have an adverse effect on the Company’s business, financial condition and results of operations.</w:t>
      </w:r>
    </w:p>
    <w:p>
      <w:pPr>
        <w:pStyle w:val="TextBody"/>
        <w:spacing w:before="360" w:after="120"/>
        <w:rPr>
          <w:rFonts w:ascii="Times New Roman" w:hAnsi="Times New Roman"/>
          <w:b/>
          <w:i/>
          <w:caps w:val="false"/>
          <w:smallCaps w:val="false"/>
          <w:sz w:val="17"/>
        </w:rPr>
      </w:pPr>
      <w:r>
        <w:rPr>
          <w:rFonts w:ascii="Times New Roman" w:hAnsi="Times New Roman"/>
          <w:b/>
          <w:i/>
          <w:caps w:val="false"/>
          <w:smallCaps w:val="false"/>
          <w:sz w:val="17"/>
        </w:rPr>
        <w:t>Delay or failure to consummate the Merger would prevent the Company from realizing the anticipated benefits of the Merger and the Company would also remain liable for significant transaction costs.</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Any delay in consummating the Merger may increase the cash portion of the Merger Consideration and adversely impact the Company’s ability to realize synergies and other benefits that are anticipated if the Merger is consummated within the expected timeframe.  In particular, if applicable closing conditions set forth in the Merger Agreement are not satisfied</w:t>
      </w:r>
      <w:r>
        <w:rPr>
          <w:rFonts w:ascii="Times New Roman" w:hAnsi="Times New Roman"/>
          <w:b w:val="false"/>
          <w:i w:val="false"/>
          <w:caps w:val="false"/>
          <w:smallCaps w:val="false"/>
          <w:color w:val="1F497D"/>
          <w:sz w:val="17"/>
        </w:rPr>
        <w:t xml:space="preserve"> </w:t>
      </w:r>
      <w:r>
        <w:rPr>
          <w:rFonts w:ascii="Times New Roman" w:hAnsi="Times New Roman"/>
          <w:b w:val="false"/>
          <w:i w:val="false"/>
          <w:caps w:val="false"/>
          <w:smallCaps w:val="false"/>
          <w:sz w:val="17"/>
        </w:rPr>
        <w:t>by March 25, 2020, the amount of cash payable by the Company as consideration in the Merger per share of Caesars common stock will increase by $0.003333 for each day (subject to certain exceptions described in the Merger Agreement) from March 25, 2020 until the closing date of the Merger.  In addition, the market price of the Company’s common stock may reflect various market assumptions as to whether and when the Merger will be consummated.  Consequently, the failure to consummate, or any delay in the consummation of, the Merger could result in significant changes in the market price of the Company’s common stock.  In addition, the Company has incurred and will continue to incur significant costs relating to the Merger, such as debt commitment, legal, accounting, financial advisor and printing fees that may increase in the event that the consummation of the Merger is delayed and will be payable in the event that the Merger is not consummated.  Moreover, if the Merger Agreement is terminated in certain circumstances, the Company will be obligated to pay a termination fee to Caesars of approximately $154.9 million, or in certain other circumstances, approximately $836.8 million.  In addition, the Company will be obligated to reimburse Caesars’ expenses for an amount not to exceed $50.0 million if the Merger Agreement is terminated because of the failure to obtain the required approval of the Company’s stockholders. In the event the MTA is terminated because the Merger Agreement is terminated, the Company is required to pay VICI a fee of $75.0 million pursuant to the terms of the MTA.</w:t>
      </w:r>
    </w:p>
    <w:p>
      <w:pPr>
        <w:pStyle w:val="TextBody"/>
        <w:spacing w:before="360" w:after="120"/>
        <w:rPr>
          <w:rFonts w:ascii="Times New Roman" w:hAnsi="Times New Roman"/>
          <w:b/>
          <w:i/>
          <w:caps w:val="false"/>
          <w:smallCaps w:val="false"/>
          <w:sz w:val="17"/>
        </w:rPr>
      </w:pPr>
      <w:r>
        <w:rPr>
          <w:rFonts w:ascii="Times New Roman" w:hAnsi="Times New Roman"/>
          <w:b/>
          <w:i/>
          <w:caps w:val="false"/>
          <w:smallCaps w:val="false"/>
          <w:sz w:val="17"/>
        </w:rPr>
        <w:t>Whether or not the Merger is consummated, the pendency of the Merger could cause disruptions in the Company’s business, which could have an adverse effect on its business, financial condition and results of operations.</w:t>
      </w:r>
    </w:p>
    <w:p>
      <w:pPr>
        <w:pStyle w:val="TextBody"/>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pendency of the Merger could cause disruptions in the business of the Company, including the following: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110" w:type="dxa"/>
            <w:tcBorders/>
            <w:shd w:fill="auto" w:val="clear"/>
          </w:tcPr>
          <w:p>
            <w:pPr>
              <w:pStyle w:val="TableContents"/>
              <w:spacing w:before="0" w:after="120"/>
              <w:rPr>
                <w:caps w:val="false"/>
                <w:smallCaps w:val="false"/>
              </w:rPr>
            </w:pPr>
            <w:r>
              <w:rPr>
                <w:caps w:val="false"/>
                <w:smallCaps w:val="false"/>
              </w:rPr>
              <w:t>•</w:t>
            </w:r>
          </w:p>
        </w:tc>
        <w:tc>
          <w:tcPr>
            <w:tcW w:w="10035"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current and prospective employees of the Company may experience uncertainty about their future roles with the combined company following the Merger or consider other employment alternatives, which could adversely affect the Company’s ability to retain or attract key managers and other employees, and current employees of the Company may lose productivity as a result of such uncertainty;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110" w:type="dxa"/>
            <w:tcBorders/>
            <w:shd w:fill="auto" w:val="clear"/>
          </w:tcPr>
          <w:p>
            <w:pPr>
              <w:pStyle w:val="TableContents"/>
              <w:spacing w:before="0" w:after="120"/>
              <w:rPr>
                <w:caps w:val="false"/>
                <w:smallCaps w:val="false"/>
              </w:rPr>
            </w:pPr>
            <w:r>
              <w:rPr>
                <w:caps w:val="false"/>
                <w:smallCaps w:val="false"/>
              </w:rPr>
              <w:t>•</w:t>
            </w:r>
          </w:p>
        </w:tc>
        <w:tc>
          <w:tcPr>
            <w:tcW w:w="10035"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current and prospective customers of the Company may anticipate changes in how they are served or the benefits offered by the Company’s loyalty reward program and may, as a result, choose to discontinue their patronage;</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69</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120"/>
              <w:rPr>
                <w:caps w:val="false"/>
                <w:smallCaps w:val="false"/>
              </w:rPr>
            </w:pPr>
            <w:r>
              <w:rPr>
                <w:caps w:val="false"/>
                <w:smallCaps w:val="false"/>
              </w:rPr>
              <w:t> </w:t>
            </w:r>
          </w:p>
        </w:tc>
        <w:tc>
          <w:tcPr>
            <w:tcW w:w="110" w:type="dxa"/>
            <w:tcBorders/>
            <w:shd w:fill="auto" w:val="clear"/>
          </w:tcPr>
          <w:p>
            <w:pPr>
              <w:pStyle w:val="TableContents"/>
              <w:spacing w:before="0" w:after="120"/>
              <w:rPr>
                <w:caps w:val="false"/>
                <w:smallCaps w:val="false"/>
              </w:rPr>
            </w:pPr>
            <w:r>
              <w:rPr>
                <w:caps w:val="false"/>
                <w:smallCaps w:val="false"/>
              </w:rPr>
              <w:t>•</w:t>
            </w:r>
          </w:p>
        </w:tc>
        <w:tc>
          <w:tcPr>
            <w:tcW w:w="10035" w:type="dxa"/>
            <w:tcBorders/>
            <w:shd w:fill="auto" w:val="clear"/>
          </w:tcPr>
          <w:p>
            <w:pPr>
              <w:pStyle w:val="TableContents"/>
              <w:spacing w:before="0" w:after="12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current and prospective suppliers or other business relations of the Company may delay or defer certain business decisions or may seek to terminate, change or renegotiate their relationship with the Company, or not to establish a relationship with the Company, as a result of the Merger;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10035" w:type="dxa"/>
            <w:tcBorders/>
            <w:shd w:fill="auto" w:val="clear"/>
          </w:tcPr>
          <w:p>
            <w:pPr>
              <w:pStyle w:val="TableContents"/>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attention of management and key employees of the Company may be diverted from the operation of the Company’s business toward the consummation of the Merger.</w:t>
            </w:r>
          </w:p>
        </w:tc>
      </w:tr>
    </w:tbl>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Obtaining required approvals and satisfying closing conditions may delay or prevent consummation of the Merger.</w:t>
      </w:r>
    </w:p>
    <w:p>
      <w:pPr>
        <w:pStyle w:val="TextBody"/>
        <w:spacing w:before="12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Consummation of the Merger is subject to various closing conditions, including, among others, (i) the expiration or termination of any applicable waiting period under the HSR Act and receipt of required gaming approvals, (ii) the absence of any governmental order or law prohibiting the consummation of the Merger, (iii) adoption of the Merger Agreement by holders of a majority of the outstanding shares of Caesars’ common stock, (iv) the approval by the Company’s stockholders of the issuance of shares of Company’s common stock in the Merger (the “Share Issuance”), (v) the effectiveness of the registration statement for the Company’s common stock to be issued in the Merger and the authorization for listing of those shares on the Nasdaq Stock Market, (vi) absence of a material adverse effect on the other party, (vii) the accuracy of the other party’s representations and warranties, subject to customary materiality standards, (viii) compliance of the other party with its respective covenants under the Merger Agreement in all material respects and (ix) conversion or certain amendments of, or another mutually agreed arrangement with respect to, Caesars’ 5.00% convertible senior notes due 2024.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If such conditions are not satisfied, the Merger will not be consummated unless such conditions are validly waived.  Such conditions may jeopardize or delay consummation of the Merger or may reduce the anticipated benefits of the Merger.  Further, no assurance can be given that the required approvals will be obtained or that the conditions to closing will be satisfied.  Even if all such approvals are obtained, no assurance can be given as to the terms, conditions and timing of such approvals or that they will satisfy the terms of the Merger Agreement.  If the Merger is not consummated by June 24, 2020 (as may be extended to a date no later than December 24, 2020 upon satisfaction of certain conditions to extension set forth in the Merger Agreement), either the Company or Caesars may terminate the Merger Agreement. </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The Merger is subject to the receipt of governmental approvals that may impose conditions that could have an adverse effect on the Company or, if not obtained, could prevent consummation of the Merger or, in some circumstances, require the Company to pay Caesars a termination fee of approximately $836.8 million.</w:t>
      </w:r>
    </w:p>
    <w:p>
      <w:pPr>
        <w:pStyle w:val="TextBody"/>
        <w:spacing w:before="12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Consummation of the Merger is conditioned upon the receipt of certain governmental approvals, including, without limitation, antitrust and gaming regulatory approvals.  Although each of the Company and Caesars has agreed to use its reasonable best efforts to obtain the requisite governmental approvals, there can be no assurance that these approvals will be obtained and that the other conditions to consummating the Merger will be satisfied.  In addition, the governmental authorities from which the regulatory approvals are required may impose conditions on the consummation of the Merger or require changes to the terms of the Merger Agreement or other agreements to be entered into in connection with the Merger Agreement.  Such conditions or changes and the process of obtaining regulatory approvals could have the effect of delaying or impeding consummation of the Merger or of imposing additional costs or limitations on the Company following consummation of the Merger, any of which might have an adverse effect on the Company’s business, financial condition and results of operations.  In addition, if the Merger Agreement is terminated (i) due to a law or order relating to gaming or antitrust laws that prohibits or permanently enjoins the consummation of the Merger, (ii) because the required regulatory approvals were not obtained prior to June 24, 2020 (as may be extended to a date no later than December 24, 2020 upon satisfaction of certain conditions to extension set forth in the Merger Agreement) or (iii) due to the Company willfully and materially breaching certain obligations with respect to the actions required to be taken by the Company to obtain required antitrust approvals, the Company will be required to pay Caesars a termination fee of approximately $836.8 million.</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Moreover, the special meetings at which Caesars stockholders will vote on a proposal to adopt the Merger Agreement and the Company’s stockholders will vote on a proposal to approve the Share Issuance may take place before all governmental approvals have been obtained and, in cases where such approvals have not been obtained, before the terms of any conditions to obtain such approvals that may be imposed are known. As a result, if the requisite stockholder approvals are obtained at such meetings, the Company and Caesars may make decisions after the special meetings to waive a condition or approve certain actions required to obtain necessary approvals without seeking further stockholder approval. Such actions could have an adverse effect on the combined company’s business, financial condition and results of operations following the Merger.</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70</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Antitrust approvals that are required to consummate the Merger may not be received, may take longer than expected or may impose conditions, including the requirement to divest assets, that could have an adverse effect on the combined company following the Merger.</w:t>
      </w:r>
    </w:p>
    <w:p>
      <w:pPr>
        <w:pStyle w:val="TextBody"/>
        <w:spacing w:before="12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Under the provisions of the HSR Act, the Merger may not be consummated until filings are made with the Antitrust Division of the DOJ and the FTC and the expiration of a 30-calendar day waiting period, or the early termination of that waiting period, following the parties’ filings.  ERI and Caesars filed their respective notification and report forms under the HSR Act on July 16, 2019.  If the DOJ or the FTC issues a Request for Additional Information and Documentary Material (a “Second Request”) prior to the expiration of the initial waiting period, the parties must observe a second 30-day waiting period, which would begin to run only after both parties have substantially complied with the Second Request, unless the DOJ or the FTC terminates the second waiting period earlier or the parties otherwise agree to extend the waiting period. </w:t>
      </w:r>
    </w:p>
    <w:p>
      <w:pPr>
        <w:pStyle w:val="TextBody"/>
        <w:spacing w:before="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addition, private parties who may be adversely affected by the Merger and individual states may bring legal actions under the antitrust laws in certain circumstances.  Although the Company and Caesars believe the consummation of the Merger will not likely be prevented by antitrust laws, there can be no assurance that a challenge to the Merger on antitrust grounds will not be made or, if a challenge is made, what the result will be.  Under the Merger Agreement, the Company and Caesars have agreed to use their reasonable best efforts to obtain all regulatory clearances necessary to consummate the Merger at the earliest practicable date.</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addition, in order to consummate the Merger, the Company and Caesars may be required to comply with conditions, terms, obligations or restrictions imposed by regulatory entities, including divestitures, and such conditions, terms, obligations or restrictions may have the effect of delaying consummation of the Merger, imposing additional material costs on or materially limiting the revenue of the Company after the consummation of the Merger, or otherwise reducing the anticipated benefits to the Company of the Merger.  Such conditions, terms, obligations or restrictions may result in the delay or abandonment of the Merger.</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Gaming regulatory approvals may not be received, may take longer than expected or may impose conditions that are not presently anticipated or cannot be met.</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Consummation of the Merger is conditioned on the receipt of approvals from a number of gaming regulatory authorities, including, among others, the Ak Chin Community Tribal Gaming Commission, the Arizona Department of Gaming, the Cherokee Tribal Gaming Commission, the Colorado Division of Gaming, the Illinois Gaming Board, the Indiana Gaming Commission, the Indiana Horse Racing Commission, the Iowa Racing and Gaming Commission, the Kentucky Horse Racing Commission, the Louisiana Gaming Control Board, the Louisiana State Racing Commission, the Maryland Lottery and Gaming Control Agency, the Mississippi Gaming Commission, the Missouri Gaming Commission, the National Indian Gaming Commission, the Nevada Gaming Commission, the New Jersey Casino Control Commission, the New Jersey Division of Gaming Enforcement, the Pennsylvania Gaming Control Board, the Pennsylvania State Horse Racing Commission, the Ohio Lottery Commission, the Gauteng Gambling Board (South Africa), the Alcohol and Gaming Commission of Ontario, the Ministry of Culture, Sports and Tourism (Korea) and the Gambling Commission (United Kingdom).  In some instances, these approvals include findings of suitability for the Company’s officers and continuing members of the Company’s Board of Directors. These approvals and findings may not be received at all, may not be received in a timely fashion and/or may contain conditions on the granting of such approvals and consummation of the Merger.  Such conditions and the process of obtaining regulatory approvals could have the effect of delaying consummation of the Merger or of imposing additional costs or limitations on the combined company following the Merger. In addition, to the extent any officer of the Company is found unsuitable, the Company would need to find a replacement, which may take time and could adversely impact the Company’s financial and operational performance, including the Company’s ability to successfully consummate the Merger and integrate Caesars into the Company. Any such finding of unsuitability by regulatory authorities and resulting resignation or removal of an officer of the Company could also impact the governance structure of the combined company following the Merger.</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There can be no assurance that the Company will be able to secure the required financing in connection with the Merger and the transactions contemplated by the Merger Agreement on acceptable terms, in a timely manner, or at all.</w:t>
      </w:r>
    </w:p>
    <w:p>
      <w:pPr>
        <w:pStyle w:val="TextBody"/>
        <w:spacing w:before="12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intends to finance a portion of the cash required in connection with the Merger, including expenses in connection with the Merger, with the Debt Financing.  The Commitment Letter provides for funding to (i) the Company of (a) a $1,000.0 million senior secured revolving credit facility, (b) a $3,000.0 million senior secured term loan B facility, (c) a $3,600.0 million senior secured 364-day bridge facility and (d) a $1,800.0 million senior unsecured bridge loan facility and (ii) a subsidiary of Caesars a $2,400.0 million senior secured incremental term loan B facility. The senior secured 364-day bridge facility will only be funded in accordance with the Commitment Letter to the extent that the net cash proceeds of certain asset sales and certain transactions contemplated with VICI as described in the next succeeding paragraph are not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71</w:t>
      </w:r>
    </w:p>
    <w:p>
      <w:pPr>
        <w:pStyle w:val="HorizontalLine"/>
        <w:rPr/>
      </w:pPr>
      <w:r>
        <w:rPr/>
      </w:r>
    </w:p>
    <w:p>
      <w:pPr>
        <w:pStyle w:val="TextBody"/>
        <w:spacing w:before="0" w:after="0"/>
        <w:rPr/>
      </w:pPr>
      <w:r>
        <w:rPr/>
        <w:t> </w:t>
      </w:r>
    </w:p>
    <w:p>
      <w:pPr>
        <w:pStyle w:val="TextBody"/>
        <w:spacing w:before="12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available on the closing date of the Merger to be applied to finance the Merger and expenses in connection therewith.  In addition to the Debt Financing, the Company also recently entered into letter agreements with certain financial institutions which additional letter agreements provide (i) for commitments from such financial institutions to provide additional revolving credit facility commitments for the Company and (ii) the engagement of such financial institutions to act as arrangers for additional debt financing, in each case, in the event the Company elects to refinance the existing indebtedness of Caesars Resort Collection, LLC upon the consummation of the Merger. Additionally, the Company may continue to evaluate alternative financing structures and amounts based on its needs and capital markets conditions. The proceeds of the Debt Financing will be used (A) to pay all or a portion of the cash portion of the Merger Consideration, (B) to refinance all of the Company’s existing syndicated bank credit facilities and outstanding senior notes, (C) to refinance certain of Caesars’ and its subsidiaries’ existing debt, (D) to pay transaction fees and expenses related to the foregoing and (E) for working capital and general corporate purposes. The availability of the borrowings under the Debt Financing is subject to the satisfaction of certain customary conditions, including the substantially concurrent closing of the Merger.  In the event some or all of the financing contemplated by the Commitment Letter is not available, the Company is obligated to use its reasonable best efforts to obtain alternative financing from alternative institutions in an amount at least equal to the amount of such unavailable portion of the financing contemplated by the Commitment Letter and in an amount sufficient to enable the Company to consummate the Merger.  </w:t>
      </w:r>
    </w:p>
    <w:p>
      <w:pPr>
        <w:pStyle w:val="TextBody"/>
        <w:spacing w:before="12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connection with the execution of the Merger Agreement and the Commitment Letter, the Company entered into a MTA with VICI.  The Company intends to finance a portion of the cash required in connection with the Merger with the proceeds of transactions that are subject to the MTA, including approximately $1.8 billion of proceeds from the expected sale leaseback of certain properties expected to be acquired upon consummation of the Merger, including Harrah’s New Orleans, Harrah’s Laughlin and Harrah’s Atlantic City (or, under certain circumstances, if necessary, certain replacement properties specified in the MTA), and approximately $1.4 billion of proceeds expected to be received in consideration of the amendment of certain existing leases between subsidiaries of Caesars and VICI. The consummation of the transactions contemplated by the MTA is subject to satisfaction of certain conditions, including execution of agreements, receipt of required regulatory approvals, the accuracy of the representations and warranties, compliance with covenants, delivery of certain closing deliverables and the absence of any governmental order or action seeking to prohibit the consummation of the transactions contemplated by the MTA.  The Company is currently negotiating the sale leaseback documents, lease amendments and other agreements contemplated by the MTA and cannot assure you as to the timing or outcome of those negotiations with VICI.  Although the Company expects the transactions contemplated by the MTA to be consummated substantially concurrently with the Merger, there can be no assurance as to the timing of the closing of such transactions or that the closings will occur on the terms set forth in the MTA or at all.  In the event that the closings of some or all of the transactions contemplated by the MTA are delayed or do not occur, the Company may be required to incur the 364-day secured bridge facility under the Debt Financing or other additional indebtedness to pay the cash portion of the Merger Consideration, repay the Company’s and certain of Caesars’ and its subsidiaries’ outstanding debt and/or pay transaction fees and expenses related thereto, which could have an adverse impact on the business, financial condition and results of operations of the combined company following the Merger.</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consummation of the Merger is not conditioned on the Company’s ability to obtain financing or the consummation of the transactions contemplated by the MTA.  If the Company is unable to obtain funding contemplated by the Commitment Letter from its financing sources for the cash required in connection with the Merger, the Company may be compelled to specifically perform its obligations to consummate the Merger or could otherwise be subject to claims under the Merger Agreement, each of which could have a material adverse effect on the Company.</w:t>
      </w:r>
    </w:p>
    <w:p>
      <w:pPr>
        <w:pStyle w:val="TextBody"/>
        <w:spacing w:before="0" w:after="0"/>
        <w:rPr/>
      </w:pPr>
      <w:r>
        <w:rPr/>
        <w:t> </w:t>
      </w:r>
    </w:p>
    <w:p>
      <w:pPr>
        <w:pStyle w:val="TextBody"/>
        <w:spacing w:before="240" w:after="0"/>
        <w:rPr>
          <w:rFonts w:ascii="Times New Roman" w:hAnsi="Times New Roman"/>
          <w:b/>
          <w:i/>
          <w:caps w:val="false"/>
          <w:smallCaps w:val="false"/>
          <w:sz w:val="17"/>
        </w:rPr>
      </w:pPr>
      <w:r>
        <w:rPr>
          <w:rFonts w:ascii="Times New Roman" w:hAnsi="Times New Roman"/>
          <w:b/>
          <w:i/>
          <w:caps w:val="false"/>
          <w:smallCaps w:val="false"/>
          <w:sz w:val="17"/>
        </w:rPr>
        <w:t>Litigation challenging the Merger could delay or prevent the consummation of the Merger.</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One of the conditions to the Merger is that no law, statute, rule, regulation, ordinance, code, ruling, subpoena, order, writ, injunction, decree, judgment, ruling, determination, directive, award or settlement issued by a governmental entity (including any gaming authority) shall have been adopted, promulgated or issued that would prohibit, restrain, enjoin or render unlawful the consummation of the Merger or the Share Issuance.  Although neither the Company nor Caesars has been notified of any litigation filed challenging the Merger, there can be no assurance that claims will not be filed by stockholders of the Company or Caesars seeking damages related to, or otherwise challenging, the Merger.  If any such litigation is filed and the plaintiffs in any such action secure injunctive or other relief prohibiting, delaying or otherwise adversely affecting the Company’s and Caesars’ ability to consummate the Merger, then such injunctive or other relief may prevent the Merger from becoming effective within the expected time frame or at all.  If consummation of the Merger is prevented or delayed, it could result in substantial costs to the Company.  In addition, whether or not any plaintiff’s claim is successful, the Company could incur significant costs in connection with any such litigation, including costs associated with the indemnification of the Company’s and Caesars’ directors and officers, and management’s attention and resources could be diverted from the consummation of the Merger and ongoing business activities, which could have an adverse effect on the Company’s business, financial condition and results of operations.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72</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The Merger Agreement contains provisions that limit the Company’s ability to pursue alternatives to the Merger, could discourage a potential competing acquiror of the Company from making a favorable alternative transaction proposal and, in specified circumstances, could require the Company to pay Caesars a termination fee.</w:t>
      </w:r>
    </w:p>
    <w:p>
      <w:pPr>
        <w:pStyle w:val="TextBody"/>
        <w:spacing w:before="12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Merger Agreement contains certain provisions that restrict the Company’s ability to solicit, initiate, knowingly facilitate or knowingly encourage any inquiries regarding, or the making of any proposal or offer that constitutes, or would reasonably be expected to lead to, a competing proposal, engage, continue or otherwise participate in any substantive discussions or negotiations regarding, or furnish any non-public information to any person in connection with or for the purpose of encouraging or facilitating, a competing proposal, subject to customary exceptions and limitations.  In addition, Caesars generally has an opportunity to offer to modify the terms of the Merger Agreement in response to any third-party alternative transaction proposal before the Company’s board of directors may change, qualify, withhold, withdraw or modify its recommendation that the Company’s stockholders approve the Share Issuance.  Upon termination of the Merger Agreement in certain circumstances relating to changes in the recommendation of the Company’s board of directors in favor of the Share Issuance, entry by the Company into an alternative transaction or following the failure of the Company’s stockholders to approve the Share Issuance, the Company will be required to pay a termination fee of approximately $154.9 million to Caesars, as well as reimburse Caesars’ expenses in an amount not to exceed $50.0 million (creditable against any termination fee that may subsequently be paid by the Company).  In such a scenario, the Company may also be required to pay VICI a fee of $75.0 million pursuant to the terms of the MTA.</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These provisions could discourage a potential third-party acquiror or merger partner that might have an interest in acquiring all or a significant portion of the Company or pursuing an alternative transaction with the Company from considering or proposing such a transaction or might result in a potential third-party acquiror or merger partner proposing to pay a lower price to the stockholders of the Company than it might otherwise have proposed to pay because of the added expense of the termination fee and expense reimbursement that may become payable in certain circumstances.</w:t>
      </w:r>
    </w:p>
    <w:p>
      <w:pPr>
        <w:pStyle w:val="TextBody"/>
        <w:spacing w:before="0" w:after="0"/>
        <w:rPr/>
      </w:pPr>
      <w:r>
        <w:rPr/>
        <w:t> </w:t>
      </w:r>
    </w:p>
    <w:p>
      <w:pPr>
        <w:pStyle w:val="TextBody"/>
        <w:spacing w:before="160" w:after="0"/>
        <w:rPr>
          <w:rFonts w:ascii="Times New Roman" w:hAnsi="Times New Roman"/>
          <w:b/>
          <w:i/>
          <w:caps w:val="false"/>
          <w:smallCaps w:val="false"/>
          <w:sz w:val="17"/>
        </w:rPr>
      </w:pPr>
      <w:r>
        <w:rPr>
          <w:rFonts w:ascii="Times New Roman" w:hAnsi="Times New Roman"/>
          <w:b/>
          <w:i/>
          <w:caps w:val="false"/>
          <w:smallCaps w:val="false"/>
          <w:sz w:val="17"/>
        </w:rPr>
        <w:t>If the Merger is not consummated, the price of the Company’s common stock and the Company’s future businesses and operations could be harmed.</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If the Merger is not consummated, the Company will not have realized any of the potential benefits of the Merger having been consummated and may be subject to material risks, including:</w:t>
      </w:r>
    </w:p>
    <w:tbl>
      <w:tblPr>
        <w:tblW w:w="9910" w:type="dxa"/>
        <w:jc w:val="left"/>
        <w:tblInd w:w="0" w:type="dxa"/>
        <w:tblCellMar>
          <w:top w:w="0" w:type="dxa"/>
          <w:left w:w="0" w:type="dxa"/>
          <w:bottom w:w="0" w:type="dxa"/>
          <w:right w:w="0" w:type="dxa"/>
        </w:tblCellMar>
      </w:tblPr>
      <w:tblGrid>
        <w:gridCol w:w="60"/>
        <w:gridCol w:w="110"/>
        <w:gridCol w:w="974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74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failure to consummate the Merger may result in negative publicity and a negative impression of the Company in the investment community;</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diversion of management attention from day-to-day business and the unavoidable disruption to its employees and relationships with customers, vendors, joint venture partners and other third parties as a result of efforts and uncertainties relating to the Merger may detract from the ability of the Company to grow revenue and minimize costs, which, in turn, may lead to a loss of market position that the Company could be unable to regain if the Merger does not occur;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under the Merger Agreement, the Company is subject to certain restrictions on the conduct of its business prior to consummating the Merger, which may affect the Company’s ability to execute certain of its business strategies or respond effectively to competitive pressures and industry developments.</w:t>
            </w:r>
          </w:p>
        </w:tc>
      </w:tr>
    </w:tbl>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The integration of the Company and Caesars following the Merger may present significant challenges.  We cannot be sure that we will be able to realize the anticipated benefits of the Merger in the anticipated time frame or at all.</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Company’s ability to realize the anticipated benefits of the Merger will depend, to a large extent, on the Company’s ability to integrate Caesars’ businesses into the Company in the anticipated time frame or at all.  The Company may face significant challenges in combining Caesars’ operations into its operations in a timely and efficient manner.  The combination of two independent businesses is a complex, costly and time-consuming process.  As a result, the Company will be required to devote significant management attention and resources to integrating the business practices and operations of Caesars into those of the Company.  The integration process may disrupt the businesses and, if implemented ineffectively or inefficiently, would preclude realization of the full benefits expected by the Company and Caesars.  The failure to successfully integrate Caesars into the Company and to manage the challenges presented by the integration process successfully may result in an interruption of, or loss of momentum in, the business of the Company, which may have the effect of depressing the market price of the Company’s common stock following the Merger.</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73</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The Company may be unable to realize anticipated cost synergies or may incur additional costs.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expects to realize cost synergies from combining administrative and other overlapping functions of Caesars and the Company.  However, the Company will be required to incur costs, including severance and related expenses, to realize the anticipated cost savings.  While the Company</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s management believes the combined entity will benefit from cost synergies, the Company may be unable to realize all of these cost synergies within the time frame expected or at all.  In addition, the Company may incur additional or unexpected costs in order to realize these cost synergies.</w:t>
      </w:r>
    </w:p>
    <w:p>
      <w:pPr>
        <w:pStyle w:val="TextBody"/>
        <w:spacing w:before="0" w:after="0"/>
        <w:rPr/>
      </w:pPr>
      <w:r>
        <w:rPr/>
        <w:t> </w:t>
      </w:r>
    </w:p>
    <w:p>
      <w:pPr>
        <w:pStyle w:val="TextBody"/>
        <w:spacing w:before="160" w:after="0"/>
        <w:rPr>
          <w:rFonts w:ascii="Times New Roman" w:hAnsi="Times New Roman"/>
          <w:b/>
          <w:i/>
          <w:caps w:val="false"/>
          <w:smallCaps w:val="false"/>
          <w:sz w:val="17"/>
        </w:rPr>
      </w:pPr>
      <w:r>
        <w:rPr>
          <w:rFonts w:ascii="Times New Roman" w:hAnsi="Times New Roman"/>
          <w:b/>
          <w:i/>
          <w:caps w:val="false"/>
          <w:smallCaps w:val="false"/>
          <w:sz w:val="17"/>
        </w:rPr>
        <w:t>Unanticipated costs relating to the Merger could reduce the Company’s future earnings per share.</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believe that we have reasonably estimated the likely incremental costs of the combined operations of the Company and Caesars following the Merger.  However, it is possible that unexpected transaction costs such as taxes, fees or professional expenses or unexpected future operating expenses such as unanticipated costs to integrate the two businesses or increased personnel costs, as well as other types of unanticipated adverse developments, could have an adverse effect on the business, financial condition and results of operations of the combined company following the Merger.  In addition, if actual costs are materially different than expected costs, the Merger could have a significant dilutive effect on the Company</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s earnings.</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The Company will have a substantial amount of debt outstanding following the Merger and may incur additional indebtedness in the future, which could restrict the Company’s ability to pay dividends and fund working capital and planned capital expenditures.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expects to enter into the Debt Financing in order to consummate the Merger and refinance the Company’s existing syndicated bank credit facilities and senior notes and that a portion of Caesars’ outstanding indebtedness will remain outstanding following the consummation of the Merger.  As a result, the Company will have a significant amount of additional indebtedness outstanding following the consummation of the Merger.  In addition, the Company will have the ability to incur additional debt under its anticipated $1.0 billion revolving credit facility and Caesars Resorts Collection, LLC’s existing $1.0 billion revolving credit facility.  The Company also continually evaluates alternative financing structures and amounts based on its needs and capital markets conditions.  The Company may be required to incur the 364-day secured bridge facility under the Debt Financing or other additional indebtedness to finance the Merger Consideration if the transactions contemplated by the MTA or the previously announced sales of certain of the Company’s properties are not consummated prior to or in connection with the closing of the Merger.  This amount of leverage could have important consequences, including: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may be required to use a substantial portion of its cash flow from operations to make interest and principal payments on the Company’s debt, which will reduce funds available for operations, future business opportunities and dividends;</w:t>
            </w:r>
          </w:p>
        </w:tc>
      </w:tr>
    </w:tbl>
    <w:tbl>
      <w:tblPr>
        <w:tblW w:w="6565" w:type="dxa"/>
        <w:jc w:val="left"/>
        <w:tblInd w:w="0" w:type="dxa"/>
        <w:tblCellMar>
          <w:top w:w="0" w:type="dxa"/>
          <w:left w:w="0" w:type="dxa"/>
          <w:bottom w:w="0" w:type="dxa"/>
          <w:right w:w="0" w:type="dxa"/>
        </w:tblCellMar>
      </w:tblPr>
      <w:tblGrid>
        <w:gridCol w:w="60"/>
        <w:gridCol w:w="110"/>
        <w:gridCol w:w="63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39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may have limited flexibility to react to changes in its business and its industry;</w:t>
            </w:r>
          </w:p>
        </w:tc>
      </w:tr>
    </w:tbl>
    <w:tbl>
      <w:tblPr>
        <w:tblW w:w="5185" w:type="dxa"/>
        <w:jc w:val="left"/>
        <w:tblInd w:w="0" w:type="dxa"/>
        <w:tblCellMar>
          <w:top w:w="0" w:type="dxa"/>
          <w:left w:w="0" w:type="dxa"/>
          <w:bottom w:w="0" w:type="dxa"/>
          <w:right w:w="0" w:type="dxa"/>
        </w:tblCellMar>
      </w:tblPr>
      <w:tblGrid>
        <w:gridCol w:w="60"/>
        <w:gridCol w:w="110"/>
        <w:gridCol w:w="501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01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 may be more difficult for the Company to satisfy its other obligations;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may have a limited ability to borrow additional funds or to sell assets to raise funds if needed for working capital, capital expenditures, acquisitions or other purposes;</w:t>
            </w:r>
          </w:p>
        </w:tc>
      </w:tr>
    </w:tbl>
    <w:tbl>
      <w:tblPr>
        <w:tblW w:w="9715" w:type="dxa"/>
        <w:jc w:val="left"/>
        <w:tblInd w:w="0" w:type="dxa"/>
        <w:tblCellMar>
          <w:top w:w="0" w:type="dxa"/>
          <w:left w:w="0" w:type="dxa"/>
          <w:bottom w:w="0" w:type="dxa"/>
          <w:right w:w="0" w:type="dxa"/>
        </w:tblCellMar>
      </w:tblPr>
      <w:tblGrid>
        <w:gridCol w:w="60"/>
        <w:gridCol w:w="110"/>
        <w:gridCol w:w="954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54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may become more vulnerable to general adverse economic and industry conditions, including changes in interest rates; and</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605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may be at a disadvantage compared to its competitors that have less debt.</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Future interest expense will be significantly higher than historic interest expense as a result of higher levels of indebtedness incurred to consummate the Merger.  The Company</w:t>
      </w:r>
      <w:r>
        <w:rPr>
          <w:rFonts w:ascii="Times New Roman" w:hAnsi="Times New Roman"/>
          <w:b w:val="false"/>
          <w:i w:val="false"/>
          <w:caps w:val="false"/>
          <w:smallCaps w:val="false"/>
          <w:color w:val="000000"/>
          <w:sz w:val="17"/>
        </w:rPr>
        <w:t>’</w:t>
      </w:r>
      <w:r>
        <w:rPr>
          <w:rFonts w:ascii="Times New Roman" w:hAnsi="Times New Roman"/>
          <w:b w:val="false"/>
          <w:i w:val="false"/>
          <w:caps w:val="false"/>
          <w:smallCaps w:val="false"/>
          <w:sz w:val="17"/>
        </w:rPr>
        <w:t>s ability to make payments on its debt and potential to pay dividends on its common stock, which the Company has not historically done, will depend on its ability to generate cash in the future, which will depend on many factors beyond its control.  The Company cannot assure you that:</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its business will generate sufficient cash flow from operations to service and repay its debt, pay dividends on its common stock and fund working capital and planned capital expenditures;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future borrowings will be available under its credit facilities or any future credit facilities in an amount sufficient to enable it to repay its debt, pay dividends on its common stock and fund working capital and planned capital expenditures; or</w:t>
            </w:r>
          </w:p>
        </w:tc>
      </w:tr>
    </w:tbl>
    <w:tbl>
      <w:tblPr>
        <w:tblW w:w="6055" w:type="dxa"/>
        <w:jc w:val="left"/>
        <w:tblInd w:w="0" w:type="dxa"/>
        <w:tblCellMar>
          <w:top w:w="0" w:type="dxa"/>
          <w:left w:w="0" w:type="dxa"/>
          <w:bottom w:w="0" w:type="dxa"/>
          <w:right w:w="0" w:type="dxa"/>
        </w:tblCellMar>
      </w:tblPr>
      <w:tblGrid>
        <w:gridCol w:w="60"/>
        <w:gridCol w:w="110"/>
        <w:gridCol w:w="58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588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 will be able to refinance any of its debt on commercially reasonable terms or at all.</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74</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If the Company cannot generate sufficient cash from its operations to meet its debt service obligations, it may need to reduce or delay capital expenditures, the development of its business generally and any acquisitions.  If the Company becomes unable to meet its debt service and repayment obligations (or those of its subsidiaries following the Merger), it (or its applicable subsidiaries) would be in default under the terms of the applicable credit agreement or indenture, which would allow its lenders or noteholders to declare all outstanding indebtedness thereunder to be due and payable and terminate any commitments to lend thereunder.  If the amounts outstanding under its (or its subsidiaries’) credit facilities or indentures were to be accelerated, the Company cannot assure you that its (or its subsidiaries’) assets would be sufficient to repay in full the money owed.</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Following consummation of the Merger and the transactions contemplated by the MTA, the Company and its subsidiaries will be required to pay a significant portion of their cash flow from operations to third parties pursuant to leasing and related arrangements.  </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and Caesars currently lease certain parcels of land on which several of their respective properties are located and, pursuant to the terms of MTA, are expected to enter into leases with VICI with respect to parcels of land on which Harrah’s New Orleans, Harrah’s Laughlin and Harrah’s Atlantic City are located and will increase the lease rate on an existing lease agreement between a subsidiary of Caesars and VICI, which will require the Company’s subsidiaries that are parties to such leases to apply a significant amount of their cash flow to required rental payments. These leases also are expected to require certain levels of capital expenditures to be made on the properties leased under these leases on an ongoing basis.  As a result of the obligation to pay rent and make capital expenditures under the new and existing leases, the ability of the combined company to fund its operations or development projects, raise capital, make acquisitions and otherwise respond to competitive and economic changes may be adversely affected.  For example, the obligations under these lease agreements may:</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make it more difficult for the combined company to satisfy its obligations with respect to its (or its subsidiaries’) indebtedness and to obtain additional indebtedness;</w:t>
            </w:r>
          </w:p>
        </w:tc>
      </w:tr>
    </w:tbl>
    <w:tbl>
      <w:tblPr>
        <w:tblW w:w="9865" w:type="dxa"/>
        <w:jc w:val="left"/>
        <w:tblInd w:w="0" w:type="dxa"/>
        <w:tblCellMar>
          <w:top w:w="0" w:type="dxa"/>
          <w:left w:w="0" w:type="dxa"/>
          <w:bottom w:w="0" w:type="dxa"/>
          <w:right w:w="0" w:type="dxa"/>
        </w:tblCellMar>
      </w:tblPr>
      <w:tblGrid>
        <w:gridCol w:w="60"/>
        <w:gridCol w:w="110"/>
        <w:gridCol w:w="969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69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increase vulnerability to general or regional adverse economic and industry conditions or a downturn in the combined company’s business;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100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require the combined company to dedicate a substantial portion of its cash flow from operations to making lease payments, thereby reducing the availability of cash flow to fund working capital, capital expenditures and other general corporate purposes and acquisitions;</w:t>
            </w:r>
          </w:p>
        </w:tc>
      </w:tr>
    </w:tbl>
    <w:tbl>
      <w:tblPr>
        <w:tblW w:w="9490" w:type="dxa"/>
        <w:jc w:val="left"/>
        <w:tblInd w:w="0" w:type="dxa"/>
        <w:tblCellMar>
          <w:top w:w="0" w:type="dxa"/>
          <w:left w:w="0" w:type="dxa"/>
          <w:bottom w:w="0" w:type="dxa"/>
          <w:right w:w="0" w:type="dxa"/>
        </w:tblCellMar>
      </w:tblPr>
      <w:tblGrid>
        <w:gridCol w:w="60"/>
        <w:gridCol w:w="110"/>
        <w:gridCol w:w="93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32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limit flexibility in planning for, or reacting to, changes in the combined company’s business and the industry in which it operates; and</w:t>
            </w:r>
          </w:p>
        </w:tc>
      </w:tr>
    </w:tbl>
    <w:tbl>
      <w:tblPr>
        <w:tblW w:w="9505" w:type="dxa"/>
        <w:jc w:val="left"/>
        <w:tblInd w:w="0" w:type="dxa"/>
        <w:tblCellMar>
          <w:top w:w="0" w:type="dxa"/>
          <w:left w:w="0" w:type="dxa"/>
          <w:bottom w:w="0" w:type="dxa"/>
          <w:right w:w="0" w:type="dxa"/>
        </w:tblCellMar>
      </w:tblPr>
      <w:tblGrid>
        <w:gridCol w:w="60"/>
        <w:gridCol w:w="110"/>
        <w:gridCol w:w="93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0" w:type="dxa"/>
            <w:tcBorders/>
            <w:shd w:fill="auto" w:val="clear"/>
          </w:tcPr>
          <w:p>
            <w:pPr>
              <w:pStyle w:val="TableContents"/>
              <w:spacing w:before="120" w:after="0"/>
              <w:rPr>
                <w:caps w:val="false"/>
                <w:smallCaps w:val="false"/>
              </w:rPr>
            </w:pPr>
            <w:r>
              <w:rPr>
                <w:caps w:val="false"/>
                <w:smallCaps w:val="false"/>
              </w:rPr>
              <w:t>•</w:t>
            </w:r>
          </w:p>
        </w:tc>
        <w:tc>
          <w:tcPr>
            <w:tcW w:w="93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restrict the combined company’s ability to raise capital, make acquisitions and divestitures and engage in other significant transactions.</w:t>
            </w:r>
          </w:p>
        </w:tc>
      </w:tr>
    </w:tbl>
    <w:p>
      <w:pPr>
        <w:pStyle w:val="TextBody"/>
        <w:spacing w:before="240" w:after="24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addition, the annual rent escalations under these lease agreements will continue to apply regardless of the amount of cash flows generated by the properties that are subject to these lease agreements. Accordingly, if the cash flows generated by such properties decrease, or do not increase at the same rate as the rent escalations, the rents payable under these lease agreements could comprise a higher percentage of the cash flows generated by the applicable entity, which could exacerbate, perhaps materially, the issues described above.  Any of the above listed factors could have an adverse effect on the combined company’s business, financial condition and results of operations.</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Moreover, if the combined company were to default on any one or more of these lease agreements, the applicable lessors could terminate the affected leases and we could lose possession of the land leased under the affected leases and any improvements on that land, including the hotels and casinos. A termination of these lease agreements could result in a default under the Company’s (or its subsidiaries’) applicable credit agreements, which would allow its lenders to declare all outstanding borrowings to be due and payable and terminate any commitments thereunder, and could have a material adverse effect on the combined company’s business, financial condition and results of operations.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75</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The guaranties to be entered into by the Company in connection with the existing and new leases with VICI will include covenants that may restrict the ability of the Company to pay dividends, repurchase its shares and sell assets.</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will guaranty the obligations of its subsidiaries under the existing and new leases with VICI pursuant to which the Company’s subsidiaries will lease certain parcels of land on which several of their respective properties are located.  These guaranties will include covenants, which, among other things, may restrict the ability of the Company to pay dividends or repurchase its shares if its market capitalization is less than $5.5 billion, and may restrict the ability of the Company to sell assets directly owned by it.</w:t>
      </w:r>
    </w:p>
    <w:p>
      <w:pPr>
        <w:pStyle w:val="TextBody"/>
        <w:spacing w:before="360" w:after="0"/>
        <w:rPr>
          <w:rFonts w:ascii="Times New Roman" w:hAnsi="Times New Roman"/>
          <w:b/>
          <w:i/>
          <w:caps w:val="false"/>
          <w:smallCaps w:val="false"/>
          <w:sz w:val="17"/>
        </w:rPr>
      </w:pPr>
      <w:r>
        <w:rPr>
          <w:rFonts w:ascii="Times New Roman" w:hAnsi="Times New Roman"/>
          <w:b/>
          <w:i/>
          <w:caps w:val="false"/>
          <w:smallCaps w:val="false"/>
          <w:sz w:val="17"/>
        </w:rPr>
        <w:t>Delay or failure to consummate the sale of properties previously announced by the Company may require the Company to incur additional debt to pay the cash portion of the Merger Consideration or to repay outstanding indebtedness of the Company or otherwise adversely impact the business, financial condition and results of operations of the combined company following the Merger.</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June 17, 2019, the Company entered into an agreement to sell Lady Luck Caruthersville, Isle Casino Cape Girardeau and Mountaineer Casino, Racetrack &amp; Resort for aggregate consideration of $385.0 million, and on July 10, 2019, the Company entered into an agreement to sell Isle of Capri Casino Kansas City and Lady Luck Casino Vicksburg for aggregate consideration of $230.0 million, in each case subject to certain adjustments.  The consummation of each transaction is subject to satisfaction of customary conditions, including receipt of required regulatory approvals, the accuracy of the parties’ representations and warranties, compliance with covenants, delivery of certain closing deliverables and the absence of any governmental order or action seeking to prohibit the consummation of the transaction.  Although the Company expects such sale transactions to be consummated prior to consummation of the Merger, there can be no assurance as to the timing of the closing of such sales or that the closings will occur on the terms set forth in the purchase agreements relating to the sales, or at all.  In the event that the closing of either sale is delayed or does not occur, the Company may be required to incur the 364-day secured bridge facility under the Debt Financing or other additional indebtedness to pay the cash portion of the Merger Consideration, to repay the Company’s and certain of Caesars’ and its subsidiaries outstanding debt and/or to pay transaction fees and expenses related thereto, which could adversely impact the business, financial condition and results of operations of the combined company following the Merger.</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connection with the Merger, the Company is expected to enter into purchase agreements to cause Caesars to sell Harrah’s Resort Atlantic City, Harrah’s Laughlin and Harrah’s New Orleans (or, under certain circumstances, if necessary, certain replacement properties, specified in the MTA) to VICI for aggregate consideration of approximately $1.8 billion, subject to satisfaction of customary conditions, including receipt of required regulatory approvals.  In the event that the closing of any of the sales is delayed or does not occur within a certain timeframe, the Company may be required to incur the 364-day secured bridge facility under the Debt Financing or other additional indebtedness to pay the cash portion of the Merger Consideration, to repay the Company’s and certain of Caesars’ and its subsidiaries outstanding debt and/or to pay transaction fees and expenses related thereto, which could adversely impact the business, financial condition and results of operations of the combined company following the Merger.</w:t>
      </w:r>
    </w:p>
    <w:tbl>
      <w:tblPr>
        <w:tblW w:w="6490" w:type="dxa"/>
        <w:jc w:val="left"/>
        <w:tblInd w:w="0" w:type="dxa"/>
        <w:tblCellMar>
          <w:top w:w="0" w:type="dxa"/>
          <w:left w:w="0" w:type="dxa"/>
          <w:bottom w:w="0" w:type="dxa"/>
          <w:right w:w="0" w:type="dxa"/>
        </w:tblCellMar>
      </w:tblPr>
      <w:tblGrid>
        <w:gridCol w:w="620"/>
        <w:gridCol w:w="5870"/>
      </w:tblGrid>
      <w:tr>
        <w:trPr/>
        <w:tc>
          <w:tcPr>
            <w:tcW w:w="620" w:type="dxa"/>
            <w:tcBorders/>
            <w:shd w:fill="auto" w:val="clear"/>
          </w:tcPr>
          <w:p>
            <w:pPr>
              <w:pStyle w:val="TableContents"/>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ITEM 2.</w:t>
            </w:r>
          </w:p>
        </w:tc>
        <w:tc>
          <w:tcPr>
            <w:tcW w:w="5870" w:type="dxa"/>
            <w:tcBorders/>
            <w:shd w:fill="auto" w:val="clear"/>
          </w:tcPr>
          <w:p>
            <w:pPr>
              <w:pStyle w:val="TableContents"/>
              <w:spacing w:before="360" w:after="0"/>
              <w:rPr>
                <w:rFonts w:ascii="Times New Roman" w:hAnsi="Times New Roman"/>
                <w:b/>
                <w:i w:val="false"/>
                <w:caps w:val="false"/>
                <w:smallCaps w:val="false"/>
                <w:sz w:val="17"/>
              </w:rPr>
            </w:pPr>
            <w:bookmarkStart w:id="16" w:name="ITEM_2_UNREGISTERED_SALES_EQUITY_SECURIT"/>
            <w:bookmarkEnd w:id="16"/>
            <w:r>
              <w:rPr>
                <w:rFonts w:ascii="Times New Roman" w:hAnsi="Times New Roman"/>
                <w:b/>
                <w:i w:val="false"/>
                <w:caps w:val="false"/>
                <w:smallCaps w:val="false"/>
                <w:sz w:val="17"/>
              </w:rPr>
              <w:t>UNREGISTERED SALES OF EQUITY SECURITIES AND USE OF PROCEEDS</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None.</w:t>
      </w:r>
    </w:p>
    <w:tbl>
      <w:tblPr>
        <w:tblW w:w="3775" w:type="dxa"/>
        <w:jc w:val="left"/>
        <w:tblInd w:w="0" w:type="dxa"/>
        <w:tblCellMar>
          <w:top w:w="0" w:type="dxa"/>
          <w:left w:w="0" w:type="dxa"/>
          <w:bottom w:w="0" w:type="dxa"/>
          <w:right w:w="0" w:type="dxa"/>
        </w:tblCellMar>
      </w:tblPr>
      <w:tblGrid>
        <w:gridCol w:w="620"/>
        <w:gridCol w:w="3155"/>
      </w:tblGrid>
      <w:tr>
        <w:trPr/>
        <w:tc>
          <w:tcPr>
            <w:tcW w:w="620" w:type="dxa"/>
            <w:tcBorders/>
            <w:shd w:fill="auto" w:val="clear"/>
          </w:tcPr>
          <w:p>
            <w:pPr>
              <w:pStyle w:val="TableContents"/>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ITEM 3.</w:t>
            </w:r>
          </w:p>
        </w:tc>
        <w:tc>
          <w:tcPr>
            <w:tcW w:w="3155" w:type="dxa"/>
            <w:tcBorders/>
            <w:shd w:fill="auto" w:val="clear"/>
          </w:tcPr>
          <w:p>
            <w:pPr>
              <w:pStyle w:val="TableContents"/>
              <w:spacing w:before="360" w:after="0"/>
              <w:rPr>
                <w:rFonts w:ascii="Times New Roman" w:hAnsi="Times New Roman"/>
                <w:b/>
                <w:i w:val="false"/>
                <w:caps w:val="false"/>
                <w:smallCaps w:val="false"/>
                <w:sz w:val="17"/>
              </w:rPr>
            </w:pPr>
            <w:bookmarkStart w:id="17" w:name="ITEM_3_DEFAULTS_UPON_SENIOR_SECURITIES"/>
            <w:bookmarkEnd w:id="17"/>
            <w:r>
              <w:rPr>
                <w:rFonts w:ascii="Times New Roman" w:hAnsi="Times New Roman"/>
                <w:b/>
                <w:i w:val="false"/>
                <w:caps w:val="false"/>
                <w:smallCaps w:val="false"/>
                <w:sz w:val="17"/>
              </w:rPr>
              <w:t>DEFAULTS UPON SENIOR SECURITIES.</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None.</w:t>
      </w:r>
    </w:p>
    <w:tbl>
      <w:tblPr>
        <w:tblW w:w="3010" w:type="dxa"/>
        <w:jc w:val="left"/>
        <w:tblInd w:w="0" w:type="dxa"/>
        <w:tblCellMar>
          <w:top w:w="0" w:type="dxa"/>
          <w:left w:w="0" w:type="dxa"/>
          <w:bottom w:w="0" w:type="dxa"/>
          <w:right w:w="0" w:type="dxa"/>
        </w:tblCellMar>
      </w:tblPr>
      <w:tblGrid>
        <w:gridCol w:w="620"/>
        <w:gridCol w:w="2390"/>
      </w:tblGrid>
      <w:tr>
        <w:trPr/>
        <w:tc>
          <w:tcPr>
            <w:tcW w:w="620" w:type="dxa"/>
            <w:tcBorders/>
            <w:shd w:fill="auto" w:val="clear"/>
          </w:tcPr>
          <w:p>
            <w:pPr>
              <w:pStyle w:val="TableContents"/>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ITEM 4.</w:t>
            </w:r>
          </w:p>
        </w:tc>
        <w:tc>
          <w:tcPr>
            <w:tcW w:w="2390" w:type="dxa"/>
            <w:tcBorders/>
            <w:shd w:fill="auto" w:val="clear"/>
          </w:tcPr>
          <w:p>
            <w:pPr>
              <w:pStyle w:val="TableContents"/>
              <w:spacing w:before="360" w:after="0"/>
              <w:rPr>
                <w:rFonts w:ascii="Times New Roman" w:hAnsi="Times New Roman"/>
                <w:b/>
                <w:i w:val="false"/>
                <w:caps w:val="false"/>
                <w:smallCaps w:val="false"/>
                <w:sz w:val="17"/>
              </w:rPr>
            </w:pPr>
            <w:bookmarkStart w:id="18" w:name="ITEM_4_MINE_SAFETY_DISCLOSURES"/>
            <w:bookmarkEnd w:id="18"/>
            <w:r>
              <w:rPr>
                <w:rFonts w:ascii="Times New Roman" w:hAnsi="Times New Roman"/>
                <w:b/>
                <w:i w:val="false"/>
                <w:caps w:val="false"/>
                <w:smallCaps w:val="false"/>
                <w:sz w:val="17"/>
              </w:rPr>
              <w:t>MINE SAFETY DISCLOSURES.</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Not applicable.</w:t>
      </w:r>
    </w:p>
    <w:tbl>
      <w:tblPr>
        <w:tblW w:w="2560" w:type="dxa"/>
        <w:jc w:val="left"/>
        <w:tblInd w:w="0" w:type="dxa"/>
        <w:tblCellMar>
          <w:top w:w="0" w:type="dxa"/>
          <w:left w:w="0" w:type="dxa"/>
          <w:bottom w:w="0" w:type="dxa"/>
          <w:right w:w="0" w:type="dxa"/>
        </w:tblCellMar>
      </w:tblPr>
      <w:tblGrid>
        <w:gridCol w:w="620"/>
        <w:gridCol w:w="1940"/>
      </w:tblGrid>
      <w:tr>
        <w:trPr/>
        <w:tc>
          <w:tcPr>
            <w:tcW w:w="620" w:type="dxa"/>
            <w:tcBorders/>
            <w:shd w:fill="auto" w:val="clear"/>
          </w:tcPr>
          <w:p>
            <w:pPr>
              <w:pStyle w:val="TableContents"/>
              <w:spacing w:before="360" w:after="0"/>
              <w:rPr>
                <w:rFonts w:ascii="Times New Roman" w:hAnsi="Times New Roman"/>
                <w:b/>
                <w:i w:val="false"/>
                <w:caps w:val="false"/>
                <w:smallCaps w:val="false"/>
                <w:sz w:val="17"/>
              </w:rPr>
            </w:pPr>
            <w:r>
              <w:rPr>
                <w:rFonts w:ascii="Times New Roman" w:hAnsi="Times New Roman"/>
                <w:b/>
                <w:i w:val="false"/>
                <w:caps w:val="false"/>
                <w:smallCaps w:val="false"/>
                <w:sz w:val="17"/>
              </w:rPr>
              <w:t>ITEM 5.</w:t>
            </w:r>
          </w:p>
        </w:tc>
        <w:tc>
          <w:tcPr>
            <w:tcW w:w="1940" w:type="dxa"/>
            <w:tcBorders/>
            <w:shd w:fill="auto" w:val="clear"/>
          </w:tcPr>
          <w:p>
            <w:pPr>
              <w:pStyle w:val="TableContents"/>
              <w:spacing w:before="360" w:after="0"/>
              <w:rPr>
                <w:rFonts w:ascii="Times New Roman" w:hAnsi="Times New Roman"/>
                <w:b/>
                <w:i w:val="false"/>
                <w:caps w:val="false"/>
                <w:smallCaps w:val="false"/>
                <w:sz w:val="17"/>
              </w:rPr>
            </w:pPr>
            <w:bookmarkStart w:id="19" w:name="ITEM_5_OR_INFORMATION"/>
            <w:bookmarkEnd w:id="19"/>
            <w:r>
              <w:rPr>
                <w:rFonts w:ascii="Times New Roman" w:hAnsi="Times New Roman"/>
                <w:b/>
                <w:i w:val="false"/>
                <w:caps w:val="false"/>
                <w:smallCaps w:val="false"/>
                <w:sz w:val="17"/>
              </w:rPr>
              <w:t>OTHER INFORMATION.</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None.</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76</w:t>
      </w:r>
    </w:p>
    <w:p>
      <w:pPr>
        <w:pStyle w:val="HorizontalLine"/>
        <w:rPr/>
      </w:pPr>
      <w:r>
        <w:rPr/>
      </w:r>
    </w:p>
    <w:p>
      <w:pPr>
        <w:pStyle w:val="TextBody"/>
        <w:spacing w:before="0" w:after="0"/>
        <w:rPr/>
      </w:pPr>
      <w:r>
        <w:rPr/>
        <w:t> </w:t>
      </w:r>
    </w:p>
    <w:tbl>
      <w:tblPr>
        <w:tblW w:w="1510" w:type="dxa"/>
        <w:jc w:val="left"/>
        <w:tblInd w:w="0" w:type="dxa"/>
        <w:tblCellMar>
          <w:top w:w="0" w:type="dxa"/>
          <w:left w:w="0" w:type="dxa"/>
          <w:bottom w:w="0" w:type="dxa"/>
          <w:right w:w="0" w:type="dxa"/>
        </w:tblCellMar>
      </w:tblPr>
      <w:tblGrid>
        <w:gridCol w:w="620"/>
        <w:gridCol w:w="890"/>
      </w:tblGrid>
      <w:tr>
        <w:trPr/>
        <w:tc>
          <w:tcPr>
            <w:tcW w:w="620" w:type="dxa"/>
            <w:tcBorders/>
            <w:shd w:fill="auto" w:val="clear"/>
          </w:tcPr>
          <w:p>
            <w:pPr>
              <w:pStyle w:val="TableContents"/>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ITEM 6.</w:t>
            </w:r>
          </w:p>
        </w:tc>
        <w:tc>
          <w:tcPr>
            <w:tcW w:w="890" w:type="dxa"/>
            <w:tcBorders/>
            <w:shd w:fill="auto" w:val="clear"/>
          </w:tcPr>
          <w:p>
            <w:pPr>
              <w:pStyle w:val="TableContents"/>
              <w:spacing w:before="0" w:after="0"/>
              <w:rPr>
                <w:rFonts w:ascii="Times New Roman" w:hAnsi="Times New Roman"/>
                <w:b/>
                <w:i w:val="false"/>
                <w:caps w:val="false"/>
                <w:smallCaps w:val="false"/>
                <w:sz w:val="17"/>
              </w:rPr>
            </w:pPr>
            <w:bookmarkStart w:id="20" w:name="ITEM_6_EXHIBITS"/>
            <w:bookmarkEnd w:id="20"/>
            <w:r>
              <w:rPr>
                <w:rFonts w:ascii="Times New Roman" w:hAnsi="Times New Roman"/>
                <w:b/>
                <w:i w:val="false"/>
                <w:caps w:val="false"/>
                <w:smallCaps w:val="false"/>
                <w:sz w:val="17"/>
              </w:rPr>
              <w:t xml:space="preserve">EXHIBITS. </w:t>
            </w:r>
          </w:p>
        </w:tc>
      </w:tr>
    </w:tbl>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575"/>
        <w:gridCol w:w="60"/>
        <w:gridCol w:w="6962"/>
        <w:gridCol w:w="60"/>
        <w:gridCol w:w="2548"/>
      </w:tblGrid>
      <w:tr>
        <w:trPr/>
        <w:tc>
          <w:tcPr>
            <w:tcW w:w="57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Exhibit</w:t>
            </w:r>
          </w:p>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Number</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6962"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Description of Exhibit</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2548"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Method of Filing</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2.1*</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r:id="rId2">
              <w:r>
                <w:rPr>
                  <w:rStyle w:val="InternetLink"/>
                  <w:rFonts w:ascii="Times New Roman" w:hAnsi="Times New Roman"/>
                  <w:b w:val="false"/>
                  <w:i w:val="false"/>
                  <w:caps w:val="false"/>
                  <w:smallCaps w:val="false"/>
                  <w:sz w:val="17"/>
                  <w:u w:val="single"/>
                </w:rPr>
                <w:t>Agreement and Plan of Merger, dated as of June 24, 2019, by and among Caesars Entertainment Corporation, Eldorado Resorts, Inc. and Colt Merger Sub, Inc.</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Previously filed on Form 8-K filed on June 25, 2019.</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2.2*</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r:id="rId3">
              <w:r>
                <w:rPr>
                  <w:rStyle w:val="InternetLink"/>
                  <w:rFonts w:ascii="Times New Roman" w:hAnsi="Times New Roman"/>
                  <w:b w:val="false"/>
                  <w:i w:val="false"/>
                  <w:caps w:val="false"/>
                  <w:smallCaps w:val="false"/>
                  <w:sz w:val="17"/>
                  <w:u w:val="single"/>
                </w:rPr>
                <w:t>Equity Purchase Agreement, dated as of June  17, 2019, by and among Isle of Capri Casinos LLC, MTR Gaming Group, Inc., Century Casinos, Inc., VICI Properties L.P. and, solely for purposes of Section 9.17, Eldorado Resorts, Inc.</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Previously filed on Form 8-K filed on June 17, 2019.</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2.3*</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r:id="rId4">
              <w:r>
                <w:rPr>
                  <w:rStyle w:val="InternetLink"/>
                  <w:rFonts w:ascii="Times New Roman" w:hAnsi="Times New Roman"/>
                  <w:b w:val="false"/>
                  <w:i w:val="false"/>
                  <w:caps w:val="false"/>
                  <w:smallCaps w:val="false"/>
                  <w:sz w:val="17"/>
                  <w:u w:val="single"/>
                </w:rPr>
                <w:t>Real Estate Purchase Agreement, dated as of June 17, 2019, by and among Isle of Capri Casinos LLC, MTR Gaming Group, Inc. and VICI Properties L.P.</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Previously filed on Form 8-K filed on June 17, 2019.</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10.1</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r:id="rId5">
              <w:r>
                <w:rPr>
                  <w:rStyle w:val="InternetLink"/>
                  <w:rFonts w:ascii="Times New Roman" w:hAnsi="Times New Roman"/>
                  <w:b w:val="false"/>
                  <w:i w:val="false"/>
                  <w:caps w:val="false"/>
                  <w:smallCaps w:val="false"/>
                  <w:sz w:val="17"/>
                  <w:u w:val="single"/>
                </w:rPr>
                <w:t>Commitment Letter, dated as of June 24, 2019, from JPMorgan Chase Bank, N.A., Credit Suisse AG, Cayman Islands Branch, Credit Suisse Loan Funding LLC, Macquarie Capital Funding LLC and Macquarie Capital (USA) Inc.</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Previously filed on Form 8-K filed on June 25, 2019.</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10.2</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r:id="rId6">
              <w:r>
                <w:rPr>
                  <w:rStyle w:val="InternetLink"/>
                  <w:rFonts w:ascii="Times New Roman" w:hAnsi="Times New Roman"/>
                  <w:b w:val="false"/>
                  <w:i w:val="false"/>
                  <w:caps w:val="false"/>
                  <w:smallCaps w:val="false"/>
                  <w:sz w:val="17"/>
                  <w:u w:val="single"/>
                </w:rPr>
                <w:t>Voting Agreement, dated as of June 24, 2019, by and among Eldorado Resorts, Inc. and the Stockholders of Caesars Entertainment Corporation named therein.</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strike w:val="false"/>
                <w:dstrike w:val="false"/>
                <w:u w:val="none"/>
                <w:effect w:val="none"/>
              </w:rPr>
            </w:pPr>
            <w:r>
              <w:rPr>
                <w:strike w:val="false"/>
                <w:dstrike w:val="false"/>
                <w:u w:val="none"/>
                <w:effect w:val="none"/>
              </w:rPr>
              <w:t>Previously filed on Form 8-K filed on June 25, 2019.</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10.3</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r:id="rId7">
              <w:r>
                <w:rPr>
                  <w:rStyle w:val="InternetLink"/>
                  <w:rFonts w:ascii="Times New Roman" w:hAnsi="Times New Roman"/>
                  <w:b w:val="false"/>
                  <w:i w:val="false"/>
                  <w:caps w:val="false"/>
                  <w:smallCaps w:val="false"/>
                  <w:sz w:val="17"/>
                  <w:u w:val="single"/>
                </w:rPr>
                <w:t>Master Transaction Agreement, dated as of June 24, 2019, by and among VICI Properties L.P. and Eldorado Resorts, Inc.</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strike w:val="false"/>
                <w:dstrike w:val="false"/>
                <w:u w:val="none"/>
                <w:effect w:val="none"/>
              </w:rPr>
            </w:pPr>
            <w:r>
              <w:rPr>
                <w:strike w:val="false"/>
                <w:dstrike w:val="false"/>
                <w:u w:val="none"/>
                <w:effect w:val="none"/>
              </w:rPr>
              <w:t>Previously filed on Form 8-K filed on June 25, 2019.</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10.4</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r:id="rId8">
              <w:r>
                <w:rPr>
                  <w:rStyle w:val="InternetLink"/>
                  <w:rFonts w:ascii="Times New Roman" w:hAnsi="Times New Roman"/>
                  <w:b w:val="false"/>
                  <w:i w:val="false"/>
                  <w:caps w:val="false"/>
                  <w:smallCaps w:val="false"/>
                  <w:sz w:val="17"/>
                  <w:u w:val="single"/>
                </w:rPr>
                <w:t>Eldorado Resorts, Inc. Amended and Restated 2015 Equity Incentive Plan.</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strike w:val="false"/>
                <w:dstrike w:val="false"/>
                <w:u w:val="none"/>
                <w:effect w:val="none"/>
              </w:rPr>
            </w:pPr>
            <w:r>
              <w:rPr>
                <w:strike w:val="false"/>
                <w:dstrike w:val="false"/>
                <w:u w:val="none"/>
                <w:effect w:val="none"/>
              </w:rPr>
              <w:t>Previously filed on Form S-8 POS filed on June 26, 2019.</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31.1</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w:anchor="eri-ex311_9.htm">
              <w:r>
                <w:rPr>
                  <w:rStyle w:val="InternetLink"/>
                  <w:rFonts w:ascii="Times New Roman" w:hAnsi="Times New Roman"/>
                  <w:b w:val="false"/>
                  <w:i w:val="false"/>
                  <w:caps w:val="false"/>
                  <w:smallCaps w:val="false"/>
                  <w:sz w:val="17"/>
                  <w:u w:val="single"/>
                </w:rPr>
                <w:t>Certification of Thomas R. Reeg pursuant to Rule 13a</w:t>
                <w:noBreakHyphen/>
                <w:t>14a and Rule 15d</w:t>
                <w:noBreakHyphen/>
                <w:t>14(a)</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31.2</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w:anchor="eri-ex312_10.htm">
              <w:r>
                <w:rPr>
                  <w:rStyle w:val="InternetLink"/>
                  <w:rFonts w:ascii="Times New Roman" w:hAnsi="Times New Roman"/>
                  <w:b w:val="false"/>
                  <w:i w:val="false"/>
                  <w:caps w:val="false"/>
                  <w:smallCaps w:val="false"/>
                  <w:sz w:val="17"/>
                  <w:u w:val="single"/>
                </w:rPr>
                <w:t>Certification of Bret Yunker pursuant to Rule 13a</w:t>
                <w:noBreakHyphen/>
                <w:t>14a and Rule 15d</w:t>
                <w:noBreakHyphen/>
                <w:t>14(a)</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32.1</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w:anchor="eri-ex321_7.htm">
              <w:r>
                <w:rPr>
                  <w:rStyle w:val="InternetLink"/>
                  <w:rFonts w:ascii="Times New Roman" w:hAnsi="Times New Roman"/>
                  <w:b w:val="false"/>
                  <w:i w:val="false"/>
                  <w:caps w:val="false"/>
                  <w:smallCaps w:val="false"/>
                  <w:sz w:val="17"/>
                  <w:u w:val="single"/>
                </w:rPr>
                <w:t>Certification of Thomas R. Reeg in accordance with 18 U.S.C. Section 1350</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17"/>
              </w:rPr>
              <w:t>32.2</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hyperlink w:anchor="eri-ex322_6.htm">
              <w:r>
                <w:rPr>
                  <w:rStyle w:val="InternetLink"/>
                  <w:rFonts w:ascii="Times New Roman" w:hAnsi="Times New Roman"/>
                  <w:b w:val="false"/>
                  <w:i w:val="false"/>
                  <w:caps w:val="false"/>
                  <w:smallCaps w:val="false"/>
                  <w:sz w:val="17"/>
                  <w:u w:val="single"/>
                </w:rPr>
                <w:t>Certification of Bret Yunker in accordance with 18 U.S.C. Section 1350</w:t>
              </w:r>
            </w:hyperlink>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101.1</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XBRL Instance Document</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101.2</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XBRL Taxonomy Extension Schema Document</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101.3</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XBRL Taxonomy Extension Calculation Linkbase Document</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101.4</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XBRL Taxonomy Extension Definition Linkbase Document</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101.5</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XBRL Taxonomy Extension Label Linkbase Document</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101.6</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XBRL Taxonomy Extension Presentation Linkbase Document</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Filed herewith.</w:t>
            </w:r>
          </w:p>
        </w:tc>
      </w:tr>
      <w:tr>
        <w:trPr/>
        <w:tc>
          <w:tcPr>
            <w:tcW w:w="575" w:type="dxa"/>
            <w:tcBorders>
              <w:bottom w:val="single" w:sz="6" w:space="0" w:color="000000"/>
            </w:tcBorders>
            <w:shd w:fill="FFFFFF" w:val="clear"/>
          </w:tcPr>
          <w:p>
            <w:pPr>
              <w:pStyle w:val="TableContents"/>
              <w:spacing w:before="0" w:after="0"/>
              <w:ind w:left="0" w:right="0" w:hanging="0"/>
              <w:rPr/>
            </w:pPr>
            <w:r>
              <w:rPr/>
              <w:t> </w:t>
            </w:r>
          </w:p>
        </w:tc>
        <w:tc>
          <w:tcPr>
            <w:tcW w:w="60" w:type="dxa"/>
            <w:tcBorders>
              <w:bottom w:val="single" w:sz="6" w:space="0" w:color="000000"/>
            </w:tcBorders>
            <w:shd w:fill="FFFFFF" w:val="clear"/>
          </w:tcPr>
          <w:p>
            <w:pPr>
              <w:pStyle w:val="TableContents"/>
              <w:spacing w:before="0" w:after="0"/>
              <w:ind w:left="0" w:right="0" w:hanging="0"/>
              <w:rPr/>
            </w:pPr>
            <w:r>
              <w:rPr/>
              <w:t> </w:t>
            </w:r>
          </w:p>
        </w:tc>
        <w:tc>
          <w:tcPr>
            <w:tcW w:w="6962" w:type="dxa"/>
            <w:tcBorders>
              <w:bottom w:val="single" w:sz="6" w:space="0" w:color="000000"/>
            </w:tcBorders>
            <w:shd w:fill="FFFFFF" w:val="clear"/>
          </w:tcPr>
          <w:p>
            <w:pPr>
              <w:pStyle w:val="TableContents"/>
              <w:spacing w:before="0" w:after="0"/>
              <w:ind w:left="0" w:right="0" w:hanging="0"/>
              <w:rPr/>
            </w:pPr>
            <w:r>
              <w:rPr/>
              <w:t> </w:t>
            </w:r>
          </w:p>
        </w:tc>
        <w:tc>
          <w:tcPr>
            <w:tcW w:w="60" w:type="dxa"/>
            <w:tcBorders>
              <w:bottom w:val="single" w:sz="6" w:space="0" w:color="000000"/>
            </w:tcBorders>
            <w:shd w:fill="FFFFFF" w:val="clear"/>
          </w:tcPr>
          <w:p>
            <w:pPr>
              <w:pStyle w:val="TableContents"/>
              <w:spacing w:before="0" w:after="0"/>
              <w:ind w:left="0" w:right="0" w:hanging="0"/>
              <w:rPr/>
            </w:pPr>
            <w:r>
              <w:rPr/>
              <w:t> </w:t>
            </w:r>
          </w:p>
        </w:tc>
        <w:tc>
          <w:tcPr>
            <w:tcW w:w="2548" w:type="dxa"/>
            <w:tcBorders>
              <w:bottom w:val="single" w:sz="6" w:space="0" w:color="000000"/>
            </w:tcBorders>
            <w:shd w:fill="FFFFFF" w:val="clear"/>
          </w:tcPr>
          <w:p>
            <w:pPr>
              <w:pStyle w:val="TableContents"/>
              <w:spacing w:before="0" w:after="0"/>
              <w:ind w:left="0" w:right="0" w:hanging="0"/>
              <w:rPr/>
            </w:pPr>
            <w:r>
              <w:rPr/>
              <w:t> </w:t>
            </w:r>
          </w:p>
        </w:tc>
      </w:tr>
      <w:tr>
        <w:trPr/>
        <w:tc>
          <w:tcPr>
            <w:tcW w:w="575" w:type="dxa"/>
            <w:tcBorders>
              <w:top w:val="single" w:sz="6" w:space="0" w:color="000000"/>
            </w:tcBorders>
            <w:shd w:fill="FFFFFF"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t>
            </w:r>
          </w:p>
        </w:tc>
        <w:tc>
          <w:tcPr>
            <w:tcW w:w="60" w:type="dxa"/>
            <w:tcBorders>
              <w:top w:val="single" w:sz="6" w:space="0" w:color="000000"/>
            </w:tcBorders>
            <w:shd w:fill="FFFFFF" w:val="clear"/>
            <w:tcMar>
              <w:top w:w="28" w:type="dxa"/>
              <w:bottom w:w="0" w:type="dxa"/>
            </w:tcMar>
          </w:tcPr>
          <w:p>
            <w:pPr>
              <w:pStyle w:val="TableContents"/>
              <w:spacing w:before="0" w:after="0"/>
              <w:ind w:left="0" w:right="0" w:hanging="0"/>
              <w:rPr/>
            </w:pPr>
            <w:r>
              <w:rPr/>
              <w:t> </w:t>
            </w:r>
          </w:p>
        </w:tc>
        <w:tc>
          <w:tcPr>
            <w:tcW w:w="6962" w:type="dxa"/>
            <w:tcBorders>
              <w:top w:val="single" w:sz="6" w:space="0" w:color="000000"/>
            </w:tcBorders>
            <w:shd w:fill="FFFFFF"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Schedules and exhibits have been omitted pursuant to Item 601(b)(2) of Regulation S-K. Eldorado hereby undertakes to furnish supplemental copies of any of the omitted schedules and exhibits upon request by the U.S. Securities and Exchange Commission.</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r>
        <w:trPr/>
        <w:tc>
          <w:tcPr>
            <w:tcW w:w="575"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6962"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2548" w:type="dxa"/>
            <w:tcBorders/>
            <w:shd w:fill="FFFFFF" w:val="clear"/>
            <w:tcMar>
              <w:bottom w:w="0" w:type="dxa"/>
            </w:tcMar>
          </w:tcPr>
          <w:p>
            <w:pPr>
              <w:pStyle w:val="TableContents"/>
              <w:spacing w:before="0" w:after="0"/>
              <w:ind w:left="0" w:right="0" w:hanging="0"/>
              <w:rPr/>
            </w:pPr>
            <w:r>
              <w:rPr/>
              <w:t> </w:t>
            </w:r>
          </w:p>
        </w:tc>
      </w:tr>
    </w:tbl>
    <w:p>
      <w:pPr>
        <w:pStyle w:val="TextBody"/>
        <w:spacing w:before="0" w:after="0"/>
        <w:jc w:val="center"/>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77</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bookmarkStart w:id="21" w:name="SIGNATURES"/>
      <w:bookmarkEnd w:id="21"/>
      <w:r>
        <w:rPr>
          <w:rFonts w:ascii="Times New Roman" w:hAnsi="Times New Roman"/>
          <w:b/>
          <w:i w:val="false"/>
          <w:caps w:val="false"/>
          <w:smallCaps w:val="false"/>
          <w:sz w:val="17"/>
        </w:rPr>
        <w:t>SIGNATURES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Pursuant to the requirements of the Securities and Exchange Act of 1934, the registrant has duly caused this report to be signed on its behalf by the undersigned thereunto duly authorized.</w:t>
      </w:r>
    </w:p>
    <w:p>
      <w:pPr>
        <w:pStyle w:val="TextBody"/>
        <w:spacing w:before="0" w:after="0"/>
        <w:rPr/>
      </w:pPr>
      <w:r>
        <w:rPr/>
        <w:t> </w:t>
      </w:r>
    </w:p>
    <w:tbl>
      <w:tblPr>
        <w:tblW w:w="5215" w:type="dxa"/>
        <w:jc w:val="left"/>
        <w:tblInd w:w="0" w:type="dxa"/>
        <w:tblCellMar>
          <w:top w:w="0" w:type="dxa"/>
          <w:left w:w="0" w:type="dxa"/>
          <w:bottom w:w="0" w:type="dxa"/>
          <w:right w:w="0" w:type="dxa"/>
        </w:tblCellMar>
      </w:tblPr>
      <w:tblGrid>
        <w:gridCol w:w="1505"/>
        <w:gridCol w:w="60"/>
        <w:gridCol w:w="3650"/>
      </w:tblGrid>
      <w:tr>
        <w:trPr/>
        <w:tc>
          <w:tcPr>
            <w:tcW w:w="15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650" w:type="dxa"/>
            <w:tcBorders/>
            <w:shd w:fill="auto" w:val="clear"/>
            <w:vAlign w:val="bottom"/>
          </w:tcPr>
          <w:p>
            <w:pPr>
              <w:pStyle w:val="TableContents"/>
              <w:spacing w:before="0" w:after="0"/>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ELDORADO RESORTS, INC.</w:t>
            </w:r>
          </w:p>
        </w:tc>
      </w:tr>
      <w:tr>
        <w:trPr/>
        <w:tc>
          <w:tcPr>
            <w:tcW w:w="15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650" w:type="dxa"/>
            <w:tcBorders/>
            <w:shd w:fill="auto" w:val="clear"/>
            <w:vAlign w:val="bottom"/>
          </w:tcPr>
          <w:p>
            <w:pPr>
              <w:pStyle w:val="TableContents"/>
              <w:spacing w:before="0" w:after="0"/>
              <w:ind w:left="0" w:right="0" w:hanging="0"/>
              <w:jc w:val="center"/>
              <w:rPr/>
            </w:pPr>
            <w:r>
              <w:rPr/>
              <w:t> </w:t>
            </w:r>
          </w:p>
        </w:tc>
      </w:tr>
      <w:tr>
        <w:trPr/>
        <w:tc>
          <w:tcPr>
            <w:tcW w:w="1505"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9, 2019</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3650"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/s/ </w:t>
            </w:r>
            <w:r>
              <w:rPr>
                <w:rFonts w:ascii="Times New Roman" w:hAnsi="Times New Roman"/>
                <w:b w:val="false"/>
                <w:i w:val="false"/>
                <w:smallCaps/>
                <w:sz w:val="17"/>
              </w:rPr>
              <w:t>Thomas R. Reeg</w:t>
            </w:r>
          </w:p>
        </w:tc>
      </w:tr>
      <w:tr>
        <w:trPr/>
        <w:tc>
          <w:tcPr>
            <w:tcW w:w="15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650"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Thomas R. Reeg</w:t>
            </w:r>
          </w:p>
        </w:tc>
      </w:tr>
      <w:tr>
        <w:trPr/>
        <w:tc>
          <w:tcPr>
            <w:tcW w:w="15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650" w:type="dxa"/>
            <w:tcBorders/>
            <w:shd w:fill="auto" w:val="clear"/>
            <w:vAlign w:val="bottom"/>
          </w:tcPr>
          <w:p>
            <w:pPr>
              <w:pStyle w:val="TableContents"/>
              <w:spacing w:before="0" w:after="0"/>
              <w:ind w:left="0" w:right="0" w:hanging="0"/>
              <w:jc w:val="center"/>
              <w:rPr>
                <w:rFonts w:ascii="Times New Roman" w:hAnsi="Times New Roman"/>
                <w:b w:val="false"/>
                <w:i/>
                <w:caps w:val="false"/>
                <w:smallCaps w:val="false"/>
                <w:sz w:val="17"/>
              </w:rPr>
            </w:pPr>
            <w:r>
              <w:rPr>
                <w:rFonts w:ascii="Times New Roman" w:hAnsi="Times New Roman"/>
                <w:b w:val="false"/>
                <w:i/>
                <w:caps w:val="false"/>
                <w:smallCaps w:val="false"/>
                <w:sz w:val="17"/>
              </w:rPr>
              <w:t>Chief Executive Officer (Principal Executive Officer)</w:t>
            </w:r>
          </w:p>
        </w:tc>
      </w:tr>
      <w:tr>
        <w:trPr/>
        <w:tc>
          <w:tcPr>
            <w:tcW w:w="15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650" w:type="dxa"/>
            <w:tcBorders/>
            <w:shd w:fill="auto" w:val="clear"/>
            <w:vAlign w:val="bottom"/>
          </w:tcPr>
          <w:p>
            <w:pPr>
              <w:pStyle w:val="TableContents"/>
              <w:spacing w:before="0" w:after="0"/>
              <w:ind w:left="0" w:right="0" w:hanging="0"/>
              <w:jc w:val="center"/>
              <w:rPr/>
            </w:pPr>
            <w:r>
              <w:rPr/>
              <w:t> </w:t>
            </w:r>
          </w:p>
        </w:tc>
      </w:tr>
      <w:tr>
        <w:trPr/>
        <w:tc>
          <w:tcPr>
            <w:tcW w:w="1505"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9, 2019</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pPr>
            <w:r>
              <w:rPr/>
              <w:t> </w:t>
            </w:r>
          </w:p>
        </w:tc>
        <w:tc>
          <w:tcPr>
            <w:tcW w:w="3650"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/s/ </w:t>
            </w:r>
            <w:r>
              <w:rPr>
                <w:rFonts w:ascii="Times New Roman" w:hAnsi="Times New Roman"/>
                <w:b w:val="false"/>
                <w:i w:val="false"/>
                <w:smallCaps/>
                <w:sz w:val="17"/>
              </w:rPr>
              <w:t>Bret Yunker</w:t>
            </w:r>
          </w:p>
        </w:tc>
      </w:tr>
      <w:tr>
        <w:trPr/>
        <w:tc>
          <w:tcPr>
            <w:tcW w:w="15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650"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Bret Yunker</w:t>
            </w:r>
          </w:p>
        </w:tc>
      </w:tr>
      <w:tr>
        <w:trPr/>
        <w:tc>
          <w:tcPr>
            <w:tcW w:w="15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650" w:type="dxa"/>
            <w:tcBorders/>
            <w:shd w:fill="auto" w:val="clear"/>
          </w:tcPr>
          <w:p>
            <w:pPr>
              <w:pStyle w:val="TableContents"/>
              <w:spacing w:before="0" w:after="0"/>
              <w:ind w:left="0" w:right="0" w:hanging="0"/>
              <w:jc w:val="center"/>
              <w:rPr>
                <w:rFonts w:ascii="Times New Roman" w:hAnsi="Times New Roman"/>
                <w:b w:val="false"/>
                <w:i/>
                <w:caps w:val="false"/>
                <w:smallCaps w:val="false"/>
                <w:sz w:val="17"/>
              </w:rPr>
            </w:pPr>
            <w:r>
              <w:rPr>
                <w:rFonts w:ascii="Times New Roman" w:hAnsi="Times New Roman"/>
                <w:b w:val="false"/>
                <w:i/>
                <w:caps w:val="false"/>
                <w:smallCaps w:val="false"/>
                <w:sz w:val="17"/>
              </w:rPr>
              <w:t>Chief Financial Officer (Principal Financial Officer)</w:t>
            </w:r>
          </w:p>
        </w:tc>
      </w:tr>
      <w:tr>
        <w:trPr/>
        <w:tc>
          <w:tcPr>
            <w:tcW w:w="15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650" w:type="dxa"/>
            <w:tcBorders/>
            <w:shd w:fill="auto" w:val="clear"/>
          </w:tcPr>
          <w:p>
            <w:pPr>
              <w:pStyle w:val="TableContents"/>
              <w:spacing w:before="0" w:after="0"/>
              <w:ind w:left="0" w:right="0" w:hanging="0"/>
              <w:jc w:val="center"/>
              <w:rPr/>
            </w:pPr>
            <w:r>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78</w:t>
      </w:r>
      <w:r>
        <w:br w:type="page"/>
      </w:r>
    </w:p>
    <w:p>
      <w:pPr>
        <w:pStyle w:val="TextBody"/>
        <w:spacing w:before="0" w:after="0"/>
        <w:rPr/>
      </w:pPr>
      <w:bookmarkStart w:id="22" w:name="eri-ex311_9.htm"/>
      <w:bookmarkStart w:id="23" w:name="kseriex311_9"/>
      <w:bookmarkEnd w:id="22"/>
      <w:bookmarkEnd w:id="23"/>
      <w:r>
        <w:rPr/>
        <w:t> </w:t>
      </w:r>
    </w:p>
    <w:p>
      <w:pPr>
        <w:pStyle w:val="TextBody"/>
        <w:spacing w:before="0" w:after="0"/>
        <w:jc w:val="right"/>
        <w:rPr>
          <w:rFonts w:ascii="Times New Roman" w:hAnsi="Times New Roman"/>
          <w:b/>
          <w:i w:val="false"/>
          <w:caps w:val="false"/>
          <w:smallCaps w:val="false"/>
          <w:sz w:val="17"/>
        </w:rPr>
      </w:pPr>
      <w:r>
        <w:rPr>
          <w:rFonts w:ascii="Times New Roman" w:hAnsi="Times New Roman"/>
          <w:b/>
          <w:i w:val="false"/>
          <w:caps w:val="false"/>
          <w:smallCaps w:val="false"/>
          <w:sz w:val="17"/>
        </w:rPr>
        <w:t>Exhibit 31.1</w:t>
      </w:r>
    </w:p>
    <w:p>
      <w:pPr>
        <w:pStyle w:val="TextBody"/>
        <w:spacing w:before="2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CERTIFICATION PURSUANT TO RULE 13a</w:t>
        <w:noBreakHyphen/>
        <w:t>14(a) AND 15d</w:t>
        <w:noBreakHyphen/>
        <w:t>14(a)</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OF THE SECURITIES EXCHANGE ACT OF 1934</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Thomas R. Reeg, certify that:</w:t>
      </w:r>
    </w:p>
    <w:tbl>
      <w:tblPr>
        <w:tblW w:w="5665" w:type="dxa"/>
        <w:jc w:val="left"/>
        <w:tblInd w:w="0" w:type="dxa"/>
        <w:tblCellMar>
          <w:top w:w="0" w:type="dxa"/>
          <w:left w:w="0" w:type="dxa"/>
          <w:bottom w:w="0" w:type="dxa"/>
          <w:right w:w="0" w:type="dxa"/>
        </w:tblCellMar>
      </w:tblPr>
      <w:tblGrid>
        <w:gridCol w:w="155"/>
        <w:gridCol w:w="5510"/>
      </w:tblGrid>
      <w:tr>
        <w:trPr/>
        <w:tc>
          <w:tcPr>
            <w:tcW w:w="15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551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have reviewed this Quarterly Report on Form 10</w:t>
              <w:noBreakHyphen/>
              <w:t>Q of Eldorado Resorts, Inc.;</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1007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33"/>
        <w:gridCol w:w="10072"/>
      </w:tblGrid>
      <w:tr>
        <w:trPr/>
        <w:tc>
          <w:tcPr>
            <w:tcW w:w="13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tc>
        <w:tc>
          <w:tcPr>
            <w:tcW w:w="1007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tc>
        <w:tc>
          <w:tcPr>
            <w:tcW w:w="10076"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tc>
      </w:tr>
    </w:tbl>
    <w:tbl>
      <w:tblPr>
        <w:tblW w:w="10205" w:type="dxa"/>
        <w:jc w:val="left"/>
        <w:tblInd w:w="0" w:type="dxa"/>
        <w:tblCellMar>
          <w:top w:w="0" w:type="dxa"/>
          <w:left w:w="0" w:type="dxa"/>
          <w:bottom w:w="0" w:type="dxa"/>
          <w:right w:w="0" w:type="dxa"/>
        </w:tblCellMar>
      </w:tblPr>
      <w:tblGrid>
        <w:gridCol w:w="60"/>
        <w:gridCol w:w="177"/>
        <w:gridCol w:w="996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77"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9968"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192"/>
        <w:gridCol w:w="9953"/>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995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85"/>
        <w:gridCol w:w="99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w:t>
            </w:r>
          </w:p>
        </w:tc>
        <w:tc>
          <w:tcPr>
            <w:tcW w:w="996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98"/>
        <w:gridCol w:w="994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8"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w:t>
            </w:r>
          </w:p>
        </w:tc>
        <w:tc>
          <w:tcPr>
            <w:tcW w:w="9947"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tc>
        <w:tc>
          <w:tcPr>
            <w:tcW w:w="1007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86"/>
        <w:gridCol w:w="995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6"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9959"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0"/>
        <w:gridCol w:w="99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992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9, 2019</w:t>
      </w:r>
    </w:p>
    <w:p>
      <w:pPr>
        <w:pStyle w:val="TextBody"/>
        <w:spacing w:before="0" w:after="0"/>
        <w:rPr/>
      </w:pPr>
      <w:r>
        <w:rPr/>
        <w:t> </w:t>
      </w:r>
    </w:p>
    <w:tbl>
      <w:tblPr>
        <w:tblW w:w="2060" w:type="dxa"/>
        <w:jc w:val="center"/>
        <w:tblInd w:w="0" w:type="dxa"/>
        <w:tblCellMar>
          <w:top w:w="0" w:type="dxa"/>
          <w:left w:w="0" w:type="dxa"/>
          <w:bottom w:w="28" w:type="dxa"/>
          <w:right w:w="0" w:type="dxa"/>
        </w:tblCellMar>
      </w:tblPr>
      <w:tblGrid>
        <w:gridCol w:w="60"/>
        <w:gridCol w:w="2000"/>
      </w:tblGrid>
      <w:tr>
        <w:trPr/>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200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/s/ </w:t>
            </w:r>
            <w:r>
              <w:rPr>
                <w:rFonts w:ascii="Times New Roman" w:hAnsi="Times New Roman"/>
                <w:b w:val="false"/>
                <w:i w:val="false"/>
                <w:caps/>
                <w:sz w:val="17"/>
              </w:rPr>
              <w:t>Thomas R. Reeg</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200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Thomas R. Reeg</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2000" w:type="dxa"/>
            <w:tcBorders/>
            <w:shd w:fill="auto" w:val="clear"/>
            <w:tcMar>
              <w:bottom w:w="0" w:type="dxa"/>
            </w:tcMar>
            <w:vAlign w:val="bottom"/>
          </w:tcPr>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Chief Executive Officer</w:t>
            </w:r>
          </w:p>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(Principal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4" w:name="eri-ex312_10.htm"/>
      <w:bookmarkStart w:id="25" w:name="kseriex312_10"/>
      <w:bookmarkEnd w:id="24"/>
      <w:bookmarkEnd w:id="25"/>
      <w:r>
        <w:rPr/>
        <w:t> </w:t>
      </w:r>
    </w:p>
    <w:p>
      <w:pPr>
        <w:pStyle w:val="TextBody"/>
        <w:spacing w:before="0" w:after="0"/>
        <w:jc w:val="right"/>
        <w:rPr>
          <w:rFonts w:ascii="Times New Roman" w:hAnsi="Times New Roman"/>
          <w:b/>
          <w:i w:val="false"/>
          <w:caps w:val="false"/>
          <w:smallCaps w:val="false"/>
          <w:sz w:val="17"/>
        </w:rPr>
      </w:pPr>
      <w:r>
        <w:rPr>
          <w:rFonts w:ascii="Times New Roman" w:hAnsi="Times New Roman"/>
          <w:b/>
          <w:i w:val="false"/>
          <w:caps w:val="false"/>
          <w:smallCaps w:val="false"/>
          <w:sz w:val="17"/>
        </w:rPr>
        <w:t>Exhibit 31.2</w:t>
      </w:r>
    </w:p>
    <w:p>
      <w:pPr>
        <w:pStyle w:val="TextBody"/>
        <w:spacing w:before="2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CERTIFICATION PURSUANT TO RULE 13a</w:t>
        <w:noBreakHyphen/>
        <w:t>14(a) AND 15d</w:t>
        <w:noBreakHyphen/>
        <w:t>14(a)</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OF THE SECURITIES EXCHANGE ACT OF 1934</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Bret Yunker, certify that:</w:t>
      </w:r>
    </w:p>
    <w:tbl>
      <w:tblPr>
        <w:tblW w:w="5665" w:type="dxa"/>
        <w:jc w:val="left"/>
        <w:tblInd w:w="0" w:type="dxa"/>
        <w:tblCellMar>
          <w:top w:w="0" w:type="dxa"/>
          <w:left w:w="0" w:type="dxa"/>
          <w:bottom w:w="0" w:type="dxa"/>
          <w:right w:w="0" w:type="dxa"/>
        </w:tblCellMar>
      </w:tblPr>
      <w:tblGrid>
        <w:gridCol w:w="155"/>
        <w:gridCol w:w="5510"/>
      </w:tblGrid>
      <w:tr>
        <w:trPr/>
        <w:tc>
          <w:tcPr>
            <w:tcW w:w="15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551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have reviewed this Quarterly Report on Form 10</w:t>
              <w:noBreakHyphen/>
              <w:t>Q of Eldorado Resorts, Inc.;</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1007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33"/>
        <w:gridCol w:w="10072"/>
      </w:tblGrid>
      <w:tr>
        <w:trPr/>
        <w:tc>
          <w:tcPr>
            <w:tcW w:w="13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tc>
        <w:tc>
          <w:tcPr>
            <w:tcW w:w="1007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tc>
        <w:tc>
          <w:tcPr>
            <w:tcW w:w="10076"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tc>
      </w:tr>
    </w:tbl>
    <w:tbl>
      <w:tblPr>
        <w:tblW w:w="10205" w:type="dxa"/>
        <w:jc w:val="left"/>
        <w:tblInd w:w="0" w:type="dxa"/>
        <w:tblCellMar>
          <w:top w:w="0" w:type="dxa"/>
          <w:left w:w="0" w:type="dxa"/>
          <w:bottom w:w="0" w:type="dxa"/>
          <w:right w:w="0" w:type="dxa"/>
        </w:tblCellMar>
      </w:tblPr>
      <w:tblGrid>
        <w:gridCol w:w="60"/>
        <w:gridCol w:w="177"/>
        <w:gridCol w:w="996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77"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9968"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192"/>
        <w:gridCol w:w="9953"/>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995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85"/>
        <w:gridCol w:w="996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w:t>
            </w:r>
          </w:p>
        </w:tc>
        <w:tc>
          <w:tcPr>
            <w:tcW w:w="996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98"/>
        <w:gridCol w:w="994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8"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w:t>
            </w:r>
          </w:p>
        </w:tc>
        <w:tc>
          <w:tcPr>
            <w:tcW w:w="9947"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tc>
        <w:tc>
          <w:tcPr>
            <w:tcW w:w="1007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86"/>
        <w:gridCol w:w="995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6"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9959"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0"/>
        <w:gridCol w:w="992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992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9, 2019</w:t>
      </w:r>
    </w:p>
    <w:p>
      <w:pPr>
        <w:pStyle w:val="TextBody"/>
        <w:spacing w:before="0" w:after="0"/>
        <w:rPr/>
      </w:pPr>
      <w:r>
        <w:rPr/>
        <w:t> </w:t>
      </w:r>
    </w:p>
    <w:tbl>
      <w:tblPr>
        <w:tblW w:w="2075" w:type="dxa"/>
        <w:jc w:val="center"/>
        <w:tblInd w:w="0" w:type="dxa"/>
        <w:tblCellMar>
          <w:top w:w="0" w:type="dxa"/>
          <w:left w:w="0" w:type="dxa"/>
          <w:bottom w:w="28" w:type="dxa"/>
          <w:right w:w="0" w:type="dxa"/>
        </w:tblCellMar>
      </w:tblPr>
      <w:tblGrid>
        <w:gridCol w:w="60"/>
        <w:gridCol w:w="2015"/>
      </w:tblGrid>
      <w:tr>
        <w:trPr/>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201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/s/ </w:t>
            </w:r>
            <w:r>
              <w:rPr>
                <w:rFonts w:ascii="Times New Roman" w:hAnsi="Times New Roman"/>
                <w:b w:val="false"/>
                <w:i w:val="false"/>
                <w:caps/>
                <w:sz w:val="17"/>
              </w:rPr>
              <w:t>BRET YUNKER</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2015"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Bret Yunker</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2015" w:type="dxa"/>
            <w:tcBorders/>
            <w:shd w:fill="auto" w:val="clear"/>
            <w:tcMar>
              <w:bottom w:w="0" w:type="dxa"/>
            </w:tcMar>
            <w:vAlign w:val="bottom"/>
          </w:tcPr>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Chief Financial Officer</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2015" w:type="dxa"/>
            <w:tcBorders/>
            <w:shd w:fill="auto" w:val="clear"/>
            <w:tcMar>
              <w:bottom w:w="0" w:type="dxa"/>
            </w:tcMar>
            <w:vAlign w:val="bottom"/>
          </w:tcPr>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(Principal Financial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6" w:name="eri-ex321_7.htm"/>
      <w:bookmarkStart w:id="27" w:name="kseriex321_7"/>
      <w:bookmarkEnd w:id="26"/>
      <w:bookmarkEnd w:id="27"/>
      <w:r>
        <w:rPr/>
        <w:t> </w:t>
      </w:r>
    </w:p>
    <w:p>
      <w:pPr>
        <w:pStyle w:val="TextBody"/>
        <w:spacing w:before="0" w:after="0"/>
        <w:jc w:val="right"/>
        <w:rPr>
          <w:rFonts w:ascii="Times New Roman" w:hAnsi="Times New Roman"/>
          <w:b/>
          <w:i w:val="false"/>
          <w:caps w:val="false"/>
          <w:smallCaps w:val="false"/>
          <w:sz w:val="17"/>
        </w:rPr>
      </w:pPr>
      <w:r>
        <w:rPr>
          <w:rFonts w:ascii="Times New Roman" w:hAnsi="Times New Roman"/>
          <w:b/>
          <w:i w:val="false"/>
          <w:caps w:val="false"/>
          <w:smallCaps w:val="false"/>
          <w:sz w:val="17"/>
        </w:rPr>
        <w:t>Exhibit 32.1</w:t>
      </w:r>
    </w:p>
    <w:p>
      <w:pPr>
        <w:pStyle w:val="TextBody"/>
        <w:spacing w:before="2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CERTIFICATION</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of</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Thomas R. Reeg</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Chief Executive Officer</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Thomas R. Reeg, Chief Executive Officer of Eldorado Resorts, Inc. (the “Company”), do hereby certify in accordance with 18 U.S.C. 1350, as adopted pursuant to Section 906 of the SarbanesOxley Act of 2002, that, to my knowledge:</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1001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Quarterly Report on Form 10Q of the Company for the period ended June 30, 2019 (the “Periodic Report”) fully complies with the requirements of Section 13(a) or 15(d) of the Securities Exchange Act of 1934 (15 U.S.C. 78m or 78o(d)); and</w:t>
            </w:r>
          </w:p>
        </w:tc>
      </w:tr>
    </w:tbl>
    <w:tbl>
      <w:tblPr>
        <w:tblW w:w="10205" w:type="dxa"/>
        <w:jc w:val="left"/>
        <w:tblInd w:w="0" w:type="dxa"/>
        <w:tblCellMar>
          <w:top w:w="0" w:type="dxa"/>
          <w:left w:w="0" w:type="dxa"/>
          <w:bottom w:w="0" w:type="dxa"/>
          <w:right w:w="0" w:type="dxa"/>
        </w:tblCellMar>
      </w:tblPr>
      <w:tblGrid>
        <w:gridCol w:w="60"/>
        <w:gridCol w:w="151"/>
        <w:gridCol w:w="9994"/>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51"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9994"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information contained in the Periodic Report fairly represents, in all material respects, the financial condition and results of operations of the Company.</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9, 2019</w:t>
      </w:r>
    </w:p>
    <w:p>
      <w:pPr>
        <w:pStyle w:val="TextBody"/>
        <w:spacing w:before="0" w:after="0"/>
        <w:rPr/>
      </w:pPr>
      <w:r>
        <w:rPr/>
        <w:t> </w:t>
      </w:r>
    </w:p>
    <w:tbl>
      <w:tblPr>
        <w:tblW w:w="1655" w:type="dxa"/>
        <w:jc w:val="center"/>
        <w:tblInd w:w="0" w:type="dxa"/>
        <w:tblCellMar>
          <w:top w:w="0" w:type="dxa"/>
          <w:left w:w="0" w:type="dxa"/>
          <w:bottom w:w="28" w:type="dxa"/>
          <w:right w:w="0" w:type="dxa"/>
        </w:tblCellMar>
      </w:tblPr>
      <w:tblGrid>
        <w:gridCol w:w="60"/>
        <w:gridCol w:w="1595"/>
      </w:tblGrid>
      <w:tr>
        <w:trPr/>
        <w:tc>
          <w:tcPr>
            <w:tcW w:w="60" w:type="dxa"/>
            <w:tcBorders>
              <w:bottom w:val="single" w:sz="6" w:space="0" w:color="000000"/>
            </w:tcBorders>
            <w:shd w:fill="auto" w:val="clear"/>
            <w:vAlign w:val="bottom"/>
          </w:tcPr>
          <w:p>
            <w:pPr>
              <w:pStyle w:val="TableContents"/>
              <w:spacing w:before="0" w:after="0"/>
              <w:ind w:left="0" w:right="0" w:hanging="0"/>
              <w:rPr/>
            </w:pPr>
            <w:r>
              <w:rPr/>
              <w:t> </w:t>
            </w:r>
          </w:p>
        </w:tc>
        <w:tc>
          <w:tcPr>
            <w:tcW w:w="159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/s/ </w:t>
            </w:r>
            <w:r>
              <w:rPr>
                <w:rFonts w:ascii="Times New Roman" w:hAnsi="Times New Roman"/>
                <w:b w:val="false"/>
                <w:i w:val="false"/>
                <w:caps/>
                <w:sz w:val="17"/>
              </w:rPr>
              <w:t>THOMAS R. REEG</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1595"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Thomas R. Reeg</w:t>
            </w:r>
          </w:p>
        </w:tc>
      </w:tr>
      <w:tr>
        <w:trPr/>
        <w:tc>
          <w:tcPr>
            <w:tcW w:w="60" w:type="dxa"/>
            <w:tcBorders/>
            <w:shd w:fill="auto" w:val="clear"/>
            <w:tcMar>
              <w:bottom w:w="0" w:type="dxa"/>
            </w:tcMar>
            <w:vAlign w:val="bottom"/>
          </w:tcPr>
          <w:p>
            <w:pPr>
              <w:pStyle w:val="TableContents"/>
              <w:spacing w:before="0" w:after="0"/>
              <w:ind w:left="0" w:right="0" w:hanging="0"/>
              <w:rPr/>
            </w:pPr>
            <w:r>
              <w:rPr/>
              <w:t> </w:t>
            </w:r>
          </w:p>
        </w:tc>
        <w:tc>
          <w:tcPr>
            <w:tcW w:w="1595" w:type="dxa"/>
            <w:tcBorders/>
            <w:shd w:fill="auto" w:val="clear"/>
            <w:tcMar>
              <w:bottom w:w="0" w:type="dxa"/>
            </w:tcMar>
            <w:vAlign w:val="bottom"/>
          </w:tcPr>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Chief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8" w:name="eri-ex322_6.htm"/>
      <w:bookmarkStart w:id="29" w:name="kseriex322_6"/>
      <w:bookmarkEnd w:id="28"/>
      <w:bookmarkEnd w:id="29"/>
      <w:r>
        <w:rPr/>
        <w:t> </w:t>
      </w:r>
    </w:p>
    <w:p>
      <w:pPr>
        <w:pStyle w:val="TextBody"/>
        <w:spacing w:before="0" w:after="0"/>
        <w:jc w:val="right"/>
        <w:rPr>
          <w:rFonts w:ascii="Times New Roman" w:hAnsi="Times New Roman"/>
          <w:b/>
          <w:i w:val="false"/>
          <w:caps w:val="false"/>
          <w:smallCaps w:val="false"/>
          <w:sz w:val="17"/>
        </w:rPr>
      </w:pPr>
      <w:r>
        <w:rPr>
          <w:rFonts w:ascii="Times New Roman" w:hAnsi="Times New Roman"/>
          <w:b/>
          <w:i w:val="false"/>
          <w:caps w:val="false"/>
          <w:smallCaps w:val="false"/>
          <w:sz w:val="17"/>
        </w:rPr>
        <w:t>Exhibit 32.2</w:t>
      </w:r>
    </w:p>
    <w:p>
      <w:pPr>
        <w:pStyle w:val="TextBody"/>
        <w:spacing w:before="2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CERTIFICATION</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of</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Bret Yunker</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Chief Financial Officer</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Bret Yunker, Chief Financial Officer of Eldorado Resorts, Inc. (the “Company”), do hereby certify in accordance with 18 U.S.C. 1350, as adopted pursuant to Section 906 of the SarbanesOxley Act of 2002, that, to my knowledge:</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1001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Quarterly Report on Form 10Q of the Company for the period ended June 30, 2019 (the “Periodic Report”) fully complies with the requirements of Section 13(a) or 15(d) of the Securities Exchange Act of 1934 (15 U.S.C. 78m or 78o(d)); and</w:t>
            </w:r>
          </w:p>
        </w:tc>
      </w:tr>
    </w:tbl>
    <w:tbl>
      <w:tblPr>
        <w:tblW w:w="10205" w:type="dxa"/>
        <w:jc w:val="left"/>
        <w:tblInd w:w="0" w:type="dxa"/>
        <w:tblCellMar>
          <w:top w:w="0" w:type="dxa"/>
          <w:left w:w="0" w:type="dxa"/>
          <w:bottom w:w="0" w:type="dxa"/>
          <w:right w:w="0" w:type="dxa"/>
        </w:tblCellMar>
      </w:tblPr>
      <w:tblGrid>
        <w:gridCol w:w="60"/>
        <w:gridCol w:w="151"/>
        <w:gridCol w:w="9994"/>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51"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9994"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information contained in the Periodic Report fairly represents, in all material respects, the financial condition and results of operations of the Company.</w:t>
            </w:r>
          </w:p>
        </w:tc>
      </w:tr>
    </w:tbl>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9, 2019</w:t>
      </w:r>
    </w:p>
    <w:p>
      <w:pPr>
        <w:pStyle w:val="TextBody"/>
        <w:spacing w:before="0" w:after="0"/>
        <w:rPr/>
      </w:pPr>
      <w:r>
        <w:rPr/>
        <w:t> </w:t>
      </w:r>
    </w:p>
    <w:tbl>
      <w:tblPr>
        <w:tblW w:w="1670" w:type="dxa"/>
        <w:jc w:val="center"/>
        <w:tblInd w:w="0" w:type="dxa"/>
        <w:tblCellMar>
          <w:top w:w="0" w:type="dxa"/>
          <w:left w:w="0" w:type="dxa"/>
          <w:bottom w:w="28" w:type="dxa"/>
          <w:right w:w="0" w:type="dxa"/>
        </w:tblCellMar>
      </w:tblPr>
      <w:tblGrid>
        <w:gridCol w:w="60"/>
        <w:gridCol w:w="1610"/>
      </w:tblGrid>
      <w:tr>
        <w:trPr/>
        <w:tc>
          <w:tcPr>
            <w:tcW w:w="60" w:type="dxa"/>
            <w:tcBorders>
              <w:bottom w:val="single" w:sz="6" w:space="0" w:color="000000"/>
            </w:tcBorders>
            <w:shd w:fill="auto" w:val="clear"/>
            <w:vAlign w:val="bottom"/>
          </w:tcPr>
          <w:p>
            <w:pPr>
              <w:pStyle w:val="TableContents"/>
              <w:spacing w:before="0" w:after="0"/>
              <w:ind w:left="200" w:right="0" w:hanging="200"/>
              <w:rPr/>
            </w:pPr>
            <w:r>
              <w:rPr/>
              <w:t> </w:t>
            </w:r>
          </w:p>
        </w:tc>
        <w:tc>
          <w:tcPr>
            <w:tcW w:w="161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/s/ </w:t>
            </w:r>
            <w:r>
              <w:rPr>
                <w:rFonts w:ascii="Times New Roman" w:hAnsi="Times New Roman"/>
                <w:b w:val="false"/>
                <w:i w:val="false"/>
                <w:caps/>
                <w:sz w:val="17"/>
              </w:rPr>
              <w:t>BRET YUNKER</w:t>
            </w:r>
          </w:p>
        </w:tc>
      </w:tr>
      <w:tr>
        <w:trPr/>
        <w:tc>
          <w:tcPr>
            <w:tcW w:w="60" w:type="dxa"/>
            <w:tcBorders/>
            <w:shd w:fill="auto" w:val="clear"/>
            <w:tcMar>
              <w:bottom w:w="0" w:type="dxa"/>
            </w:tcMar>
            <w:vAlign w:val="bottom"/>
          </w:tcPr>
          <w:p>
            <w:pPr>
              <w:pStyle w:val="TableContents"/>
              <w:spacing w:before="0" w:after="0"/>
              <w:ind w:left="200" w:right="0" w:hanging="200"/>
              <w:rPr/>
            </w:pPr>
            <w:r>
              <w:rPr/>
              <w:t> </w:t>
            </w:r>
          </w:p>
        </w:tc>
        <w:tc>
          <w:tcPr>
            <w:tcW w:w="161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Bret Yunker</w:t>
            </w:r>
          </w:p>
        </w:tc>
      </w:tr>
      <w:tr>
        <w:trPr/>
        <w:tc>
          <w:tcPr>
            <w:tcW w:w="60" w:type="dxa"/>
            <w:tcBorders/>
            <w:shd w:fill="auto" w:val="clear"/>
            <w:tcMar>
              <w:bottom w:w="0" w:type="dxa"/>
            </w:tcMar>
            <w:vAlign w:val="bottom"/>
          </w:tcPr>
          <w:p>
            <w:pPr>
              <w:pStyle w:val="TableContents"/>
              <w:spacing w:before="0" w:after="0"/>
              <w:ind w:left="200" w:right="0" w:hanging="200"/>
              <w:rPr/>
            </w:pPr>
            <w:r>
              <w:rPr/>
              <w:t> </w:t>
            </w:r>
          </w:p>
        </w:tc>
        <w:tc>
          <w:tcPr>
            <w:tcW w:w="1610" w:type="dxa"/>
            <w:tcBorders/>
            <w:shd w:fill="auto" w:val="clear"/>
            <w:tcMar>
              <w:bottom w:w="0" w:type="dxa"/>
            </w:tcMar>
            <w:vAlign w:val="bottom"/>
          </w:tcPr>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Chief Financial Officer</w:t>
            </w:r>
          </w:p>
        </w:tc>
      </w:tr>
    </w:tbl>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90895/000119312519180347/d767286dex21.htm" TargetMode="External"/><Relationship Id="rId3" Type="http://schemas.openxmlformats.org/officeDocument/2006/relationships/hyperlink" Target="http://www.sec.gov/Archives/edgar/data/1590895/000119312519174200/d764799dex21.htm" TargetMode="External"/><Relationship Id="rId4" Type="http://schemas.openxmlformats.org/officeDocument/2006/relationships/hyperlink" Target="http://www.sec.gov/Archives/edgar/data/1590895/000119312519174200/d764799dex22.htm" TargetMode="External"/><Relationship Id="rId5" Type="http://schemas.openxmlformats.org/officeDocument/2006/relationships/hyperlink" Target="http://www.sec.gov/Archives/edgar/data/1590895/000119312519180347/d767286dex101.htm" TargetMode="External"/><Relationship Id="rId6" Type="http://schemas.openxmlformats.org/officeDocument/2006/relationships/hyperlink" Target="http://www.sec.gov/Archives/edgar/data/1590895/000119312519180347/d767286dex102.htm" TargetMode="External"/><Relationship Id="rId7" Type="http://schemas.openxmlformats.org/officeDocument/2006/relationships/hyperlink" Target="http://www.sec.gov/Archives/edgar/data/1590895/000119312519180347/d767286dex103.htm" TargetMode="External"/><Relationship Id="rId8" Type="http://schemas.openxmlformats.org/officeDocument/2006/relationships/hyperlink" Target="http://www.sec.gov/Archives/edgar/data/1590895/000119312519182266/d769492d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45326</Words>
  <CharactersWithSpaces>299956</CharactersWithSpaces>
  <Paragraphs>20316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