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20" w:right="1779" w:hanging="5687"/>
        <w:spacing w:after="0" w:line="290" w:lineRule="auto"/>
        <w:rPr>
          <w:sz w:val="20"/>
          <w:szCs w:val="20"/>
          <w:color w:val="auto"/>
        </w:rPr>
      </w:pPr>
      <w:r>
        <w:rPr>
          <w:rFonts w:ascii="Courier New" w:cs="Courier New" w:eastAsia="Courier New" w:hAnsi="Courier New"/>
          <w:sz w:val="16"/>
          <w:szCs w:val="16"/>
          <w:color w:val="auto"/>
        </w:rPr>
        <w:t>As filed with the Securities and Exchange Commission on June 6, 1995 Registration No. 33-</w:t>
      </w:r>
    </w:p>
    <w:p>
      <w:pPr>
        <w:spacing w:after="0" w:line="16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8" w:lineRule="auto"/>
        <w:rPr>
          <w:sz w:val="20"/>
          <w:szCs w:val="20"/>
          <w:color w:val="auto"/>
        </w:rPr>
      </w:pPr>
      <w:r>
        <w:rPr>
          <w:rFonts w:ascii="Courier New" w:cs="Courier New" w:eastAsia="Courier New" w:hAnsi="Courier New"/>
          <w:sz w:val="18"/>
          <w:szCs w:val="18"/>
          <w:color w:val="auto"/>
        </w:rPr>
        <w:t>FORM S-8</w:t>
      </w:r>
    </w:p>
    <w:p>
      <w:pPr>
        <w:jc w:val="center"/>
        <w:ind w:right="1779"/>
        <w:spacing w:after="0"/>
        <w:rPr>
          <w:sz w:val="20"/>
          <w:szCs w:val="20"/>
          <w:color w:val="auto"/>
        </w:rPr>
      </w:pPr>
      <w:r>
        <w:rPr>
          <w:rFonts w:ascii="Courier New" w:cs="Courier New" w:eastAsia="Courier New" w:hAnsi="Courier New"/>
          <w:sz w:val="18"/>
          <w:szCs w:val="18"/>
          <w:color w:val="auto"/>
        </w:rPr>
        <w:t>REGISTRATION STATEMENT</w:t>
      </w:r>
    </w:p>
    <w:p>
      <w:pPr>
        <w:jc w:val="center"/>
        <w:ind w:right="1679"/>
        <w:spacing w:after="0" w:line="237" w:lineRule="auto"/>
        <w:rPr>
          <w:sz w:val="20"/>
          <w:szCs w:val="20"/>
          <w:color w:val="auto"/>
        </w:rPr>
      </w:pPr>
      <w:r>
        <w:rPr>
          <w:rFonts w:ascii="Courier New" w:cs="Courier New" w:eastAsia="Courier New" w:hAnsi="Courier New"/>
          <w:sz w:val="18"/>
          <w:szCs w:val="18"/>
          <w:color w:val="auto"/>
        </w:rPr>
        <w:t>Under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Act of 1933</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ind w:left="2540"/>
        <w:spacing w:after="0" w:line="238" w:lineRule="auto"/>
        <w:rPr>
          <w:sz w:val="20"/>
          <w:szCs w:val="20"/>
          <w:color w:val="auto"/>
        </w:rPr>
      </w:pPr>
      <w:r>
        <w:rPr>
          <w:rFonts w:ascii="Courier New" w:cs="Courier New" w:eastAsia="Courier New" w:hAnsi="Courier New"/>
          <w:sz w:val="18"/>
          <w:szCs w:val="18"/>
          <w:color w:val="auto"/>
        </w:rPr>
        <w:t>THE PROMUS COMPANIES INCORPORATED</w:t>
      </w: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0" w:gutter="0" w:footer="0" w:header="0"/>
        </w:sectPr>
      </w:pPr>
    </w:p>
    <w:p>
      <w:pPr>
        <w:spacing w:after="0" w:line="200"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520"/>
        <w:spacing w:after="0"/>
        <w:rPr>
          <w:sz w:val="20"/>
          <w:szCs w:val="20"/>
          <w:color w:val="auto"/>
        </w:rPr>
      </w:pPr>
      <w:r>
        <w:rPr>
          <w:rFonts w:ascii="Courier New" w:cs="Courier New" w:eastAsia="Courier New" w:hAnsi="Courier New"/>
          <w:sz w:val="18"/>
          <w:szCs w:val="18"/>
          <w:color w:val="auto"/>
        </w:rPr>
        <w:t>62-1411755</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4560" w:space="720"/>
            <w:col w:w="4939"/>
          </w:cols>
          <w:pgMar w:left="240" w:top="250" w:right="1440" w:bottom="0" w:gutter="0" w:footer="0" w:header="0"/>
          <w:type w:val="continuous"/>
        </w:sectPr>
      </w:pPr>
    </w:p>
    <w:p>
      <w:pPr>
        <w:spacing w:after="0" w:line="18"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1023 Cherry Road</w:t>
      </w:r>
    </w:p>
    <w:p>
      <w:pPr>
        <w:ind w:left="220"/>
        <w:spacing w:after="0" w:line="238" w:lineRule="auto"/>
        <w:rPr>
          <w:sz w:val="20"/>
          <w:szCs w:val="20"/>
          <w:color w:val="auto"/>
        </w:rPr>
      </w:pPr>
      <w:r>
        <w:rPr>
          <w:rFonts w:ascii="Courier New" w:cs="Courier New" w:eastAsia="Courier New" w:hAnsi="Courier New"/>
          <w:sz w:val="18"/>
          <w:szCs w:val="18"/>
          <w:color w:val="auto"/>
        </w:rPr>
        <w:t>Memphis, Tennessee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38117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400" w:space="720"/>
            <w:col w:w="4099"/>
          </w:cols>
          <w:pgMar w:left="240" w:top="250" w:right="1440" w:bottom="0" w:gutter="0" w:footer="0" w:header="0"/>
          <w:type w:val="continuous"/>
        </w:sectPr>
      </w:pPr>
    </w:p>
    <w:p>
      <w:pPr>
        <w:spacing w:after="0" w:line="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THE PROMUS COMPANIES INCORPORATED 1990 RESTRICTED STOCK PLAN</w:t>
      </w:r>
    </w:p>
    <w:p>
      <w:pPr>
        <w:spacing w:after="0" w:line="1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(Full Title of the Plan)</w:t>
      </w:r>
    </w:p>
    <w:p>
      <w:pPr>
        <w:spacing w:after="0" w:line="200" w:lineRule="exact"/>
        <w:rPr>
          <w:sz w:val="24"/>
          <w:szCs w:val="24"/>
          <w:color w:val="auto"/>
        </w:rPr>
      </w:pPr>
    </w:p>
    <w:p>
      <w:pPr>
        <w:spacing w:after="0" w:line="204"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w:t>
      </w:r>
    </w:p>
    <w:p>
      <w:pPr>
        <w:ind w:left="3160"/>
        <w:spacing w:after="0" w:line="238" w:lineRule="auto"/>
        <w:rPr>
          <w:sz w:val="20"/>
          <w:szCs w:val="20"/>
          <w:color w:val="auto"/>
        </w:rPr>
      </w:pPr>
      <w:r>
        <w:rPr>
          <w:rFonts w:ascii="Courier New" w:cs="Courier New" w:eastAsia="Courier New" w:hAnsi="Courier New"/>
          <w:sz w:val="18"/>
          <w:szCs w:val="18"/>
          <w:color w:val="auto"/>
        </w:rPr>
        <w:t>E. O. Robinson, Jr.</w:t>
      </w:r>
    </w:p>
    <w:p>
      <w:pPr>
        <w:ind w:left="1480"/>
        <w:spacing w:after="0"/>
        <w:rPr>
          <w:sz w:val="20"/>
          <w:szCs w:val="20"/>
          <w:color w:val="auto"/>
        </w:rPr>
      </w:pPr>
      <w:r>
        <w:rPr>
          <w:rFonts w:ascii="Courier New" w:cs="Courier New" w:eastAsia="Courier New" w:hAnsi="Courier New"/>
          <w:sz w:val="18"/>
          <w:szCs w:val="18"/>
          <w:color w:val="auto"/>
        </w:rPr>
        <w:t>Senior Vice President, General Counsel and Secretary</w:t>
      </w:r>
    </w:p>
    <w:p>
      <w:pPr>
        <w:ind w:left="2540"/>
        <w:spacing w:after="0" w:line="237" w:lineRule="auto"/>
        <w:rPr>
          <w:sz w:val="20"/>
          <w:szCs w:val="20"/>
          <w:color w:val="auto"/>
        </w:rPr>
      </w:pPr>
      <w:r>
        <w:rPr>
          <w:rFonts w:ascii="Courier New" w:cs="Courier New" w:eastAsia="Courier New" w:hAnsi="Courier New"/>
          <w:sz w:val="18"/>
          <w:szCs w:val="18"/>
          <w:color w:val="auto"/>
        </w:rPr>
        <w:t>The Promus Companies Incorporated</w:t>
      </w:r>
    </w:p>
    <w:p>
      <w:pPr>
        <w:ind w:left="3380"/>
        <w:spacing w:after="0" w:line="238" w:lineRule="auto"/>
        <w:rPr>
          <w:sz w:val="20"/>
          <w:szCs w:val="20"/>
          <w:color w:val="auto"/>
        </w:rPr>
      </w:pPr>
      <w:r>
        <w:rPr>
          <w:rFonts w:ascii="Courier New" w:cs="Courier New" w:eastAsia="Courier New" w:hAnsi="Courier New"/>
          <w:sz w:val="18"/>
          <w:szCs w:val="18"/>
          <w:color w:val="auto"/>
        </w:rPr>
        <w:t>1023 Cherry Road</w:t>
      </w:r>
    </w:p>
    <w:p>
      <w:pPr>
        <w:ind w:left="2960"/>
        <w:spacing w:after="0"/>
        <w:rPr>
          <w:sz w:val="20"/>
          <w:szCs w:val="20"/>
          <w:color w:val="auto"/>
        </w:rPr>
      </w:pPr>
      <w:r>
        <w:rPr>
          <w:rFonts w:ascii="Courier New" w:cs="Courier New" w:eastAsia="Courier New" w:hAnsi="Courier New"/>
          <w:sz w:val="18"/>
          <w:szCs w:val="18"/>
          <w:color w:val="auto"/>
        </w:rPr>
        <w:t>Memphis, Tennessee 38117</w:t>
      </w:r>
    </w:p>
    <w:p>
      <w:pPr>
        <w:ind w:left="3480"/>
        <w:spacing w:after="0" w:line="237" w:lineRule="auto"/>
        <w:rPr>
          <w:sz w:val="20"/>
          <w:szCs w:val="20"/>
          <w:color w:val="auto"/>
        </w:rPr>
      </w:pPr>
      <w:r>
        <w:rPr>
          <w:rFonts w:ascii="Courier New" w:cs="Courier New" w:eastAsia="Courier New" w:hAnsi="Courier New"/>
          <w:sz w:val="18"/>
          <w:szCs w:val="18"/>
          <w:color w:val="auto"/>
        </w:rPr>
        <w:t>(901) 762-8600</w:t>
      </w:r>
    </w:p>
    <w:p>
      <w:pPr>
        <w:spacing w:after="0" w:line="5" w:lineRule="exact"/>
        <w:rPr>
          <w:sz w:val="24"/>
          <w:szCs w:val="24"/>
          <w:color w:val="auto"/>
        </w:rPr>
      </w:pPr>
    </w:p>
    <w:p>
      <w:pPr>
        <w:ind w:left="1700" w:right="3359" w:hanging="104"/>
        <w:spacing w:after="0" w:line="290" w:lineRule="auto"/>
        <w:rPr>
          <w:sz w:val="20"/>
          <w:szCs w:val="20"/>
          <w:color w:val="auto"/>
        </w:rPr>
      </w:pPr>
      <w:r>
        <w:rPr>
          <w:rFonts w:ascii="Courier New" w:cs="Courier New" w:eastAsia="Courier New" w:hAnsi="Courier New"/>
          <w:sz w:val="16"/>
          <w:szCs w:val="16"/>
          <w:color w:val="auto"/>
        </w:rPr>
        <w:t>(Name, address, including zip code, and telephone number,including area code, of agent for service)</w:t>
      </w:r>
    </w:p>
    <w:p>
      <w:pPr>
        <w:spacing w:after="0" w:line="164"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ectPr>
          <w:pgSz w:w="11900" w:h="16838" w:orient="portrait"/>
          <w:cols w:equalWidth="0" w:num="1">
            <w:col w:w="10219"/>
          </w:cols>
          <w:pgMar w:left="240" w:top="25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Title of Each Class of 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Amount</w:t>
      </w:r>
    </w:p>
    <w:p>
      <w:pPr>
        <w:ind w:left="120"/>
        <w:spacing w:after="0" w:line="238" w:lineRule="auto"/>
        <w:rPr>
          <w:sz w:val="20"/>
          <w:szCs w:val="20"/>
          <w:color w:val="auto"/>
        </w:rPr>
      </w:pPr>
      <w:r>
        <w:rPr>
          <w:rFonts w:ascii="Courier New" w:cs="Courier New" w:eastAsia="Courier New" w:hAnsi="Courier New"/>
          <w:sz w:val="18"/>
          <w:szCs w:val="18"/>
          <w:color w:val="auto"/>
        </w:rPr>
        <w:t>of Shares</w:t>
      </w:r>
    </w:p>
    <w:p>
      <w:pPr>
        <w:ind w:left="540"/>
        <w:spacing w:after="0"/>
        <w:rPr>
          <w:sz w:val="20"/>
          <w:szCs w:val="20"/>
          <w:color w:val="auto"/>
        </w:rPr>
      </w:pPr>
      <w:r>
        <w:rPr>
          <w:rFonts w:ascii="Courier New" w:cs="Courier New" w:eastAsia="Courier New" w:hAnsi="Courier New"/>
          <w:sz w:val="18"/>
          <w:szCs w:val="18"/>
          <w:color w:val="auto"/>
        </w:rPr>
        <w:t>to be</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Registered (1)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Proposed</w:t>
      </w:r>
    </w:p>
    <w:p>
      <w:pPr>
        <w:ind w:left="200"/>
        <w:spacing w:after="0" w:line="238" w:lineRule="auto"/>
        <w:rPr>
          <w:sz w:val="20"/>
          <w:szCs w:val="20"/>
          <w:color w:val="auto"/>
        </w:rPr>
      </w:pPr>
      <w:r>
        <w:rPr>
          <w:rFonts w:ascii="Courier New" w:cs="Courier New" w:eastAsia="Courier New" w:hAnsi="Courier New"/>
          <w:sz w:val="18"/>
          <w:szCs w:val="18"/>
          <w:color w:val="auto"/>
        </w:rPr>
        <w:t>Maximum</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Offering Price</w:t>
      </w:r>
    </w:p>
    <w:p>
      <w:pPr>
        <w:spacing w:after="0" w:line="21"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Per Share (2)</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Proposed</w:t>
      </w: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Maximum</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Aggregate</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Offering</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Price (2)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Registration</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Fee</w:t>
      </w:r>
    </w:p>
    <w:p>
      <w:pPr>
        <w:spacing w:after="0" w:line="201" w:lineRule="exact"/>
        <w:rPr>
          <w:sz w:val="24"/>
          <w:szCs w:val="24"/>
          <w:color w:val="auto"/>
        </w:rPr>
      </w:pPr>
    </w:p>
    <w:p>
      <w:pPr>
        <w:sectPr>
          <w:pgSz w:w="11900" w:h="16838" w:orient="portrait"/>
          <w:cols w:equalWidth="0" w:num="5">
            <w:col w:w="2860" w:space="300"/>
            <w:col w:w="1480" w:space="220"/>
            <w:col w:w="1460" w:space="420"/>
            <w:col w:w="960" w:space="520"/>
            <w:col w:w="1999"/>
          </w:cols>
          <w:pgMar w:left="240" w:top="250"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&lt;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250" w:right="1440" w:bottom="0" w:gutter="0" w:footer="0" w:header="0"/>
          <w:type w:val="continuous"/>
        </w:sectPr>
      </w:pP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$0.10 par value</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500,000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$42.0625</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$21,031,250.00</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$7252.16</w:t>
      </w:r>
    </w:p>
    <w:p>
      <w:pPr>
        <w:spacing w:after="0" w:line="200" w:lineRule="exact"/>
        <w:rPr>
          <w:sz w:val="24"/>
          <w:szCs w:val="24"/>
          <w:color w:val="auto"/>
        </w:rPr>
      </w:pPr>
    </w:p>
    <w:p>
      <w:pPr>
        <w:sectPr>
          <w:pgSz w:w="11900" w:h="16838" w:orient="portrait"/>
          <w:cols w:equalWidth="0" w:num="5">
            <w:col w:w="2660" w:space="720"/>
            <w:col w:w="960" w:space="720"/>
            <w:col w:w="840" w:space="640"/>
            <w:col w:w="1480" w:space="320"/>
            <w:col w:w="1879"/>
          </w:cols>
          <w:pgMar w:left="240" w:top="250"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ind w:left="1060" w:right="1779" w:hanging="1052"/>
        <w:spacing w:after="0" w:line="270" w:lineRule="auto"/>
        <w:tabs>
          <w:tab w:leader="none" w:pos="10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Promus Companies Incorporated 1990 Restricted Stock Plan, as amended, (the "Plan") authorizes the issuance of a maximum of 2,100,000 shares (including the 500,000 shares being registered hereby) of Common Stock of The Promus Companies Incorporated (the "Company"), plus reissuances of cancelled shares and adjustments to shares to account for any dividend or other distribution (whether in the form of cash, Common Stock, other securities, or other property), recapitalization, stock split, reverse stock split, reorganization, merger, consolidation, split-up, spin-off, combination, repurchase, or exchange of Common Stock or other securities of the company, issuance of warrants to purchase Common Stock or other securities of the Company, or other similar transaction or event.</w:t>
      </w:r>
    </w:p>
    <w:p>
      <w:pPr>
        <w:spacing w:after="0" w:line="390" w:lineRule="exact"/>
        <w:rPr>
          <w:rFonts w:ascii="Courier New" w:cs="Courier New" w:eastAsia="Courier New" w:hAnsi="Courier New"/>
          <w:sz w:val="16"/>
          <w:szCs w:val="16"/>
          <w:color w:val="auto"/>
        </w:rPr>
      </w:pPr>
    </w:p>
    <w:p>
      <w:pPr>
        <w:ind w:left="1060" w:right="1879" w:hanging="1052"/>
        <w:spacing w:after="0" w:line="237" w:lineRule="auto"/>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computing the registration fee only, pursuant to Rule 457(h), the Proposed Maximum Offering Price Per Share is based upon the average of the high and low prices reported on the New York Stock Exchange on June 1, 1995.</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19 pages.</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Exhibit Index appears on page 8.</w:t>
      </w:r>
    </w:p>
    <w:p>
      <w:pPr>
        <w:sectPr>
          <w:pgSz w:w="11900" w:h="16838" w:orient="portrait"/>
          <w:cols w:equalWidth="0" w:num="1">
            <w:col w:w="10219"/>
          </w:cols>
          <w:pgMar w:left="240" w:top="250" w:right="1440" w:bottom="0" w:gutter="0" w:footer="0" w:header="0"/>
          <w:type w:val="continuous"/>
        </w:sectPr>
      </w:pPr>
    </w:p>
    <w:bookmarkStart w:id="1" w:name="page2"/>
    <w:bookmarkEnd w:id="1"/>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Plan Information</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required to be filed with this Registration Statement.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Registrant Information and Employee Plan Annual Information</w:t>
      </w:r>
    </w:p>
    <w:p>
      <w:pPr>
        <w:spacing w:after="0" w:line="201"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Not required to be filed with this Registration Statement.</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The following documents are incorporated herein by reference:</w:t>
      </w:r>
    </w:p>
    <w:p>
      <w:pPr>
        <w:spacing w:after="0" w:line="207" w:lineRule="exact"/>
        <w:rPr>
          <w:sz w:val="20"/>
          <w:szCs w:val="20"/>
          <w:color w:val="auto"/>
        </w:rPr>
      </w:pPr>
    </w:p>
    <w:p>
      <w:pPr>
        <w:ind w:left="1700" w:right="1999" w:hanging="428"/>
        <w:spacing w:after="0" w:line="236"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latest annual report on Form 10-K filed pursuant to Section 13(a) or 15(d) of the Securities Exchange Act of 1934, as amended (the "Exchange Act").</w:t>
      </w:r>
    </w:p>
    <w:p>
      <w:pPr>
        <w:spacing w:after="0" w:line="208" w:lineRule="exact"/>
        <w:rPr>
          <w:rFonts w:ascii="Courier New" w:cs="Courier New" w:eastAsia="Courier New" w:hAnsi="Courier New"/>
          <w:sz w:val="18"/>
          <w:szCs w:val="18"/>
          <w:color w:val="auto"/>
        </w:rPr>
      </w:pPr>
    </w:p>
    <w:p>
      <w:pPr>
        <w:ind w:left="1700" w:right="2099" w:hanging="428"/>
        <w:spacing w:after="0" w:line="236"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other reports filed pursuant to Section 13(a) or 15(d) of the Exchange Act since the end of the fiscal year covered by the Company document referred to in (a) above.</w:t>
      </w:r>
    </w:p>
    <w:p>
      <w:pPr>
        <w:spacing w:after="0" w:line="208" w:lineRule="exact"/>
        <w:rPr>
          <w:rFonts w:ascii="Courier New" w:cs="Courier New" w:eastAsia="Courier New" w:hAnsi="Courier New"/>
          <w:sz w:val="18"/>
          <w:szCs w:val="18"/>
          <w:color w:val="auto"/>
        </w:rPr>
      </w:pPr>
    </w:p>
    <w:p>
      <w:pPr>
        <w:ind w:left="1700" w:right="1999" w:hanging="428"/>
        <w:spacing w:after="0" w:line="237" w:lineRule="auto"/>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contained in the Company's Registration Statement on Form 10 dated December 13, 1989, filed under the Securities Exchange Act of 1934, including any amendment or report filed for the purpose of updating such description.</w:t>
      </w:r>
    </w:p>
    <w:p>
      <w:pPr>
        <w:spacing w:after="0" w:line="209" w:lineRule="exact"/>
        <w:rPr>
          <w:sz w:val="20"/>
          <w:szCs w:val="20"/>
          <w:color w:val="auto"/>
        </w:rPr>
      </w:pPr>
    </w:p>
    <w:p>
      <w:pPr>
        <w:ind w:right="1779" w:firstLine="1264"/>
        <w:spacing w:after="0" w:line="238" w:lineRule="auto"/>
        <w:rPr>
          <w:sz w:val="20"/>
          <w:szCs w:val="20"/>
          <w:color w:val="auto"/>
        </w:rPr>
      </w:pPr>
      <w:r>
        <w:rPr>
          <w:rFonts w:ascii="Courier New" w:cs="Courier New" w:eastAsia="Courier New" w:hAnsi="Courier New"/>
          <w:sz w:val="18"/>
          <w:szCs w:val="18"/>
          <w:color w:val="auto"/>
        </w:rPr>
        <w:t>All documents filed by the Company pursuant to Sections 13(a), 13(c), 14 and 15(d) of the Exchange Act prior to the filing of a post-effective amendment which indicates that all securities offered have been sold or which deregisters all securities then remaining unsold, are incorporated by reference in this registration statement and are a part hereof from the date of filing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Registration Statement.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Description of Securities</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required to be filed with this registration statement.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The legality of the securities registered hereby has been passed upon by E. O. Robinson, Jr., General Counsel of the Company. At the time of filing this Registration Statement, Mr. Robinson beneficially owns 42,711.0294 shares of Common Stock and holds options for 36,589 shares of Common Stock which have been issued under the Company's 1990 Stock Option Plan.</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Indemnification of Directors and Officers</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Section 145 of the General Corporation Law of Delaware empowers the Company to indemnify, subject to the standards set forth therein, any person who is a party in any action in connection with any action, suit or proceeding brought or threatened by reason of the fact that the person was a director, officer, employee or agent of the Company, or is or was serving as such with respect to another entity at the request of the Company. The General Corporation Law of Delaware also provides that the Company may purchase insurance on behalf of any such director, officer, employee or agent.</w:t>
      </w:r>
    </w:p>
    <w:p>
      <w:pPr>
        <w:sectPr>
          <w:pgSz w:w="11900" w:h="16838" w:orient="portrait"/>
          <w:cols w:equalWidth="0" w:num="1">
            <w:col w:w="10219"/>
          </w:cols>
          <w:pgMar w:left="240" w:top="919" w:right="1440" w:bottom="1440" w:gutter="0" w:footer="0" w:header="0"/>
        </w:sectPr>
      </w:pPr>
    </w:p>
    <w:bookmarkStart w:id="2" w:name="page3"/>
    <w:bookmarkEnd w:id="2"/>
    <w:p>
      <w:pPr>
        <w:ind w:left="30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750" w:right="1440" w:bottom="1440" w:gutter="0" w:footer="0" w:header="0"/>
        </w:sectPr>
      </w:pPr>
    </w:p>
    <w:bookmarkStart w:id="3" w:name="page4"/>
    <w:bookmarkEnd w:id="3"/>
    <w:p>
      <w:pPr>
        <w:ind w:right="1779" w:firstLine="1264"/>
        <w:spacing w:after="0" w:line="238" w:lineRule="auto"/>
        <w:rPr>
          <w:sz w:val="20"/>
          <w:szCs w:val="20"/>
          <w:color w:val="auto"/>
        </w:rPr>
      </w:pPr>
      <w:r>
        <w:rPr>
          <w:rFonts w:ascii="Courier New" w:cs="Courier New" w:eastAsia="Courier New" w:hAnsi="Courier New"/>
          <w:sz w:val="18"/>
          <w:szCs w:val="18"/>
          <w:color w:val="auto"/>
        </w:rPr>
        <w:t>Section 102(b)(7) of the General Corporation Law of Delaware enables a Delaware corporation to provide in its certificate of incorporation for the elimination or limitation of the personal liability of a director to the corporation or its stockholders for monetary damages for breach of fiduciary duty as a director. Any such provision cannot eliminate or limit a director's liability (1) for any breach of the director's duty of loyalty to the corporation or its stockholders; (2) for acts or omissions not in good faith or which involve intentional misconduct or a knowing violation of law; (3) under Section 174 of the General Corporation Law of Delaware (which imposes liability on directors for unlawful payment of dividends or unlawful stock purchase or redemption); or (4) for any transaction from which the director derived an improper personal benefit. Article Thirteenth of the Certificate of Incorporation of the Company eliminates the liability of a director of the Company to the Company or its stockholders for monetary damages for breach of fiduciary duty as a director to the full extent permitted by the General Corporation Law of Delaware.</w:t>
      </w:r>
    </w:p>
    <w:p>
      <w:pPr>
        <w:spacing w:after="0" w:line="208" w:lineRule="exact"/>
        <w:rPr>
          <w:sz w:val="20"/>
          <w:szCs w:val="20"/>
          <w:color w:val="auto"/>
        </w:rPr>
      </w:pPr>
    </w:p>
    <w:p>
      <w:pPr>
        <w:ind w:right="1779" w:firstLine="1264"/>
        <w:spacing w:after="0" w:line="236" w:lineRule="auto"/>
        <w:rPr>
          <w:sz w:val="20"/>
          <w:szCs w:val="20"/>
          <w:color w:val="auto"/>
        </w:rPr>
      </w:pPr>
      <w:r>
        <w:rPr>
          <w:rFonts w:ascii="Courier New" w:cs="Courier New" w:eastAsia="Courier New" w:hAnsi="Courier New"/>
          <w:sz w:val="18"/>
          <w:szCs w:val="18"/>
          <w:color w:val="auto"/>
        </w:rPr>
        <w:t>Article Tenth of the Certificate of Incorporation of the Company provides for indemnification of the officers and directors of the Company to the full extent permitted by the General Corporation Law of Delaware.</w:t>
      </w:r>
    </w:p>
    <w:p>
      <w:pPr>
        <w:spacing w:after="0" w:line="209" w:lineRule="exact"/>
        <w:rPr>
          <w:sz w:val="20"/>
          <w:szCs w:val="20"/>
          <w:color w:val="auto"/>
        </w:rPr>
      </w:pPr>
    </w:p>
    <w:p>
      <w:pPr>
        <w:ind w:right="1779" w:firstLine="1264"/>
        <w:spacing w:after="0" w:line="268" w:lineRule="auto"/>
        <w:rPr>
          <w:sz w:val="20"/>
          <w:szCs w:val="20"/>
          <w:color w:val="auto"/>
        </w:rPr>
      </w:pPr>
      <w:r>
        <w:rPr>
          <w:rFonts w:ascii="Courier New" w:cs="Courier New" w:eastAsia="Courier New" w:hAnsi="Courier New"/>
          <w:sz w:val="16"/>
          <w:szCs w:val="16"/>
          <w:color w:val="auto"/>
        </w:rPr>
        <w:t>The Company has entered into Indemnification Agreements with its directors, executive officers and certain other officers. Generally, the Indemnification Agreements provide that the Company will indemnify such persons against any and all expenses, judgments, fines, penalties and amounts paid in settlement (including all interest, assessments and other charges paid or payable in connection with or in respect of such expenses, judgments, fines, penalties or amounts paid in settlement) of any Claim by reason of (or arising in part out of) an Indemnifiable Event. "Claim" is defined as any threatened, pending or completed action, suit or proceeding or any inquiry or investigation, whether conducted by the Company or any other party, that the indemnitee in good faith believes might lead to the institution of any such action, suit or proceeding, whether civil, criminal, administrative, investigative or other. "Indemnifiable Event" is defined as any event or occurrence related to the fact that indemnitee is or was a director, officer, employee, trustee, agent or fiduciary of the Company or is or was serving at the request of the Company as a director, officer, employee, trustee, agent or fiduciary of another corporation, partnership, joint venture, employee benefit plan, trust or other enterprise, or by reason of anything done or not done by indemnitee in any such capacity. Notwithstanding the foregoing, (i) the obligations of the Company shall be subject to the condition that the reviewing party (as defined) shall not have determined (in a written opinion, in any case in which special, independent counsel is involved) that indemnitee would not be permitted to be indemnified under applicable law, and (ii) the obligation of the Company to make an expense advance shall be subject to the condition that, if, when and to the extent that the reviewing party determines that indemnitee would not be permitted to be so indemnified under applicable law, the Company shall be entitled to be reimbursed by indemnitee (who has agreed to reimburse the Company) for all such amounts theretofore paid; provided, that if indemnitee has commenced legal proceedings in a court of competent jurisdiction to secure a determination that indemnitee should be indemnified under applicable law,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lapsed).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Exemption from Registration Claimed</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1060" w:right="2319" w:hanging="947"/>
        <w:spacing w:after="0" w:line="237" w:lineRule="auto"/>
        <w:tabs>
          <w:tab w:leader="none" w:pos="10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8"/>
          <w:szCs w:val="18"/>
          <w:color w:val="auto"/>
        </w:rPr>
        <w:t>The Promus Companies Incorporated 1990 Restricted Stock Plan (incorporated by reference to the Company's Annual Report on Form 10-K for fiscal year ending December 28, 1989, filed with the Commission March 28, 1990).</w:t>
      </w:r>
    </w:p>
    <w:p>
      <w:pPr>
        <w:spacing w:after="0" w:line="207" w:lineRule="exact"/>
        <w:rPr>
          <w:sz w:val="20"/>
          <w:szCs w:val="20"/>
          <w:color w:val="auto"/>
        </w:rPr>
      </w:pPr>
    </w:p>
    <w:p>
      <w:pPr>
        <w:ind w:left="1060" w:right="2419" w:hanging="947"/>
        <w:spacing w:after="0" w:line="236" w:lineRule="auto"/>
        <w:tabs>
          <w:tab w:leader="none" w:pos="10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8"/>
          <w:szCs w:val="18"/>
          <w:color w:val="auto"/>
        </w:rPr>
        <w:t>Amendment to The Promus Companies Incorporated 1990 Restricted Stock Plan dated April 5, 1995 (incorporated by reference to the Company's Proxy Statement dated April 25, 1995).</w:t>
      </w:r>
    </w:p>
    <w:p>
      <w:pPr>
        <w:sectPr>
          <w:pgSz w:w="11900" w:h="16838" w:orient="portrait"/>
          <w:cols w:equalWidth="0" w:num="1">
            <w:col w:w="10219"/>
          </w:cols>
          <w:pgMar w:left="240" w:top="520" w:right="1440" w:bottom="1440" w:gutter="0" w:footer="0" w:header="0"/>
        </w:sectPr>
      </w:pPr>
    </w:p>
    <w:bookmarkStart w:id="4" w:name="page5"/>
    <w:bookmarkEnd w:id="4"/>
    <w:p>
      <w:pPr>
        <w:ind w:left="3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1155" w:right="1440" w:bottom="1440" w:gutter="0" w:footer="0" w:header="0"/>
        </w:sectPr>
      </w:pPr>
    </w:p>
    <w:bookmarkStart w:id="5" w:name="page6"/>
    <w:bookmarkEnd w:id="5"/>
    <w:p>
      <w:pPr>
        <w:ind w:left="1060" w:right="2319" w:hanging="947"/>
        <w:spacing w:after="0" w:line="237" w:lineRule="auto"/>
        <w:tabs>
          <w:tab w:leader="none" w:pos="10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8"/>
          <w:szCs w:val="18"/>
          <w:color w:val="auto"/>
        </w:rPr>
        <w:t>Certificate of Incorporation of The Promus Companies Incorporated (incorporated by reference to the Company's quarterly report on Form 10-Q for the fiscal quarter ending March 31, 1994, filed with the Commission May 12, 1994).</w:t>
      </w:r>
    </w:p>
    <w:p>
      <w:pPr>
        <w:spacing w:after="0" w:line="207" w:lineRule="exact"/>
        <w:rPr>
          <w:sz w:val="20"/>
          <w:szCs w:val="20"/>
          <w:color w:val="auto"/>
        </w:rPr>
      </w:pPr>
    </w:p>
    <w:p>
      <w:pPr>
        <w:ind w:left="1060" w:right="2419" w:hanging="947"/>
        <w:spacing w:after="0" w:line="237" w:lineRule="auto"/>
        <w:tabs>
          <w:tab w:leader="none" w:pos="1040" w:val="left"/>
        </w:tabs>
        <w:rPr>
          <w:sz w:val="20"/>
          <w:szCs w:val="20"/>
          <w:color w:val="auto"/>
        </w:rPr>
      </w:pPr>
      <w:r>
        <w:rPr>
          <w:rFonts w:ascii="Courier New" w:cs="Courier New" w:eastAsia="Courier New" w:hAnsi="Courier New"/>
          <w:sz w:val="18"/>
          <w:szCs w:val="18"/>
          <w:color w:val="auto"/>
        </w:rPr>
        <w:t>4.4</w:t>
      </w:r>
      <w:r>
        <w:rPr>
          <w:sz w:val="20"/>
          <w:szCs w:val="20"/>
          <w:color w:val="auto"/>
        </w:rPr>
        <w:tab/>
      </w:r>
      <w:r>
        <w:rPr>
          <w:rFonts w:ascii="Courier New" w:cs="Courier New" w:eastAsia="Courier New" w:hAnsi="Courier New"/>
          <w:sz w:val="18"/>
          <w:szCs w:val="18"/>
          <w:color w:val="auto"/>
        </w:rPr>
        <w:t>Certificate of Amendment to Certificate of Incorporation of The Promus Companies Incorporated dated April 29, 1994 (incorporated by reference to the Company's quarterly report on Form 10-Q for the fiscal quarter ending March 31, 1994, filed with the Commission May 12, 1994).</w:t>
      </w:r>
    </w:p>
    <w:p>
      <w:pPr>
        <w:spacing w:after="0" w:line="209" w:lineRule="exact"/>
        <w:rPr>
          <w:sz w:val="20"/>
          <w:szCs w:val="20"/>
          <w:color w:val="auto"/>
        </w:rPr>
      </w:pPr>
    </w:p>
    <w:p>
      <w:pPr>
        <w:ind w:left="1060" w:right="2519" w:hanging="947"/>
        <w:spacing w:after="0" w:line="237" w:lineRule="auto"/>
        <w:tabs>
          <w:tab w:leader="none" w:pos="1040" w:val="left"/>
        </w:tabs>
        <w:rPr>
          <w:sz w:val="20"/>
          <w:szCs w:val="20"/>
          <w:color w:val="auto"/>
        </w:rPr>
      </w:pPr>
      <w:r>
        <w:rPr>
          <w:rFonts w:ascii="Courier New" w:cs="Courier New" w:eastAsia="Courier New" w:hAnsi="Courier New"/>
          <w:sz w:val="18"/>
          <w:szCs w:val="18"/>
          <w:color w:val="auto"/>
        </w:rPr>
        <w:t>4.5</w:t>
      </w:r>
      <w:r>
        <w:rPr>
          <w:sz w:val="20"/>
          <w:szCs w:val="20"/>
          <w:color w:val="auto"/>
        </w:rPr>
        <w:tab/>
      </w:r>
      <w:r>
        <w:rPr>
          <w:rFonts w:ascii="Courier New" w:cs="Courier New" w:eastAsia="Courier New" w:hAnsi="Courier New"/>
          <w:sz w:val="18"/>
          <w:szCs w:val="18"/>
          <w:color w:val="auto"/>
        </w:rPr>
        <w:t>Certificate of Amendment of Certificate of Incorporation of The Promus Companies Incorporated (attached as Annex V to the Company's Proxy Statement dated April 25, 1995 and incorporated herein by reference).</w:t>
      </w:r>
    </w:p>
    <w:p>
      <w:pPr>
        <w:spacing w:after="0" w:line="207" w:lineRule="exact"/>
        <w:rPr>
          <w:sz w:val="20"/>
          <w:szCs w:val="20"/>
          <w:color w:val="auto"/>
        </w:rPr>
      </w:pPr>
    </w:p>
    <w:p>
      <w:pPr>
        <w:ind w:left="1060" w:right="2519" w:hanging="947"/>
        <w:spacing w:after="0" w:line="237" w:lineRule="auto"/>
        <w:tabs>
          <w:tab w:leader="none" w:pos="104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8"/>
          <w:szCs w:val="18"/>
          <w:color w:val="auto"/>
        </w:rPr>
        <w:t>Certificate of Amendment of Certificate of Incorporation of The Promus Companies Incorporated (attached as Annex VI to the Company's Proxy Statement dated April 25, 1995 and incorporated herein by reference).</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*4.7</w:t>
      </w:r>
      <w:r>
        <w:rPr>
          <w:sz w:val="20"/>
          <w:szCs w:val="20"/>
          <w:color w:val="auto"/>
        </w:rPr>
        <w:tab/>
      </w:r>
      <w:r>
        <w:rPr>
          <w:rFonts w:ascii="Courier New" w:cs="Courier New" w:eastAsia="Courier New" w:hAnsi="Courier New"/>
          <w:sz w:val="16"/>
          <w:szCs w:val="16"/>
          <w:color w:val="auto"/>
        </w:rPr>
        <w:t>Bylaws of The Promus Companies Incorporated, as amended April 5,</w:t>
      </w:r>
    </w:p>
    <w:p>
      <w:pPr>
        <w:ind w:left="1060"/>
        <w:spacing w:after="0" w:line="238" w:lineRule="auto"/>
        <w:rPr>
          <w:sz w:val="20"/>
          <w:szCs w:val="20"/>
          <w:color w:val="auto"/>
        </w:rPr>
      </w:pPr>
      <w:r>
        <w:rPr>
          <w:rFonts w:ascii="Courier New" w:cs="Courier New" w:eastAsia="Courier New" w:hAnsi="Courier New"/>
          <w:sz w:val="18"/>
          <w:szCs w:val="18"/>
          <w:color w:val="auto"/>
        </w:rPr>
        <w:t>1995.</w:t>
      </w:r>
    </w:p>
    <w:p>
      <w:pPr>
        <w:spacing w:after="0" w:line="207" w:lineRule="exact"/>
        <w:rPr>
          <w:sz w:val="20"/>
          <w:szCs w:val="20"/>
          <w:color w:val="auto"/>
        </w:rPr>
      </w:pPr>
    </w:p>
    <w:p>
      <w:pPr>
        <w:ind w:left="1060" w:right="3259" w:hanging="1059"/>
        <w:spacing w:after="0" w:line="235" w:lineRule="auto"/>
        <w:tabs>
          <w:tab w:leader="none" w:pos="104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Opinion of E. O. Robinson, Jr. as to the legality of the securities being registered hereby.</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*23.1</w:t>
      </w:r>
      <w:r>
        <w:rPr>
          <w:sz w:val="20"/>
          <w:szCs w:val="20"/>
          <w:color w:val="auto"/>
        </w:rPr>
        <w:tab/>
      </w:r>
      <w:r>
        <w:rPr>
          <w:rFonts w:ascii="Courier New" w:cs="Courier New" w:eastAsia="Courier New" w:hAnsi="Courier New"/>
          <w:sz w:val="16"/>
          <w:szCs w:val="16"/>
          <w:color w:val="auto"/>
        </w:rPr>
        <w:t>Consent of E. O. Robinson, Jr. (included as part of Exhibit 5).</w:t>
      </w:r>
    </w:p>
    <w:p>
      <w:pPr>
        <w:spacing w:after="0" w:line="207" w:lineRule="exact"/>
        <w:rPr>
          <w:sz w:val="20"/>
          <w:szCs w:val="20"/>
          <w:color w:val="auto"/>
        </w:rPr>
      </w:pPr>
    </w:p>
    <w:p>
      <w:pPr>
        <w:ind w:left="1060" w:right="283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*23.2</w:t>
      </w:r>
      <w:r>
        <w:rPr>
          <w:sz w:val="20"/>
          <w:szCs w:val="20"/>
          <w:color w:val="auto"/>
        </w:rPr>
        <w:tab/>
      </w:r>
      <w:r>
        <w:rPr>
          <w:rFonts w:ascii="Courier New" w:cs="Courier New" w:eastAsia="Courier New" w:hAnsi="Courier New"/>
          <w:sz w:val="18"/>
          <w:szCs w:val="18"/>
          <w:color w:val="auto"/>
        </w:rPr>
        <w:t>Consent of Arthur Andersen LLP, independent certified public accountants.</w:t>
      </w:r>
    </w:p>
    <w:p>
      <w:pPr>
        <w:spacing w:after="0"/>
        <w:tabs>
          <w:tab w:leader="none" w:pos="1040" w:val="left"/>
        </w:tabs>
        <w:rPr>
          <w:sz w:val="20"/>
          <w:szCs w:val="20"/>
          <w:color w:val="auto"/>
        </w:rPr>
      </w:pPr>
      <w:r>
        <w:rPr>
          <w:rFonts w:ascii="Courier New" w:cs="Courier New" w:eastAsia="Courier New" w:hAnsi="Courier New"/>
          <w:sz w:val="18"/>
          <w:szCs w:val="18"/>
          <w:color w:val="auto"/>
        </w:rPr>
        <w:t>*24</w:t>
      </w:r>
      <w:r>
        <w:rPr>
          <w:sz w:val="20"/>
          <w:szCs w:val="20"/>
          <w:color w:val="auto"/>
        </w:rPr>
        <w:tab/>
      </w:r>
      <w:r>
        <w:rPr>
          <w:rFonts w:ascii="Courier New" w:cs="Courier New" w:eastAsia="Courier New" w:hAnsi="Courier New"/>
          <w:sz w:val="18"/>
          <w:szCs w:val="18"/>
          <w:color w:val="auto"/>
        </w:rPr>
        <w:t>Power of Attorney (included on page 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Filed herewith</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Undertakings</w:t>
      </w:r>
    </w:p>
    <w:p>
      <w:pPr>
        <w:ind w:left="740"/>
        <w:spacing w:after="0" w:line="238" w:lineRule="auto"/>
        <w:rPr>
          <w:sz w:val="20"/>
          <w:szCs w:val="20"/>
          <w:color w:val="auto"/>
        </w:rPr>
      </w:pPr>
      <w:r>
        <w:rPr>
          <w:rFonts w:ascii="Courier New" w:cs="Courier New" w:eastAsia="Courier New" w:hAnsi="Courier New"/>
          <w:sz w:val="18"/>
          <w:szCs w:val="18"/>
          <w:color w:val="auto"/>
        </w:rPr>
        <w:t>The undersigned registrant hereby undertakes:</w:t>
      </w:r>
    </w:p>
    <w:p>
      <w:pPr>
        <w:spacing w:after="0" w:line="207" w:lineRule="exact"/>
        <w:rPr>
          <w:sz w:val="20"/>
          <w:szCs w:val="20"/>
          <w:color w:val="auto"/>
        </w:rPr>
      </w:pPr>
    </w:p>
    <w:p>
      <w:pPr>
        <w:ind w:right="2099" w:firstLine="1272"/>
        <w:spacing w:after="0" w:line="235" w:lineRule="auto"/>
        <w:tabs>
          <w:tab w:leader="none" w:pos="1685"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740" w:right="1999" w:firstLine="953"/>
        <w:spacing w:after="0" w:line="235" w:lineRule="auto"/>
        <w:tabs>
          <w:tab w:leader="none" w:pos="221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740" w:right="1779" w:firstLine="953"/>
        <w:spacing w:after="0" w:line="237" w:lineRule="auto"/>
        <w:tabs>
          <w:tab w:leader="none" w:pos="221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w:t>
      </w:r>
    </w:p>
    <w:p>
      <w:pPr>
        <w:spacing w:after="0" w:line="208" w:lineRule="exact"/>
        <w:rPr>
          <w:rFonts w:ascii="Courier New" w:cs="Courier New" w:eastAsia="Courier New" w:hAnsi="Courier New"/>
          <w:sz w:val="18"/>
          <w:szCs w:val="18"/>
          <w:color w:val="auto"/>
        </w:rPr>
      </w:pPr>
    </w:p>
    <w:p>
      <w:pPr>
        <w:ind w:left="740" w:right="1879" w:firstLine="953"/>
        <w:spacing w:after="0" w:line="237" w:lineRule="auto"/>
        <w:tabs>
          <w:tab w:leader="none" w:pos="2215"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7" w:lineRule="exact"/>
        <w:rPr>
          <w:sz w:val="20"/>
          <w:szCs w:val="20"/>
          <w:color w:val="auto"/>
        </w:rPr>
      </w:pPr>
    </w:p>
    <w:p>
      <w:pPr>
        <w:ind w:right="1779" w:firstLine="1264"/>
        <w:spacing w:after="0" w:line="275" w:lineRule="auto"/>
        <w:rPr>
          <w:sz w:val="20"/>
          <w:szCs w:val="20"/>
          <w:color w:val="auto"/>
        </w:rPr>
      </w:pPr>
      <w:r>
        <w:rPr>
          <w:rFonts w:ascii="Courier New" w:cs="Courier New" w:eastAsia="Courier New" w:hAnsi="Courier New"/>
          <w:sz w:val="16"/>
          <w:szCs w:val="16"/>
          <w:color w:val="auto"/>
        </w:rPr>
        <w:t>provided, however, that paragraphs (1)(a) and (1)(b) shall not apply to information contained in periodic reports filed with or furnished to the Commission by the registrant pursuant to Section 13 or Section 15(d) of the Exchange Act that are incorporated by reference in this Registration Statement.</w:t>
      </w:r>
    </w:p>
    <w:p>
      <w:pPr>
        <w:sectPr>
          <w:pgSz w:w="11900" w:h="16838" w:orient="portrait"/>
          <w:cols w:equalWidth="0" w:num="1">
            <w:col w:w="10219"/>
          </w:cols>
          <w:pgMar w:left="240" w:top="723" w:right="1440" w:bottom="1440" w:gutter="0" w:footer="0" w:header="0"/>
        </w:sectPr>
      </w:pPr>
    </w:p>
    <w:bookmarkStart w:id="6" w:name="page7"/>
    <w:bookmarkEnd w:id="6"/>
    <w:p>
      <w:pPr>
        <w:ind w:left="30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019"/>
          </w:cols>
          <w:pgMar w:left="1440" w:top="547" w:right="1440" w:bottom="1440" w:gutter="0" w:footer="0" w:header="0"/>
        </w:sectPr>
      </w:pPr>
    </w:p>
    <w:bookmarkStart w:id="7" w:name="page8"/>
    <w:bookmarkEnd w:id="7"/>
    <w:p>
      <w:pPr>
        <w:ind w:right="1779" w:firstLine="1272"/>
        <w:spacing w:after="0" w:line="237" w:lineRule="auto"/>
        <w:tabs>
          <w:tab w:leader="none" w:pos="168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2319" w:firstLine="1272"/>
        <w:spacing w:after="0" w:line="236" w:lineRule="auto"/>
        <w:tabs>
          <w:tab w:leader="none" w:pos="168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9" w:lineRule="exact"/>
        <w:rPr>
          <w:sz w:val="20"/>
          <w:szCs w:val="20"/>
          <w:color w:val="auto"/>
        </w:rPr>
      </w:pPr>
    </w:p>
    <w:p>
      <w:pPr>
        <w:ind w:right="1879" w:firstLine="737"/>
        <w:spacing w:after="0" w:line="271" w:lineRule="auto"/>
        <w:rPr>
          <w:sz w:val="20"/>
          <w:szCs w:val="20"/>
          <w:color w:val="auto"/>
        </w:rPr>
      </w:pPr>
      <w:r>
        <w:rPr>
          <w:rFonts w:ascii="Courier New" w:cs="Courier New" w:eastAsia="Courier New" w:hAnsi="Courier New"/>
          <w:sz w:val="16"/>
          <w:szCs w:val="16"/>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388" w:lineRule="exact"/>
        <w:rPr>
          <w:sz w:val="20"/>
          <w:szCs w:val="20"/>
          <w:color w:val="auto"/>
        </w:rPr>
      </w:pPr>
    </w:p>
    <w:p>
      <w:pPr>
        <w:ind w:right="1879" w:firstLine="737"/>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0219"/>
          </w:cols>
          <w:pgMar w:left="240" w:top="520" w:right="1440" w:bottom="1440" w:gutter="0" w:footer="0" w:header="0"/>
        </w:sectPr>
      </w:pPr>
    </w:p>
    <w:bookmarkStart w:id="8" w:name="page9"/>
    <w:bookmarkEnd w:id="8"/>
    <w:p>
      <w:pPr>
        <w:ind w:left="30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019"/>
          </w:cols>
          <w:pgMar w:left="1440" w:top="750" w:right="1440" w:bottom="1440" w:gutter="0" w:footer="0" w:header="0"/>
        </w:sectPr>
      </w:pPr>
    </w:p>
    <w:bookmarkStart w:id="9" w:name="page10"/>
    <w:bookmarkEnd w:id="9"/>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firstLine="737"/>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Memphis, State of Tennessee, on this 6th day of June, 1995.</w:t>
      </w: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00" w:lineRule="exact"/>
        <w:rPr>
          <w:sz w:val="20"/>
          <w:szCs w:val="20"/>
          <w:color w:val="auto"/>
        </w:rPr>
      </w:pPr>
    </w:p>
    <w:p>
      <w:pPr>
        <w:spacing w:after="0" w:line="204" w:lineRule="exact"/>
        <w:rPr>
          <w:sz w:val="20"/>
          <w:szCs w:val="20"/>
          <w:color w:val="auto"/>
        </w:rPr>
      </w:pPr>
    </w:p>
    <w:p>
      <w:pPr>
        <w:ind w:left="3280"/>
        <w:spacing w:after="0"/>
        <w:tabs>
          <w:tab w:leader="none" w:pos="38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E. O. ROBINSON, JR.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E. O. Robinson, Jr.</w:t>
      </w:r>
    </w:p>
    <w:p>
      <w:pPr>
        <w:ind w:left="3900"/>
        <w:spacing w:after="0" w:line="237" w:lineRule="auto"/>
        <w:rPr>
          <w:sz w:val="20"/>
          <w:szCs w:val="20"/>
          <w:color w:val="auto"/>
        </w:rPr>
      </w:pPr>
      <w:r>
        <w:rPr>
          <w:rFonts w:ascii="Courier New" w:cs="Courier New" w:eastAsia="Courier New" w:hAnsi="Courier New"/>
          <w:sz w:val="18"/>
          <w:szCs w:val="18"/>
          <w:color w:val="auto"/>
        </w:rPr>
        <w:t>Senior Vice President,</w:t>
      </w:r>
    </w:p>
    <w:p>
      <w:pPr>
        <w:ind w:left="3900"/>
        <w:spacing w:after="0" w:line="238" w:lineRule="auto"/>
        <w:rPr>
          <w:sz w:val="20"/>
          <w:szCs w:val="20"/>
          <w:color w:val="auto"/>
        </w:rPr>
      </w:pPr>
      <w:r>
        <w:rPr>
          <w:rFonts w:ascii="Courier New" w:cs="Courier New" w:eastAsia="Courier New" w:hAnsi="Courier New"/>
          <w:sz w:val="18"/>
          <w:szCs w:val="18"/>
          <w:color w:val="auto"/>
        </w:rPr>
        <w:t>General Counsel and Secretary</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737"/>
        <w:spacing w:after="0" w:line="238" w:lineRule="auto"/>
        <w:rPr>
          <w:sz w:val="20"/>
          <w:szCs w:val="20"/>
          <w:color w:val="auto"/>
        </w:rPr>
      </w:pPr>
      <w:r>
        <w:rPr>
          <w:rFonts w:ascii="Courier New" w:cs="Courier New" w:eastAsia="Courier New" w:hAnsi="Courier New"/>
          <w:sz w:val="18"/>
          <w:szCs w:val="18"/>
          <w:color w:val="auto"/>
        </w:rPr>
        <w:t>Each person whose signature appears below constitutes and appoints Michael D. Rose, Charles A. Ledsinger, Jr. and E. O. Robinson, Jr., each or any of them, his true and lawful attorney-in-fact and agents, with full power of substitution and resubstitution, for him and in his name, place and stead, in any and all capacities, to sign any and all amendments (including post-effective amendments) to this Registration Statement, and to file the same, with all exhibits thereto and other documents in connection therewith, with the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208" w:lineRule="exact"/>
        <w:rPr>
          <w:sz w:val="20"/>
          <w:szCs w:val="20"/>
          <w:color w:val="auto"/>
        </w:rPr>
      </w:pPr>
    </w:p>
    <w:p>
      <w:pPr>
        <w:ind w:right="1999" w:firstLine="73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their capacities and on the dates indicated.</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Signature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980" w:space="720"/>
            <w:col w:w="2020" w:space="720"/>
            <w:col w:w="3779"/>
          </w:cols>
          <w:pgMar w:left="240" w:top="514"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JAMES L. BARKSDALE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1" w:lineRule="exact"/>
        <w:rPr>
          <w:sz w:val="20"/>
          <w:szCs w:val="20"/>
          <w:color w:val="auto"/>
        </w:rPr>
      </w:pPr>
    </w:p>
    <w:p>
      <w:pPr>
        <w:sectPr>
          <w:pgSz w:w="11900" w:h="16838" w:orient="portrait"/>
          <w:cols w:equalWidth="0" w:num="3">
            <w:col w:w="2980" w:space="720"/>
            <w:col w:w="2020" w:space="720"/>
            <w:col w:w="3779"/>
          </w:cols>
          <w:pgMar w:left="240" w:top="514" w:right="1440" w:bottom="1440" w:gutter="0" w:footer="0" w:header="0"/>
          <w:type w:val="continuous"/>
        </w:sect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(James L. Barksdale)</w:t>
      </w:r>
    </w:p>
    <w:p>
      <w:pPr>
        <w:sectPr>
          <w:pgSz w:w="11900" w:h="16838" w:orient="portrait"/>
          <w:cols w:equalWidth="0" w:num="1">
            <w:col w:w="10219"/>
          </w:cols>
          <w:pgMar w:left="240" w:top="514" w:right="1440" w:bottom="1440" w:gutter="0" w:footer="0" w:header="0"/>
          <w:type w:val="continuous"/>
        </w:sect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SUSAN CLARK-JACKSON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1" w:lineRule="exact"/>
        <w:rPr>
          <w:sz w:val="20"/>
          <w:szCs w:val="20"/>
          <w:color w:val="auto"/>
        </w:rPr>
      </w:pPr>
    </w:p>
    <w:p>
      <w:pPr>
        <w:sectPr>
          <w:pgSz w:w="11900" w:h="16838" w:orient="portrait"/>
          <w:cols w:equalWidth="0" w:num="3">
            <w:col w:w="2980" w:space="720"/>
            <w:col w:w="2020" w:space="720"/>
            <w:col w:w="37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(Susan Clark-Jackson)</w:t>
      </w:r>
    </w:p>
    <w:p>
      <w:pPr>
        <w:sectPr>
          <w:pgSz w:w="11900" w:h="16838" w:orient="portrait"/>
          <w:cols w:equalWidth="0" w:num="1">
            <w:col w:w="10219"/>
          </w:cols>
          <w:pgMar w:left="240" w:top="514" w:right="1440" w:bottom="1440" w:gutter="0" w:footer="0" w:header="0"/>
          <w:type w:val="continuous"/>
        </w:sect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JAMES B. FARLEY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180"/>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1" w:lineRule="exact"/>
        <w:rPr>
          <w:sz w:val="20"/>
          <w:szCs w:val="20"/>
          <w:color w:val="auto"/>
        </w:rPr>
      </w:pPr>
    </w:p>
    <w:p>
      <w:pPr>
        <w:sectPr>
          <w:pgSz w:w="11900" w:h="16838" w:orient="portrait"/>
          <w:cols w:equalWidth="0" w:num="3">
            <w:col w:w="2980" w:space="720"/>
            <w:col w:w="2020" w:space="720"/>
            <w:col w:w="37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(James B. Farley)</w:t>
      </w:r>
    </w:p>
    <w:p>
      <w:pPr>
        <w:sectPr>
          <w:pgSz w:w="11900" w:h="16838" w:orient="portrait"/>
          <w:cols w:equalWidth="0" w:num="1">
            <w:col w:w="10219"/>
          </w:cols>
          <w:pgMar w:left="240" w:top="514" w:right="1440" w:bottom="1440" w:gutter="0" w:footer="0" w:header="0"/>
          <w:type w:val="continuous"/>
        </w:sect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JOE M. HENSON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ind w:right="1180"/>
        <w:spacing w:after="0"/>
        <w:rPr>
          <w:sz w:val="20"/>
          <w:szCs w:val="20"/>
          <w:color w:val="auto"/>
        </w:rPr>
      </w:pPr>
      <w:r>
        <w:rPr>
          <w:rFonts w:ascii="Courier New" w:cs="Courier New" w:eastAsia="Courier New" w:hAnsi="Courier New"/>
          <w:sz w:val="16"/>
          <w:szCs w:val="16"/>
          <w:color w:val="auto"/>
        </w:rPr>
        <w:t>Director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1" w:lineRule="exact"/>
        <w:rPr>
          <w:sz w:val="20"/>
          <w:szCs w:val="20"/>
          <w:color w:val="auto"/>
        </w:rPr>
      </w:pPr>
    </w:p>
    <w:p>
      <w:pPr>
        <w:sectPr>
          <w:pgSz w:w="11900" w:h="16838" w:orient="portrait"/>
          <w:cols w:equalWidth="0" w:num="3">
            <w:col w:w="2980" w:space="720"/>
            <w:col w:w="2020" w:space="720"/>
            <w:col w:w="3779"/>
          </w:cols>
          <w:pgMar w:left="240" w:top="514"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(Joe M. Henson)</w:t>
      </w:r>
    </w:p>
    <w:p>
      <w:pPr>
        <w:sectPr>
          <w:pgSz w:w="11900" w:h="16838" w:orient="portrait"/>
          <w:cols w:equalWidth="0" w:num="1">
            <w:col w:w="10219"/>
          </w:cols>
          <w:pgMar w:left="240" w:top="514" w:right="1440" w:bottom="1440" w:gutter="0" w:footer="0" w:header="0"/>
          <w:type w:val="continuous"/>
        </w:sectPr>
      </w:pP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MICHAEL D. ROSE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and Chairman</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of the Board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23" w:lineRule="exact"/>
        <w:rPr>
          <w:sz w:val="20"/>
          <w:szCs w:val="20"/>
          <w:color w:val="auto"/>
        </w:rPr>
      </w:pPr>
    </w:p>
    <w:p>
      <w:pPr>
        <w:sectPr>
          <w:pgSz w:w="11900" w:h="16838" w:orient="portrait"/>
          <w:cols w:equalWidth="0" w:num="3">
            <w:col w:w="2980" w:space="720"/>
            <w:col w:w="2200" w:space="540"/>
            <w:col w:w="3779"/>
          </w:cols>
          <w:pgMar w:left="240" w:top="514" w:right="1440" w:bottom="1440" w:gutter="0" w:footer="0" w:header="0"/>
          <w:type w:val="continuous"/>
        </w:sectPr>
      </w:pPr>
    </w:p>
    <w:p>
      <w:pPr>
        <w:ind w:left="220"/>
        <w:spacing w:after="0"/>
        <w:rPr>
          <w:sz w:val="20"/>
          <w:szCs w:val="20"/>
          <w:color w:val="auto"/>
        </w:rPr>
      </w:pPr>
      <w:r>
        <w:rPr>
          <w:rFonts w:ascii="Courier New" w:cs="Courier New" w:eastAsia="Courier New" w:hAnsi="Courier New"/>
          <w:sz w:val="16"/>
          <w:szCs w:val="16"/>
          <w:color w:val="auto"/>
        </w:rPr>
        <w:t>(Michael D. Rose)</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514" w:right="1440" w:bottom="1440" w:gutter="0" w:footer="0" w:header="0"/>
          <w:type w:val="continuous"/>
        </w:sectPr>
      </w:pPr>
    </w:p>
    <w:bookmarkStart w:id="10" w:name="page11"/>
    <w:bookmarkEnd w:id="10"/>
    <w:tbl>
      <w:tblPr>
        <w:tblLayout w:type="fixed"/>
        <w:tblInd w:w="220" w:type="dxa"/>
        <w:tblCellMar>
          <w:top w:w="0" w:type="dxa"/>
          <w:left w:w="0" w:type="dxa"/>
          <w:bottom w:w="0" w:type="dxa"/>
          <w:right w:w="0" w:type="dxa"/>
        </w:tblCellMar>
      </w:tblPr>
      <w:tr>
        <w:trPr>
          <w:trHeight w:val="204"/>
        </w:trPr>
        <w:tc>
          <w:tcPr>
            <w:tcW w:w="2320" w:type="dxa"/>
            <w:vAlign w:val="bottom"/>
          </w:tcPr>
          <w:p>
            <w:pPr>
              <w:ind w:left="320"/>
              <w:spacing w:after="0"/>
              <w:rPr>
                <w:sz w:val="20"/>
                <w:szCs w:val="20"/>
                <w:color w:val="auto"/>
              </w:rPr>
            </w:pPr>
            <w:r>
              <w:rPr>
                <w:rFonts w:ascii="Courier New" w:cs="Courier New" w:eastAsia="Courier New" w:hAnsi="Courier New"/>
                <w:sz w:val="18"/>
                <w:szCs w:val="18"/>
                <w:color w:val="auto"/>
              </w:rPr>
              <w:t>Signature</w:t>
            </w:r>
          </w:p>
        </w:tc>
        <w:tc>
          <w:tcPr>
            <w:tcW w:w="2360" w:type="dxa"/>
            <w:vAlign w:val="bottom"/>
          </w:tcPr>
          <w:p>
            <w:pPr>
              <w:ind w:left="620"/>
              <w:spacing w:after="0"/>
              <w:rPr>
                <w:sz w:val="20"/>
                <w:szCs w:val="20"/>
                <w:color w:val="auto"/>
              </w:rPr>
            </w:pPr>
            <w:r>
              <w:rPr>
                <w:rFonts w:ascii="Courier New" w:cs="Courier New" w:eastAsia="Courier New" w:hAnsi="Courier New"/>
                <w:sz w:val="18"/>
                <w:szCs w:val="18"/>
                <w:color w:val="auto"/>
              </w:rPr>
              <w:t>Title</w:t>
            </w:r>
          </w:p>
        </w:tc>
        <w:tc>
          <w:tcPr>
            <w:tcW w:w="2160" w:type="dxa"/>
            <w:vAlign w:val="bottom"/>
          </w:tcPr>
          <w:p>
            <w:pPr>
              <w:ind w:left="90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20" w:type="dxa"/>
            <w:vAlign w:val="bottom"/>
          </w:tcPr>
          <w:p>
            <w:pPr>
              <w:spacing w:after="0"/>
              <w:rPr>
                <w:sz w:val="20"/>
                <w:szCs w:val="20"/>
                <w:color w:val="auto"/>
              </w:rPr>
            </w:pPr>
            <w:r>
              <w:rPr>
                <w:rFonts w:ascii="Courier New" w:cs="Courier New" w:eastAsia="Courier New" w:hAnsi="Courier New"/>
                <w:sz w:val="18"/>
                <w:szCs w:val="18"/>
                <w:color w:val="auto"/>
              </w:rPr>
              <w:t>WALTER J. SALMON</w:t>
            </w:r>
          </w:p>
        </w:tc>
        <w:tc>
          <w:tcPr>
            <w:tcW w:w="2360" w:type="dxa"/>
            <w:vAlign w:val="bottom"/>
          </w:tcPr>
          <w:p>
            <w:pPr>
              <w:ind w:left="620"/>
              <w:spacing w:after="0"/>
              <w:rPr>
                <w:sz w:val="20"/>
                <w:szCs w:val="20"/>
                <w:color w:val="auto"/>
              </w:rPr>
            </w:pPr>
            <w:r>
              <w:rPr>
                <w:rFonts w:ascii="Courier New" w:cs="Courier New" w:eastAsia="Courier New" w:hAnsi="Courier New"/>
                <w:sz w:val="18"/>
                <w:szCs w:val="18"/>
                <w:color w:val="auto"/>
              </w:rPr>
              <w:t>Director</w:t>
            </w:r>
          </w:p>
        </w:tc>
        <w:tc>
          <w:tcPr>
            <w:tcW w:w="2160" w:type="dxa"/>
            <w:vAlign w:val="bottom"/>
          </w:tcPr>
          <w:p>
            <w:pPr>
              <w:ind w:left="900"/>
              <w:spacing w:after="0"/>
              <w:rPr>
                <w:sz w:val="20"/>
                <w:szCs w:val="20"/>
                <w:color w:val="auto"/>
              </w:rPr>
            </w:pPr>
            <w:r>
              <w:rPr>
                <w:rFonts w:ascii="Courier New" w:cs="Courier New" w:eastAsia="Courier New" w:hAnsi="Courier New"/>
                <w:sz w:val="18"/>
                <w:szCs w:val="18"/>
                <w:color w:val="auto"/>
                <w:w w:val="95"/>
              </w:rPr>
              <w:t>June 6, 1995</w:t>
            </w:r>
          </w:p>
        </w:tc>
      </w:tr>
    </w:tbl>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(Walter J. Salmon)</w:t>
      </w:r>
    </w:p>
    <w:p>
      <w:pPr>
        <w:sectPr>
          <w:pgSz w:w="11900" w:h="16838" w:orient="portrait"/>
          <w:cols w:equalWidth="0" w:num="1">
            <w:col w:w="10219"/>
          </w:cols>
          <w:pgMar w:left="240" w:top="514" w:right="1440" w:bottom="1440" w:gutter="0" w:footer="0" w:header="0"/>
        </w:sectPr>
      </w:pP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PHILIP G. SATRE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(Philip G. Satre)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President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and Chief Executive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622" w:lineRule="exact"/>
        <w:rPr>
          <w:sz w:val="20"/>
          <w:szCs w:val="20"/>
          <w:color w:val="auto"/>
        </w:rPr>
      </w:pPr>
    </w:p>
    <w:p>
      <w:pPr>
        <w:sectPr>
          <w:pgSz w:w="11900" w:h="16838" w:orient="portrait"/>
          <w:cols w:equalWidth="0" w:num="3">
            <w:col w:w="2440" w:space="720"/>
            <w:col w:w="2220" w:space="420"/>
            <w:col w:w="4419"/>
          </w:cols>
          <w:pgMar w:left="240" w:top="514" w:right="1440" w:bottom="1440" w:gutter="0" w:footer="0" w:header="0"/>
          <w:type w:val="continuous"/>
        </w:sect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BOAKE A. SELLS</w:t>
      </w:r>
    </w:p>
    <w:p>
      <w:pPr>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(Boake A. Sells)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EDDIE N. WILLIAMS</w:t>
      </w:r>
    </w:p>
    <w:p>
      <w:pPr>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(Eddie N. Williams)</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SHIRLEY YOUNG</w:t>
      </w:r>
    </w:p>
    <w:p>
      <w:pPr>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(Shirley Young)</w:t>
      </w:r>
    </w:p>
    <w:p>
      <w:pPr>
        <w:spacing w:after="0" w:line="206"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CHARLES A. LEDSINGER, JR.</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21" w:lineRule="exact"/>
        <w:rPr>
          <w:sz w:val="20"/>
          <w:szCs w:val="20"/>
          <w:color w:val="auto"/>
        </w:rPr>
      </w:pPr>
    </w:p>
    <w:p>
      <w:pPr>
        <w:sectPr>
          <w:pgSz w:w="11900" w:h="16838" w:orient="portrait"/>
          <w:cols w:equalWidth="0" w:num="3">
            <w:col w:w="2860" w:space="300"/>
            <w:col w:w="1920" w:space="720"/>
            <w:col w:w="4419"/>
          </w:cols>
          <w:pgMar w:left="240" w:top="514" w:right="1440" w:bottom="1440" w:gutter="0" w:footer="0" w:header="0"/>
          <w:type w:val="continuous"/>
        </w:sectPr>
      </w:pPr>
    </w:p>
    <w:p>
      <w:pPr>
        <w:ind w:right="609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Officer (Charles A. Ledsinger, Jr.)</w:t>
      </w:r>
    </w:p>
    <w:p>
      <w:pPr>
        <w:sectPr>
          <w:pgSz w:w="11900" w:h="16838" w:orient="portrait"/>
          <w:cols w:equalWidth="0" w:num="1">
            <w:col w:w="10219"/>
          </w:cols>
          <w:pgMar w:left="240" w:top="514" w:right="1440" w:bottom="1440" w:gutter="0" w:footer="0" w:header="0"/>
          <w:type w:val="continuous"/>
        </w:sectPr>
      </w:pPr>
    </w:p>
    <w:p>
      <w:pPr>
        <w:spacing w:after="0" w:line="200" w:lineRule="exact"/>
        <w:rPr>
          <w:sz w:val="20"/>
          <w:szCs w:val="20"/>
          <w:color w:val="auto"/>
        </w:rPr>
      </w:pPr>
    </w:p>
    <w:p>
      <w:pPr>
        <w:spacing w:after="0" w:line="211" w:lineRule="exact"/>
        <w:rPr>
          <w:sz w:val="20"/>
          <w:szCs w:val="20"/>
          <w:color w:val="auto"/>
        </w:rPr>
      </w:pPr>
    </w:p>
    <w:p>
      <w:pPr>
        <w:ind w:right="320" w:firstLine="211"/>
        <w:spacing w:after="0" w:line="279" w:lineRule="auto"/>
        <w:rPr>
          <w:sz w:val="20"/>
          <w:szCs w:val="20"/>
          <w:color w:val="auto"/>
        </w:rPr>
      </w:pPr>
      <w:r>
        <w:rPr>
          <w:rFonts w:ascii="Courier New" w:cs="Courier New" w:eastAsia="Courier New" w:hAnsi="Courier New"/>
          <w:sz w:val="16"/>
          <w:szCs w:val="16"/>
          <w:color w:val="auto"/>
        </w:rPr>
        <w:t>MICHAEL N. REGAN - ------------------ (Michael N. Regan)</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Controller and</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Principal Accounting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6, 1995</w:t>
      </w:r>
    </w:p>
    <w:p>
      <w:pPr>
        <w:spacing w:after="0" w:line="650" w:lineRule="exact"/>
        <w:rPr>
          <w:sz w:val="20"/>
          <w:szCs w:val="20"/>
          <w:color w:val="auto"/>
        </w:rPr>
      </w:pPr>
    </w:p>
    <w:p>
      <w:pPr>
        <w:sectPr>
          <w:pgSz w:w="11900" w:h="16838" w:orient="portrait"/>
          <w:cols w:equalWidth="0" w:num="3">
            <w:col w:w="2440" w:space="720"/>
            <w:col w:w="2320" w:space="320"/>
            <w:col w:w="4419"/>
          </w:cols>
          <w:pgMar w:left="240" w:top="514" w:right="1440"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514"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7060" w:type="dxa"/>
            <w:vAlign w:val="bottom"/>
          </w:tcPr>
          <w:p>
            <w:pPr>
              <w:ind w:left="2800"/>
              <w:spacing w:after="0"/>
              <w:rPr>
                <w:sz w:val="20"/>
                <w:szCs w:val="20"/>
                <w:color w:val="auto"/>
              </w:rPr>
            </w:pPr>
            <w:r>
              <w:rPr>
                <w:rFonts w:ascii="Courier New" w:cs="Courier New" w:eastAsia="Courier New" w:hAnsi="Courier New"/>
                <w:sz w:val="18"/>
                <w:szCs w:val="18"/>
                <w:color w:val="auto"/>
              </w:rPr>
              <w:t>INDEX TO EXHIBITS</w:t>
            </w:r>
          </w:p>
        </w:tc>
        <w:tc>
          <w:tcPr>
            <w:tcW w:w="480" w:type="dxa"/>
            <w:vAlign w:val="bottom"/>
          </w:tcPr>
          <w:p>
            <w:pPr>
              <w:spacing w:after="0"/>
              <w:rPr>
                <w:sz w:val="17"/>
                <w:szCs w:val="17"/>
                <w:color w:val="auto"/>
              </w:rPr>
            </w:pP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70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PAGE</w:t>
            </w:r>
          </w:p>
        </w:tc>
      </w:tr>
      <w:tr>
        <w:trPr>
          <w:trHeight w:val="203"/>
        </w:trPr>
        <w:tc>
          <w:tcPr>
            <w:tcW w:w="900" w:type="dxa"/>
            <w:vAlign w:val="bottom"/>
          </w:tcPr>
          <w:p>
            <w:pPr>
              <w:spacing w:after="0"/>
              <w:rPr>
                <w:sz w:val="17"/>
                <w:szCs w:val="17"/>
                <w:color w:val="auto"/>
              </w:rPr>
            </w:pPr>
          </w:p>
        </w:tc>
        <w:tc>
          <w:tcPr>
            <w:tcW w:w="70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2"/>
              </w:rPr>
              <w:t>4.1</w:t>
            </w: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Promus Companies Incorporated 1990 Restricted Stock Plan</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8"/>
              </w:rPr>
              <w:t>(incorporated by reference to the Company's Annual Report on Form</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10-K for fiscal year ending December 28, 1989, filed with the</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Commission March 28, 1990).</w:t>
            </w:r>
          </w:p>
        </w:tc>
        <w:tc>
          <w:tcPr>
            <w:tcW w:w="480" w:type="dxa"/>
            <w:vAlign w:val="bottom"/>
          </w:tcPr>
          <w:p>
            <w:pPr>
              <w:spacing w:after="0"/>
              <w:rPr>
                <w:sz w:val="17"/>
                <w:szCs w:val="17"/>
                <w:color w:val="auto"/>
              </w:rPr>
            </w:pPr>
          </w:p>
        </w:tc>
      </w:tr>
      <w:tr>
        <w:trPr>
          <w:trHeight w:val="405"/>
        </w:trPr>
        <w:tc>
          <w:tcPr>
            <w:tcW w:w="9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2"/>
              </w:rPr>
              <w:t>4.2</w:t>
            </w:r>
          </w:p>
        </w:tc>
        <w:tc>
          <w:tcPr>
            <w:tcW w:w="7060" w:type="dxa"/>
            <w:vAlign w:val="bottom"/>
          </w:tcPr>
          <w:p>
            <w:pPr>
              <w:ind w:left="160"/>
              <w:spacing w:after="0"/>
              <w:rPr>
                <w:sz w:val="20"/>
                <w:szCs w:val="20"/>
                <w:color w:val="auto"/>
              </w:rPr>
            </w:pPr>
            <w:r>
              <w:rPr>
                <w:rFonts w:ascii="Courier New" w:cs="Courier New" w:eastAsia="Courier New" w:hAnsi="Courier New"/>
                <w:sz w:val="18"/>
                <w:szCs w:val="18"/>
                <w:color w:val="auto"/>
              </w:rPr>
              <w:t>Amendment to The Promus Companies Incorporated 1990 Restricted</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Stock Plan dated April 5, 1995 (incorporated by reference to the</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Company's Proxy Statement dated April 25, 1995).</w:t>
            </w:r>
          </w:p>
        </w:tc>
        <w:tc>
          <w:tcPr>
            <w:tcW w:w="480" w:type="dxa"/>
            <w:vAlign w:val="bottom"/>
          </w:tcPr>
          <w:p>
            <w:pPr>
              <w:spacing w:after="0"/>
              <w:rPr>
                <w:sz w:val="17"/>
                <w:szCs w:val="17"/>
                <w:color w:val="auto"/>
              </w:rPr>
            </w:pPr>
          </w:p>
        </w:tc>
      </w:tr>
      <w:tr>
        <w:trPr>
          <w:trHeight w:val="405"/>
        </w:trPr>
        <w:tc>
          <w:tcPr>
            <w:tcW w:w="9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2"/>
              </w:rPr>
              <w:t>4.3</w:t>
            </w:r>
          </w:p>
        </w:tc>
        <w:tc>
          <w:tcPr>
            <w:tcW w:w="7060" w:type="dxa"/>
            <w:vAlign w:val="bottom"/>
          </w:tcPr>
          <w:p>
            <w:pPr>
              <w:ind w:left="160"/>
              <w:spacing w:after="0"/>
              <w:rPr>
                <w:sz w:val="20"/>
                <w:szCs w:val="20"/>
                <w:color w:val="auto"/>
              </w:rPr>
            </w:pPr>
            <w:r>
              <w:rPr>
                <w:rFonts w:ascii="Courier New" w:cs="Courier New" w:eastAsia="Courier New" w:hAnsi="Courier New"/>
                <w:sz w:val="18"/>
                <w:szCs w:val="18"/>
                <w:color w:val="auto"/>
                <w:w w:val="98"/>
              </w:rPr>
              <w:t>Certificate of Incorporation of The Promus Companies Incorporated</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(incorporated by reference to the Company's quarterly report on</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Form 10-Q for the fiscal quarter ending March 31, 1994, filed</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with the Commission May 12, 1994).</w:t>
            </w:r>
          </w:p>
        </w:tc>
        <w:tc>
          <w:tcPr>
            <w:tcW w:w="480" w:type="dxa"/>
            <w:vAlign w:val="bottom"/>
          </w:tcPr>
          <w:p>
            <w:pPr>
              <w:spacing w:after="0"/>
              <w:rPr>
                <w:sz w:val="17"/>
                <w:szCs w:val="17"/>
                <w:color w:val="auto"/>
              </w:rPr>
            </w:pPr>
          </w:p>
        </w:tc>
      </w:tr>
      <w:tr>
        <w:trPr>
          <w:trHeight w:val="405"/>
        </w:trPr>
        <w:tc>
          <w:tcPr>
            <w:tcW w:w="9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2"/>
              </w:rPr>
              <w:t>4.4</w:t>
            </w:r>
          </w:p>
        </w:tc>
        <w:tc>
          <w:tcPr>
            <w:tcW w:w="7060" w:type="dxa"/>
            <w:vAlign w:val="bottom"/>
          </w:tcPr>
          <w:p>
            <w:pPr>
              <w:ind w:left="160"/>
              <w:spacing w:after="0"/>
              <w:rPr>
                <w:sz w:val="20"/>
                <w:szCs w:val="20"/>
                <w:color w:val="auto"/>
              </w:rPr>
            </w:pPr>
            <w:r>
              <w:rPr>
                <w:rFonts w:ascii="Courier New" w:cs="Courier New" w:eastAsia="Courier New" w:hAnsi="Courier New"/>
                <w:sz w:val="18"/>
                <w:szCs w:val="18"/>
                <w:color w:val="auto"/>
              </w:rPr>
              <w:t>Certificate of Amendment to Certificate of Incorporation of The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Promus Companies Incorporated dated April 29, 1994 (incorporated</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by reference to the Company's quarterly report on Form 10-Q for</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fiscal quarter ending March 31, 1994, filed with the</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Commission May 12, 1994).</w:t>
            </w:r>
          </w:p>
        </w:tc>
        <w:tc>
          <w:tcPr>
            <w:tcW w:w="480" w:type="dxa"/>
            <w:vAlign w:val="bottom"/>
          </w:tcPr>
          <w:p>
            <w:pPr>
              <w:spacing w:after="0"/>
              <w:rPr>
                <w:sz w:val="17"/>
                <w:szCs w:val="17"/>
                <w:color w:val="auto"/>
              </w:rPr>
            </w:pPr>
          </w:p>
        </w:tc>
      </w:tr>
      <w:tr>
        <w:trPr>
          <w:trHeight w:val="405"/>
        </w:trPr>
        <w:tc>
          <w:tcPr>
            <w:tcW w:w="9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2"/>
              </w:rPr>
              <w:t>4.5</w:t>
            </w:r>
          </w:p>
        </w:tc>
        <w:tc>
          <w:tcPr>
            <w:tcW w:w="7060" w:type="dxa"/>
            <w:vAlign w:val="bottom"/>
          </w:tcPr>
          <w:p>
            <w:pPr>
              <w:ind w:left="160"/>
              <w:spacing w:after="0"/>
              <w:rPr>
                <w:sz w:val="20"/>
                <w:szCs w:val="20"/>
                <w:color w:val="auto"/>
              </w:rPr>
            </w:pPr>
            <w:r>
              <w:rPr>
                <w:rFonts w:ascii="Courier New" w:cs="Courier New" w:eastAsia="Courier New" w:hAnsi="Courier New"/>
                <w:sz w:val="18"/>
                <w:szCs w:val="18"/>
                <w:color w:val="auto"/>
              </w:rPr>
              <w:t>Certificate of Amendment of Certificate of Incorporation of The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Promus Companies Incorporated (attached as Annex V to the</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Company's Proxy Statement dated April 25, 1995 and incorporated</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80" w:type="dxa"/>
            <w:vAlign w:val="bottom"/>
          </w:tcPr>
          <w:p>
            <w:pPr>
              <w:spacing w:after="0"/>
              <w:rPr>
                <w:sz w:val="17"/>
                <w:szCs w:val="17"/>
                <w:color w:val="auto"/>
              </w:rPr>
            </w:pPr>
          </w:p>
        </w:tc>
      </w:tr>
      <w:tr>
        <w:trPr>
          <w:trHeight w:val="405"/>
        </w:trPr>
        <w:tc>
          <w:tcPr>
            <w:tcW w:w="9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2"/>
              </w:rPr>
              <w:t>4.6</w:t>
            </w:r>
          </w:p>
        </w:tc>
        <w:tc>
          <w:tcPr>
            <w:tcW w:w="7060" w:type="dxa"/>
            <w:vAlign w:val="bottom"/>
          </w:tcPr>
          <w:p>
            <w:pPr>
              <w:ind w:left="160"/>
              <w:spacing w:after="0"/>
              <w:rPr>
                <w:sz w:val="20"/>
                <w:szCs w:val="20"/>
                <w:color w:val="auto"/>
              </w:rPr>
            </w:pPr>
            <w:r>
              <w:rPr>
                <w:rFonts w:ascii="Courier New" w:cs="Courier New" w:eastAsia="Courier New" w:hAnsi="Courier New"/>
                <w:sz w:val="18"/>
                <w:szCs w:val="18"/>
                <w:color w:val="auto"/>
              </w:rPr>
              <w:t>Certificate of Amendment of Certificate of Incorporation of The</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Promus Companies Incorporated (attached as Annex VI to the</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Company's Proxy Statement dated April 25, 1995 and incorporated</w:t>
            </w:r>
          </w:p>
        </w:tc>
        <w:tc>
          <w:tcPr>
            <w:tcW w:w="48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48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*4.7</w:t>
            </w:r>
          </w:p>
        </w:tc>
        <w:tc>
          <w:tcPr>
            <w:tcW w:w="7060" w:type="dxa"/>
            <w:vAlign w:val="bottom"/>
          </w:tcPr>
          <w:p>
            <w:pPr>
              <w:ind w:left="160"/>
              <w:spacing w:after="0"/>
              <w:rPr>
                <w:sz w:val="20"/>
                <w:szCs w:val="20"/>
                <w:color w:val="auto"/>
              </w:rPr>
            </w:pPr>
            <w:r>
              <w:rPr>
                <w:rFonts w:ascii="Courier New" w:cs="Courier New" w:eastAsia="Courier New" w:hAnsi="Courier New"/>
                <w:sz w:val="18"/>
                <w:szCs w:val="18"/>
                <w:color w:val="auto"/>
                <w:w w:val="99"/>
              </w:rPr>
              <w:t>Bylaws of The Promus Companies Incorporated, as amended April 5,</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48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7060" w:type="dxa"/>
            <w:vAlign w:val="bottom"/>
          </w:tcPr>
          <w:p>
            <w:pPr>
              <w:ind w:left="160"/>
              <w:spacing w:after="0"/>
              <w:rPr>
                <w:sz w:val="20"/>
                <w:szCs w:val="20"/>
                <w:color w:val="auto"/>
              </w:rPr>
            </w:pPr>
            <w:r>
              <w:rPr>
                <w:rFonts w:ascii="Courier New" w:cs="Courier New" w:eastAsia="Courier New" w:hAnsi="Courier New"/>
                <w:sz w:val="18"/>
                <w:szCs w:val="18"/>
                <w:color w:val="auto"/>
              </w:rPr>
              <w:t>Opinion of E. O. Robinson, Jr. as to the legality of the</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w:t>
            </w: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securities being registered hereby.</w:t>
            </w:r>
          </w:p>
        </w:tc>
        <w:tc>
          <w:tcPr>
            <w:tcW w:w="480" w:type="dxa"/>
            <w:vAlign w:val="bottom"/>
          </w:tcPr>
          <w:p>
            <w:pPr>
              <w:spacing w:after="0"/>
              <w:rPr>
                <w:sz w:val="17"/>
                <w:szCs w:val="17"/>
                <w:color w:val="auto"/>
              </w:rPr>
            </w:pPr>
          </w:p>
        </w:tc>
      </w:tr>
      <w:tr>
        <w:trPr>
          <w:trHeight w:val="405"/>
        </w:trPr>
        <w:tc>
          <w:tcPr>
            <w:tcW w:w="9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9"/>
              </w:rPr>
              <w:t>*23.1</w:t>
            </w:r>
          </w:p>
        </w:tc>
        <w:tc>
          <w:tcPr>
            <w:tcW w:w="7060" w:type="dxa"/>
            <w:vAlign w:val="bottom"/>
          </w:tcPr>
          <w:p>
            <w:pPr>
              <w:ind w:left="160"/>
              <w:spacing w:after="0"/>
              <w:rPr>
                <w:sz w:val="20"/>
                <w:szCs w:val="20"/>
                <w:color w:val="auto"/>
              </w:rPr>
            </w:pPr>
            <w:r>
              <w:rPr>
                <w:rFonts w:ascii="Courier New" w:cs="Courier New" w:eastAsia="Courier New" w:hAnsi="Courier New"/>
                <w:sz w:val="18"/>
                <w:szCs w:val="18"/>
                <w:color w:val="auto"/>
              </w:rPr>
              <w:t>Consent of E. O. Robinson, Jr. (filed as part of Exhibit 5).</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w:t>
            </w:r>
          </w:p>
        </w:tc>
      </w:tr>
      <w:tr>
        <w:trPr>
          <w:trHeight w:val="405"/>
        </w:trPr>
        <w:tc>
          <w:tcPr>
            <w:tcW w:w="90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9"/>
              </w:rPr>
              <w:t>*23.2</w:t>
            </w:r>
          </w:p>
        </w:tc>
        <w:tc>
          <w:tcPr>
            <w:tcW w:w="7060" w:type="dxa"/>
            <w:vAlign w:val="bottom"/>
          </w:tcPr>
          <w:p>
            <w:pPr>
              <w:ind w:left="160"/>
              <w:spacing w:after="0"/>
              <w:rPr>
                <w:sz w:val="20"/>
                <w:szCs w:val="20"/>
                <w:color w:val="auto"/>
              </w:rPr>
            </w:pPr>
            <w:r>
              <w:rPr>
                <w:rFonts w:ascii="Courier New" w:cs="Courier New" w:eastAsia="Courier New" w:hAnsi="Courier New"/>
                <w:sz w:val="18"/>
                <w:szCs w:val="18"/>
                <w:color w:val="auto"/>
              </w:rPr>
              <w:t>Consent of Arthur Andersen LLP, independent certified public</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19</w:t>
            </w:r>
          </w:p>
        </w:tc>
      </w:tr>
      <w:tr>
        <w:trPr>
          <w:trHeight w:val="203"/>
        </w:trPr>
        <w:tc>
          <w:tcPr>
            <w:tcW w:w="900" w:type="dxa"/>
            <w:vAlign w:val="bottom"/>
          </w:tcPr>
          <w:p>
            <w:pPr>
              <w:spacing w:after="0"/>
              <w:rPr>
                <w:sz w:val="17"/>
                <w:szCs w:val="17"/>
                <w:color w:val="auto"/>
              </w:rPr>
            </w:pPr>
          </w:p>
        </w:tc>
        <w:tc>
          <w:tcPr>
            <w:tcW w:w="7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accountants.</w:t>
            </w:r>
          </w:p>
        </w:tc>
        <w:tc>
          <w:tcPr>
            <w:tcW w:w="48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*24</w:t>
            </w:r>
          </w:p>
        </w:tc>
        <w:tc>
          <w:tcPr>
            <w:tcW w:w="7060" w:type="dxa"/>
            <w:vAlign w:val="bottom"/>
          </w:tcPr>
          <w:p>
            <w:pPr>
              <w:ind w:left="160"/>
              <w:spacing w:after="0"/>
              <w:rPr>
                <w:sz w:val="20"/>
                <w:szCs w:val="20"/>
                <w:color w:val="auto"/>
              </w:rPr>
            </w:pPr>
            <w:r>
              <w:rPr>
                <w:rFonts w:ascii="Courier New" w:cs="Courier New" w:eastAsia="Courier New" w:hAnsi="Courier New"/>
                <w:sz w:val="18"/>
                <w:szCs w:val="18"/>
                <w:color w:val="auto"/>
              </w:rPr>
              <w:t>Power of Attorney (included on page 6).</w:t>
            </w:r>
          </w:p>
        </w:tc>
        <w:tc>
          <w:tcPr>
            <w:tcW w:w="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Filed herewith</w:t>
      </w:r>
    </w:p>
    <w:p>
      <w:pPr>
        <w:sectPr>
          <w:pgSz w:w="11900" w:h="16838" w:orient="portrait"/>
          <w:cols w:equalWidth="0" w:num="1">
            <w:col w:w="10219"/>
          </w:cols>
          <w:pgMar w:left="240" w:top="717" w:right="1440" w:bottom="1440" w:gutter="0" w:footer="0" w:header="0"/>
        </w:sectPr>
      </w:pPr>
    </w:p>
    <w:bookmarkStart w:id="12" w:name="page13"/>
    <w:bookmarkEnd w:id="12"/>
    <w:p>
      <w:pPr>
        <w:ind w:left="30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142" w:right="1440" w:bottom="1440" w:gutter="0" w:footer="0" w:header="0"/>
        </w:sectPr>
      </w:pPr>
    </w:p>
    <w:bookmarkStart w:id="13" w:name="page14"/>
    <w:bookmarkEnd w:id="13"/>
    <w:p>
      <w:pPr>
        <w:jc w:val="right"/>
        <w:ind w:right="1779"/>
        <w:spacing w:after="0"/>
        <w:rPr>
          <w:sz w:val="20"/>
          <w:szCs w:val="20"/>
          <w:color w:val="auto"/>
        </w:rPr>
      </w:pPr>
      <w:r>
        <w:rPr>
          <w:rFonts w:ascii="Courier New" w:cs="Courier New" w:eastAsia="Courier New" w:hAnsi="Courier New"/>
          <w:sz w:val="18"/>
          <w:szCs w:val="18"/>
          <w:color w:val="auto"/>
        </w:rPr>
        <w:t>EXHIBIT 4.7</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BYLAWS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(Amended April 5, 1995)</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OFFICES</w:t>
      </w:r>
    </w:p>
    <w:p>
      <w:pPr>
        <w:spacing w:after="0" w:line="207" w:lineRule="exact"/>
        <w:rPr>
          <w:sz w:val="20"/>
          <w:szCs w:val="20"/>
          <w:color w:val="auto"/>
        </w:rPr>
      </w:pPr>
    </w:p>
    <w:p>
      <w:pPr>
        <w:ind w:right="2199" w:firstLine="632"/>
        <w:spacing w:after="0" w:line="237" w:lineRule="auto"/>
        <w:rPr>
          <w:sz w:val="20"/>
          <w:szCs w:val="20"/>
          <w:color w:val="auto"/>
        </w:rPr>
      </w:pPr>
      <w:r>
        <w:rPr>
          <w:rFonts w:ascii="Courier New" w:cs="Courier New" w:eastAsia="Courier New" w:hAnsi="Courier New"/>
          <w:sz w:val="18"/>
          <w:szCs w:val="18"/>
          <w:color w:val="auto"/>
        </w:rPr>
        <w:t>SECTION 1. Registered Office. The registered office of The Promus Companies Incorporated (the "Corporation") shall be at The Corporation Trust Center, 1209 Orange Street, in the City of Wilmington, County of New Castle, State of Delaware.</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 Other Offices. The Corporation may also have offices at such other places both within and without the State of Delaware as the Board of Directors of the Corporation (the "Board of Directors") may from time to time determine.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MEETINGS OF STOCKHOLDERS</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SECTION 1. Place of Meetings. Meetings of the stockholders for the election of directors or for any other purpose shall be held at such time and place, either within or without the State of Delaware as shall be designated from time to time by the Board of Directors and stated in the notice of the meeting or in a duly executed waiver of notice thereof.</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 Annual Meetings. The annual meeting of stockholders shall be held on the first Friday in May in each year or on such other date and at such time as may be fixed by the Board of Directors and stated in the notice of the meeting, for the purpose of electing directors and for the transaction of only such other business as is properly brought before the meeting in accordance with these Bylaws.</w:t>
      </w:r>
    </w:p>
    <w:p>
      <w:pPr>
        <w:spacing w:after="0" w:line="210"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Written notice of an annual meeting stating the place, date and hour of the meeting, shall be given to each stockholder entitled to vote at such meeting not less than ten nor more than sixty days before the date of the meeting.</w:t>
      </w:r>
    </w:p>
    <w:p>
      <w:pPr>
        <w:spacing w:after="0" w:line="178"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To be properly brought before the annual meeting, business must be either</w:t>
      </w:r>
    </w:p>
    <w:p>
      <w:pPr>
        <w:spacing w:after="0" w:line="21" w:lineRule="exact"/>
        <w:rPr>
          <w:sz w:val="20"/>
          <w:szCs w:val="20"/>
          <w:color w:val="auto"/>
        </w:rPr>
      </w:pPr>
    </w:p>
    <w:p>
      <w:pPr>
        <w:ind w:right="1879" w:firstLine="8"/>
        <w:spacing w:after="0" w:line="269" w:lineRule="auto"/>
        <w:tabs>
          <w:tab w:leader="none" w:pos="42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in the notice of annual meeting (or any supplement or amendment thereto) given by or at the direction of the Board of Directors, (ii) otherwise brought before the annual meeting by or at the direction of the Board of Directors, or (iii) otherwise properly brought before the annual meeting by a stockholder. In addition to any other applicable requirements, for business to be properly brought before an annual meeting by a stockholder, the stockholder must have given timely notice thereof in writing to the Secretary of the Corporation. To be timely, a stockholder's notice must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annual meeting is given or made to stockholders, notice by a stockholder, to be timely, must be received no later than the close of business on the tenth (10th) day following the day on which such notice of the date of the annual meeting was mailed or such public disclosure was made, whichever first occurs. A stockholder's notice to the Secretary shall set forth (a) as to each matter the stockholder proposes to bring before the annual meeting (i) a brief description of the business desired to be brought before the annual meeting and the reasons for conducting such business at the annual meeting, and (ii) any material interest of the stockholder in such business, and (b) as to the stockholder giving the notice</w:t>
      </w:r>
    </w:p>
    <w:p>
      <w:pPr>
        <w:spacing w:after="0" w:line="191" w:lineRule="exact"/>
        <w:rPr>
          <w:rFonts w:ascii="Courier New" w:cs="Courier New" w:eastAsia="Courier New" w:hAnsi="Courier New"/>
          <w:sz w:val="16"/>
          <w:szCs w:val="16"/>
          <w:color w:val="auto"/>
        </w:rPr>
      </w:pPr>
    </w:p>
    <w:p>
      <w:pPr>
        <w:ind w:right="1879" w:firstLine="8"/>
        <w:spacing w:after="0" w:line="236" w:lineRule="auto"/>
        <w:tabs>
          <w:tab w:leader="none" w:pos="4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and record address of the stockholder and (ii) the class, series and number of shares of capital stock of the Corporation which are beneficially owned by the stockholder. Notwithstanding anything</w:t>
      </w:r>
    </w:p>
    <w:p>
      <w:pPr>
        <w:sectPr>
          <w:pgSz w:w="11900" w:h="16838" w:orient="portrait"/>
          <w:cols w:equalWidth="0" w:num="1">
            <w:col w:w="10219"/>
          </w:cols>
          <w:pgMar w:left="240" w:top="136" w:right="1440" w:bottom="1440" w:gutter="0" w:footer="0" w:header="0"/>
        </w:sectPr>
      </w:pPr>
    </w:p>
    <w:bookmarkStart w:id="14" w:name="page15"/>
    <w:bookmarkEnd w:id="14"/>
    <w:p>
      <w:pPr>
        <w:ind w:left="4220"/>
        <w:spacing w:after="0"/>
        <w:rPr>
          <w:sz w:val="20"/>
          <w:szCs w:val="20"/>
          <w:color w:val="auto"/>
        </w:rPr>
      </w:pPr>
      <w:r>
        <w:rPr>
          <w:rFonts w:ascii="Courier New" w:cs="Courier New" w:eastAsia="Courier New" w:hAnsi="Courier New"/>
          <w:sz w:val="18"/>
          <w:szCs w:val="18"/>
          <w:color w:val="auto"/>
        </w:rPr>
        <w:t>9</w:t>
      </w:r>
    </w:p>
    <w:p>
      <w:pPr>
        <w:spacing w:after="0" w:line="200" w:lineRule="exact"/>
        <w:rPr>
          <w:sz w:val="20"/>
          <w:szCs w:val="20"/>
          <w:color w:val="auto"/>
        </w:rPr>
      </w:pPr>
    </w:p>
    <w:p>
      <w:pPr>
        <w:spacing w:after="0" w:line="3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these Bylaws to the contrary, no business shall be conducted at the annual meeting except in accordance with the procedures set forth in this Article II, Section 2. The officer of the Corporation presiding at an annual meeting shall, if the facts warrant, determine and declare to the annual meeting that business was not properly brought before the annual meeting in accordance with the provisions of this Article II, Section 2, and if such officer should so determine, such officer shall so declare to the annual meeting and any such business not properly brought before the meeting shall not be transacted.</w:t>
      </w:r>
    </w:p>
    <w:p>
      <w:pPr>
        <w:spacing w:after="0" w:line="212"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SECTION 3. Special Meetings. Unless otherwise prescribed by law or by the Certificate of Incorporation, special meetings of stockholders, for any purpose or purposes, may only be called by a majority of the entire Board of Directors or by the Chairman or the President.</w:t>
      </w:r>
    </w:p>
    <w:p>
      <w:pPr>
        <w:spacing w:after="0" w:line="207" w:lineRule="exact"/>
        <w:rPr>
          <w:sz w:val="20"/>
          <w:szCs w:val="20"/>
          <w:color w:val="auto"/>
        </w:rPr>
      </w:pPr>
    </w:p>
    <w:p>
      <w:pPr>
        <w:ind w:right="1779" w:firstLine="632"/>
        <w:spacing w:after="0" w:line="279" w:lineRule="auto"/>
        <w:rPr>
          <w:sz w:val="20"/>
          <w:szCs w:val="20"/>
          <w:color w:val="auto"/>
        </w:rPr>
      </w:pPr>
      <w:r>
        <w:rPr>
          <w:rFonts w:ascii="Courier New" w:cs="Courier New" w:eastAsia="Courier New" w:hAnsi="Courier New"/>
          <w:sz w:val="16"/>
          <w:szCs w:val="16"/>
          <w:color w:val="auto"/>
        </w:rPr>
        <w:t>Written notice of a special meeting stating the place, date and hour of the meeting, shall be given to each stockholder entitled to vote at such meeting not less than ten nor more than sixty days before the date of the meeting.</w:t>
      </w:r>
    </w:p>
    <w:p>
      <w:pPr>
        <w:spacing w:after="0" w:line="178"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4. Quorum. Except as otherwise provided by law or by the Certificate of Incorporation, the holders of a majority of the capital stock issued and outstanding and entitled to vote thereat, present in person or represented by proxy, shall constitute a quorum at all meetings of the stockholders for the transaction of business. If, however, such quorum shall not be present or represented at any meeting of the stockholders, the holders of a majority of the votes entitled to be cast by the stockholders entitled to vote thereat, present in person or represented by proxy may adjourn the meeting from time to time, without notice other than announcement at the meeting, until a quorum shall be present or represented by proxy. At such adjourned meeting at which a quorum shall be present or represented, any business may be transacted which might have been transacted at the meeting as originally noticed. If the adjournment is for more than thirty days, or if after the adjournment a new record date is fixed for the adjourned meeting, a notice of the adjourned meeting shall be given to each stockholder entitled to vote at the meeting.</w:t>
      </w:r>
    </w:p>
    <w:p>
      <w:pPr>
        <w:spacing w:after="0" w:line="38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5. Voting. Unless otherwise required by law, the Certificate of Incorporation or these Bylaws, any question brought before any meeting of stockholders shall be decided by the vote of the holders of a majority of the stock represented and entitled to vote thereat. Each stockholder represented at a meeting of stockholders shall be entitled to cast one vote for each share of the capital stock entitled to vote thereat held by such stockholder, unless otherwise provided by the Certificate of Incorporation. Such votes may be cast in person or by proxy but no proxy shall be voted after three years from its date, unless such proxy provides for a longer period. The Board of Directors, in its discretion, or the officer of the Corporation presiding at a meeting of stockholders, in his discretion, may require that any votes cast at such meeting shall be cast by written ballot.</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6. List of Stockholders Entitled to Vote. The officer of the Corporation who has charge of the stock ledger of the Corporation shall prepare and make, at least ten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 hours, for a period of at least ten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of the Corporation who is present.</w:t>
      </w:r>
    </w:p>
    <w:p>
      <w:pPr>
        <w:spacing w:after="0" w:line="208" w:lineRule="exact"/>
        <w:rPr>
          <w:sz w:val="20"/>
          <w:szCs w:val="20"/>
          <w:color w:val="auto"/>
        </w:rPr>
      </w:pPr>
    </w:p>
    <w:p>
      <w:pPr>
        <w:ind w:right="1999" w:firstLine="632"/>
        <w:spacing w:after="0" w:line="275" w:lineRule="auto"/>
        <w:rPr>
          <w:sz w:val="20"/>
          <w:szCs w:val="20"/>
          <w:color w:val="auto"/>
        </w:rPr>
      </w:pPr>
      <w:r>
        <w:rPr>
          <w:rFonts w:ascii="Courier New" w:cs="Courier New" w:eastAsia="Courier New" w:hAnsi="Courier New"/>
          <w:sz w:val="16"/>
          <w:szCs w:val="16"/>
          <w:color w:val="auto"/>
        </w:rPr>
        <w:t>SECTION 7. Stock Ledger. The stock ledger of the Corporation shall be the only evidence as to who are the stockholders entitled to examine the stock ledger, the list required by Section 6 of this Article II or the books of the Corporation, or to vote in person or by proxy at any meeting of stockholders.</w:t>
      </w:r>
    </w:p>
    <w:p>
      <w:pPr>
        <w:spacing w:after="0" w:line="177"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DIRECTORS</w:t>
      </w:r>
    </w:p>
    <w:p>
      <w:pPr>
        <w:spacing w:after="0" w:line="207" w:lineRule="exact"/>
        <w:rPr>
          <w:sz w:val="20"/>
          <w:szCs w:val="20"/>
          <w:color w:val="auto"/>
        </w:rPr>
      </w:pPr>
    </w:p>
    <w:p>
      <w:pPr>
        <w:ind w:right="1879" w:firstLine="632"/>
        <w:spacing w:after="0" w:line="275" w:lineRule="auto"/>
        <w:rPr>
          <w:sz w:val="20"/>
          <w:szCs w:val="20"/>
          <w:color w:val="auto"/>
        </w:rPr>
      </w:pPr>
      <w:r>
        <w:rPr>
          <w:rFonts w:ascii="Courier New" w:cs="Courier New" w:eastAsia="Courier New" w:hAnsi="Courier New"/>
          <w:sz w:val="16"/>
          <w:szCs w:val="16"/>
          <w:color w:val="auto"/>
        </w:rPr>
        <w:t>SECTION 1. Nomination of Directors. Nominations of persons for election to the Board of Directors of the Corporation at the annual meeting may be made at such meeting by or at the direction of the Board of Directors, by any committee or persons appointed by the Board of Directors or by any stockholder</w:t>
      </w:r>
    </w:p>
    <w:p>
      <w:pPr>
        <w:sectPr>
          <w:pgSz w:w="11900" w:h="16838" w:orient="portrait"/>
          <w:cols w:equalWidth="0" w:num="1">
            <w:col w:w="10219"/>
          </w:cols>
          <w:pgMar w:left="240" w:top="541" w:right="1440" w:bottom="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of the Corporation entitled to vote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36" w:right="1440" w:bottom="1440" w:gutter="0" w:footer="0" w:header="0"/>
        </w:sectPr>
      </w:pPr>
    </w:p>
    <w:bookmarkStart w:id="16" w:name="page17"/>
    <w:bookmarkEnd w:id="16"/>
    <w:p>
      <w:pPr>
        <w:ind w:right="1779"/>
        <w:spacing w:after="0" w:line="268" w:lineRule="auto"/>
        <w:rPr>
          <w:sz w:val="20"/>
          <w:szCs w:val="20"/>
          <w:color w:val="auto"/>
        </w:rPr>
      </w:pPr>
      <w:r>
        <w:rPr>
          <w:rFonts w:ascii="Courier New" w:cs="Courier New" w:eastAsia="Courier New" w:hAnsi="Courier New"/>
          <w:sz w:val="16"/>
          <w:szCs w:val="16"/>
          <w:color w:val="auto"/>
        </w:rPr>
        <w:t>the election of directors at the meeting who complies with the notice procedures set forth in this Article III, Section 1. Such nominations by any stockholder shall be made pursuant to timely notice in writing to the Secretary of the Corporation. To be timely, a stockholder's notice shall be delivered to or mailed and received at the principal executive offices of the Corporation not less than sixty (60) days nor more than ninety (90) days prior to the meeting; provided, however, that in the event that less than seventy (70) days notice or prior public disclosure of the date of the meeting is given or made to stockholders, notice by the stockholder, to be timely, must be received no later than the close of business on the tenth (10th) day following the day on which such notice of the date of the meeting was mailed or such public disclosure was made, whichever first occurs. Such stockholder's notice to the Secretary shall set forth (i) as to each person whom the stockholder proposes to nominate for election or reelection as a director, (a) the name, age, business address and residence address of the person, (b) the principal occupation or employment of the person, (c) the class and number of shares of capital stock of the Corporation which are beneficially owned by the person, and (d) any other information relating to the person that is required to be disclosed in solicitations for proxies for election of directors pursuant to the Rules and Regulations of the Securities and Exchange Commission under Section 14 of the Securities Exchange Act of 1934, as amended; and (ii) as to the stockholder giving the notice (a) the name and record address of the stockholder and (b) the class and number of shares of capital stock of the Corporation which are beneficially owned by the stockholder. The Corporation may require any proposed nominee to furnish such other information as may reasonably be required by the Corporation to determine the eligibility of such proposed nominee to serve as a director of the Corporation. No person shall be eligible for election as a director of the Corporation unless nominated in accordance with the procedures set forth herein. The officer of the Corporation presiding at an annual meeting shall, if the facts warrant, determine and declare to the meeting that a nomination was not made in accordance with the foregoing procedure, and if he should so determine, he shall so declare to the meeting and the defective nomination shall be disregarded. The directors shall be elected at the annual meeting of the stockholders, except as provided in the Certificate of Incorporation, and each director elected shall hold office until his successor is elected and qualified; provided, however, that unless otherwise restricted by the Certificate of Incorporation or by law, any director or the entire Board of Directors may be removed, either with or without cause, from the Board of Directors at any meeting of stockholders by a majority of the stock represented and entitled to vote thereat.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2. Meetings. The Board of Directors of the Corporation may hold meetings, both regular and special, either within or without the State of Delaware. Regular meetings of the Board</w:t>
      </w:r>
    </w:p>
    <w:p>
      <w:pPr>
        <w:spacing w:after="0" w:line="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of Directors may be held without notice at such time and at such place as may from time to time be determined by the Board of Directors. Special meetings of the Board of Directors may be called by the Chairman of the Board or the President or a majority of the entire Board of Directors. Notice thereof stating the place, date and hour of the meeting shall be given to each director either by mail not less than forty-eight (48) hours before the date of the meeting, by telephone or telegram on twenty-four (24) hours' notice, or on such shorter notice as the person or persons calling such meeting may deem necessary or appropriate in the circumstances.</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 Quorum. Except as may be otherwise specifically provided by law, the Certificate of Incorporation or these Bylaws, at all meetings of the Board of Directors, a majority of the entire Board of Directors shall constitute a quorum for the transaction of business and the act of a majority of the directors present at any meeting at which there is a quorum shall be the act of the Board of Directors. If a quorum shall not be present at any meeting of the Board of Directors, a majority of the directors present thereat may adjourn the meeting from time to time, without notice other than announcement at the meeting, until a quorum shall be present.</w:t>
      </w: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4. Actions of Board of Directors. Unless otherwise provided by the Certificate of Incorporation or these Bylaws, any action required or permitted to be taken at any meeting of the Board of Directors or of any committee thereof may be taken without a meeting, if all the members of the Board of Directors or committee, as the case may be, consent thereto in writing, and the writing or writings are filed with the minutes of proceedings of the Board of Directors or committee.</w:t>
      </w:r>
    </w:p>
    <w:p>
      <w:pPr>
        <w:spacing w:after="0" w:line="211" w:lineRule="exact"/>
        <w:rPr>
          <w:sz w:val="20"/>
          <w:szCs w:val="20"/>
          <w:color w:val="auto"/>
        </w:rPr>
      </w:pPr>
    </w:p>
    <w:p>
      <w:pPr>
        <w:ind w:right="1779" w:firstLine="632"/>
        <w:spacing w:after="0" w:line="271" w:lineRule="auto"/>
        <w:rPr>
          <w:sz w:val="20"/>
          <w:szCs w:val="20"/>
          <w:color w:val="auto"/>
        </w:rPr>
      </w:pPr>
      <w:r>
        <w:rPr>
          <w:rFonts w:ascii="Courier New" w:cs="Courier New" w:eastAsia="Courier New" w:hAnsi="Courier New"/>
          <w:sz w:val="16"/>
          <w:szCs w:val="16"/>
          <w:color w:val="auto"/>
        </w:rPr>
        <w:t>SECTION 5. Meetings by Means of Conference Telephone. Unless otherwise provided by the Certificate of Incorporation or these Bylaws, members of the Board of Directors of the Corporation, or any committee designated by the Board of Directors, may participate in a meeting of the Board of Directors or such committee by means of a conference telephone or similar communications equipment by means of which all persons participating in the meeting can hear each other, and participation in a meeting pursuant to this Section 5 of Article III shall</w:t>
      </w:r>
    </w:p>
    <w:p>
      <w:pPr>
        <w:sectPr>
          <w:pgSz w:w="11900" w:h="16838" w:orient="portrait"/>
          <w:cols w:equalWidth="0" w:num="1">
            <w:col w:w="10219"/>
          </w:cols>
          <w:pgMar w:left="240" w:top="520" w:right="1440" w:bottom="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constitute presence in person at such meeting.</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6. Committees. The Board of Directors may, by resolution passed by a majority of the entire Board of Directors, designate one or more committees, each committee to consist of one or more of the directors of the</w:t>
      </w:r>
    </w:p>
    <w:p>
      <w:pPr>
        <w:spacing w:after="0" w:line="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36" w:right="1440" w:bottom="1440" w:gutter="0" w:footer="0" w:header="0"/>
        </w:sectPr>
      </w:pPr>
    </w:p>
    <w:bookmarkStart w:id="18" w:name="page19"/>
    <w:bookmarkEnd w:id="18"/>
    <w:p>
      <w:pPr>
        <w:ind w:right="1779"/>
        <w:spacing w:after="0" w:line="270" w:lineRule="auto"/>
        <w:rPr>
          <w:sz w:val="20"/>
          <w:szCs w:val="20"/>
          <w:color w:val="auto"/>
        </w:rPr>
      </w:pPr>
      <w:r>
        <w:rPr>
          <w:rFonts w:ascii="Courier New" w:cs="Courier New" w:eastAsia="Courier New" w:hAnsi="Courier New"/>
          <w:sz w:val="16"/>
          <w:szCs w:val="16"/>
          <w:color w:val="auto"/>
        </w:rPr>
        <w:t>Corporation. The Board of Directors may designate one or more directors as alternate members of any committee, who may replace any absent or disqualified member at any meeting of any such committee.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he or they constitute a quorum, may unanimously appoint another member of the Board of Directors to act at the meeting in the place of any absent or disqualified member. Any committee, to the extent allowed by law and provided in the resolution establishing such committee, shall have and may exercise all the powers and authority of the Board of Directors in the management of the business and affairs of the Corporation. Each committee shall keep regular minutes and report to the Board of Directors when required.</w:t>
      </w:r>
    </w:p>
    <w:p>
      <w:pPr>
        <w:spacing w:after="0" w:line="18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7. Compensation.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211"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8. Interested Directors.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his or their votes are counted for such purpose if (i) the material facts as to his or their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his or their relationship or interest and as to the contract or transaction are disclosed or are known to the shareholder entitled to vote thereon, and the contract or transaction is specifically approved in good faith by vote of the shareholders; or (iii) the contract or transaction is fair as to the Corporation as of the time it is authorized, approved or ratified, by the Board of Directors, a committee thereof or the shareholders. Common or interested directors may be counted in determining the presence of a quorum at a meeting of the Board of Directors or of a committee which authorizes the contract or transaction.</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OFFICERS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 General. The officers of the Corporation shall be chosen by the Board of Directors and shall be a President, a Secretary and a Treasurer. The Board of Directors, in its discretion, may also choose a Chairman of the Board of Directors (who must be a director) and one or more Vice Presidents, Assistant Secretaries, Assistant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Chairman of the Board of Directors, need such officers be directors of the Corporation.</w:t>
      </w:r>
    </w:p>
    <w:p>
      <w:pPr>
        <w:spacing w:after="0" w:line="215"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 Election. The Board of Directors at its first meeting held after each annual meeting of stockholders shall elect the officers of the Corporation who shall hold their offices for such terms and shall exercise such powers and perform such duties as shall be determined from time to time by the Board of Directors; and all officers of the Corporation shall hold office until their successors are chosen and qualified, or until their earlier resignation or removal. Any officer elected by the Board of Directors may be removed at any time by the affirmative vote of a majority of the Board of Directors. Any vacancy occurring in any office of the Corporation shall be filled by the Board of Directors. The salaries of all officers who are directors of the Corporation shall be fixed by the Board of Directors.</w:t>
      </w:r>
    </w:p>
    <w:p>
      <w:pPr>
        <w:spacing w:after="0" w:line="216"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SECTION 3. Voting Securities Owned by the Corporation. Powers of attorney, proxies, waivers of notice of meeting, consents and other instruments relating to securities owned by the Corporation may be executed in the name of and on behalf of the Corporation by the President or any Vice President and any such officer may, in the name and on behalf of the Corporation, take all such action as any such officer may deem advisable to vote in person or by proxy</w:t>
      </w:r>
    </w:p>
    <w:p>
      <w:pPr>
        <w:sectPr>
          <w:pgSz w:w="11900" w:h="16838" w:orient="portrait"/>
          <w:cols w:equalWidth="0" w:num="1">
            <w:col w:w="10219"/>
          </w:cols>
          <w:pgMar w:left="240" w:top="520" w:right="1440" w:bottom="0" w:gutter="0" w:footer="0" w:header="0"/>
        </w:sectPr>
      </w:pPr>
    </w:p>
    <w:bookmarkStart w:id="19" w:name="page20"/>
    <w:bookmarkEnd w:id="19"/>
    <w:p>
      <w:pPr>
        <w:ind w:left="22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019"/>
          </w:cols>
          <w:pgMar w:left="1440" w:top="339" w:right="1440" w:bottom="1440" w:gutter="0" w:footer="0" w:header="0"/>
        </w:sectPr>
      </w:pPr>
    </w:p>
    <w:bookmarkStart w:id="20" w:name="page21"/>
    <w:bookmarkEnd w:id="20"/>
    <w:p>
      <w:pPr>
        <w:ind w:right="1779"/>
        <w:spacing w:after="0" w:line="237" w:lineRule="auto"/>
        <w:rPr>
          <w:sz w:val="20"/>
          <w:szCs w:val="20"/>
          <w:color w:val="auto"/>
        </w:rPr>
      </w:pPr>
      <w:r>
        <w:rPr>
          <w:rFonts w:ascii="Courier New" w:cs="Courier New" w:eastAsia="Courier New" w:hAnsi="Courier New"/>
          <w:sz w:val="18"/>
          <w:szCs w:val="18"/>
          <w:color w:val="auto"/>
        </w:rPr>
        <w:t>at any meeting of security holders of any corporation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4. Chairman of the Board of Directors. The Chairman of the Board of Directors, if there be one, shall preside at all meetings of the stockholders and of the Board of Directors. Except where by law the signature of the President is required, the Chairman of the Board of Directors shall possess the same power as the President to sign all contracts, certificates and other instruments of the Corporation which may be authorized by the Board of Directors. During the absence or disability of the President, the Chairman of the Board of Directors shall exercise all the powers and discharge all the duties of the President. The Chairman of the Board of Directors shall also perform such other duties and may exercise such other powers as from time to time may be assigned to him by these Bylaws or by the Board of Directors.</w:t>
      </w:r>
    </w:p>
    <w:p>
      <w:pPr>
        <w:spacing w:after="0" w:line="216" w:lineRule="exact"/>
        <w:rPr>
          <w:sz w:val="20"/>
          <w:szCs w:val="20"/>
          <w:color w:val="auto"/>
        </w:rPr>
      </w:pPr>
    </w:p>
    <w:p>
      <w:pPr>
        <w:ind w:right="1779" w:firstLine="632"/>
        <w:spacing w:after="0" w:line="268" w:lineRule="auto"/>
        <w:rPr>
          <w:sz w:val="20"/>
          <w:szCs w:val="20"/>
          <w:color w:val="auto"/>
        </w:rPr>
      </w:pPr>
      <w:r>
        <w:rPr>
          <w:rFonts w:ascii="Courier New" w:cs="Courier New" w:eastAsia="Courier New" w:hAnsi="Courier New"/>
          <w:sz w:val="16"/>
          <w:szCs w:val="16"/>
          <w:color w:val="auto"/>
        </w:rPr>
        <w:t>SECTION 5. President. The President shall, subject to the control of the Board of Directors and, if there be one, the Chairman of the Board of Directors, have general supervision of the business of the Corporation and shall see that all orders and resolutions of the Board of Directors are carried into effect.</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He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In the absence or disability of the Chairman of the Board of Directors, or if there be none, the President shall preside at all meetings of the stockholders and the Board of Directors. The President shall also perform such other duties and may exercise such other powers as from time to time may be assigned to him by these Bylaws or by the Board of Directors.</w:t>
      </w:r>
    </w:p>
    <w:p>
      <w:pPr>
        <w:spacing w:after="0" w:line="215"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6. Vice Presidents. At the request of the President or in his absence or in the event of his inability or refusal to act (and if there be no Chairman of the Board of Directors), the Vice President or the Vice Presidents if there is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be no Chairman of the Board of Directors and no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w:t>
      </w:r>
    </w:p>
    <w:p>
      <w:pPr>
        <w:spacing w:after="0" w:line="38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7. Secretary. The Secretary shall attend all meetings of the Board of Directors and all meetings of stockholders and record all the proceedings thereat in a book or books to be kept for that purpose; the Secretary shall also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President, under whose supervision he shall be.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the affixing by his signature. The Secretary shall see that all books, reports, statements, certificates and other documents and records required by law to be kept or filed are properly kept or filed, as the case may be.</w:t>
      </w:r>
    </w:p>
    <w:p>
      <w:pPr>
        <w:spacing w:after="0" w:line="210"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SECTION 8.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taking proper vouchers for such disbursements, and shall render to the President and the Board of Directors, at its regular meetings, or when the Board of Directors so requires, an account of</w:t>
      </w:r>
    </w:p>
    <w:p>
      <w:pPr>
        <w:sectPr>
          <w:pgSz w:w="11900" w:h="16838" w:orient="portrait"/>
          <w:cols w:equalWidth="0" w:num="1">
            <w:col w:w="10219"/>
          </w:cols>
          <w:pgMar w:left="240" w:top="520" w:right="1440" w:bottom="0" w:gutter="0" w:footer="0" w:header="0"/>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rPr>
        <w:t>all his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w:t>
      </w: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142" w:right="1440" w:bottom="1440" w:gutter="0" w:footer="0" w:header="0"/>
        </w:sectPr>
      </w:pPr>
    </w:p>
    <w:bookmarkStart w:id="22" w:name="page23"/>
    <w:bookmarkEnd w:id="22"/>
    <w:p>
      <w:pPr>
        <w:ind w:right="1779"/>
        <w:spacing w:after="0" w:line="236" w:lineRule="auto"/>
        <w:rPr>
          <w:sz w:val="20"/>
          <w:szCs w:val="20"/>
          <w:color w:val="auto"/>
        </w:rPr>
      </w:pPr>
      <w:r>
        <w:rPr>
          <w:rFonts w:ascii="Courier New" w:cs="Courier New" w:eastAsia="Courier New" w:hAnsi="Courier New"/>
          <w:sz w:val="18"/>
          <w:szCs w:val="18"/>
          <w:color w:val="auto"/>
        </w:rPr>
        <w:t>his death, resignation, retirement or removal from office, of all books, papers, vouchers, money and other property of whatever kind in his possession or under his control belonging to the Corporation.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9. Assistant Secretaries. Except as may be otherwise provided in these Bylaws, Assistant Secretaries, if there be any, shall perform such duties and have such powers as from time to time may be assigned to them by the Board of Directors, the President, any Vice President, if there be one, or the Secretary, and in the absence of the Secretary or in the event of his disability or refusal to act, shall perform the duties of the Secretary, and when so acting, shall have all the powers of and be subject to all the restrictions upon the Secretary.</w:t>
      </w:r>
    </w:p>
    <w:p>
      <w:pPr>
        <w:spacing w:after="0" w:line="212"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SECTION 10. Assistant Treasurers. Assistant Treasurers, if there be any, shall perform such duties and have such powers as from time to time may be assigned to them by the Board of Directors, the President, any Vice President, if there be one, or the Treasurer, and in the absence of the Treasurer or in the event of his disability or refusal to act, shall perform the duties of the Treasurer, and when so acting, shall have all the powers of and be subject to all the restrictions upon the Treasurer. If required by the Board of Directors, an Assistant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389"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11. Controller. The Controller shall establish and maintain the accounting records of the Corporation in accordance with generally accepted accounting principles applied on a consistent basis, maintain proper internal control of the assets of the Corporation and shall perform such other duties as the Board of Directors, the President or any Vice President of the Corporation may prescribe.</w:t>
      </w:r>
    </w:p>
    <w:p>
      <w:pPr>
        <w:spacing w:after="0" w:line="210" w:lineRule="exact"/>
        <w:rPr>
          <w:sz w:val="20"/>
          <w:szCs w:val="20"/>
          <w:color w:val="auto"/>
        </w:rPr>
      </w:pPr>
    </w:p>
    <w:p>
      <w:pPr>
        <w:ind w:right="1779" w:firstLine="632"/>
        <w:spacing w:after="0" w:line="273" w:lineRule="auto"/>
        <w:rPr>
          <w:sz w:val="20"/>
          <w:szCs w:val="20"/>
          <w:color w:val="auto"/>
        </w:rPr>
      </w:pPr>
      <w:r>
        <w:rPr>
          <w:rFonts w:ascii="Courier New" w:cs="Courier New" w:eastAsia="Courier New" w:hAnsi="Courier New"/>
          <w:sz w:val="16"/>
          <w:szCs w:val="16"/>
          <w:color w:val="auto"/>
        </w:rPr>
        <w:t>SECTION 12. Other Officers.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7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STOCK</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 Form of Certificates. Every holder of stock in the Corporation shall be entitled to have a certificate signed, in the name of the Corporation (i) by the Chairman of the Board of Directors, the President or a Vice President and (ii) by the Treasurer or an Assistant Treasurer, or the Secretary or an Assistant Secretary of the Corporation, certifying the number of shares owned by him in the Corporation.</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2. Signatures. Any or all of the signatures on the certificate may be a facsimile, including, but not limited to, signatures of officers of the Corporation and countersignatures of a transfer agent or registrar.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were such officer, transfer agent or registrar at the date of issue.</w:t>
      </w:r>
    </w:p>
    <w:p>
      <w:pPr>
        <w:spacing w:after="0" w:line="212"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3. Lost Certificates. The Board of Directors may direct a new certificate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the Board of Directors may, in its discretion and as a condition precedent to the issuance thereof, require the owner of such lost, stolen or destroyed certificate, or his legal representative, to advertise the same in such manner as the Board of Directors shall require and/or to give the Corporation a bond in such sum as it may direct as indemnity against any claim that may be made against the Corporation with respect to the certificate alleged to have been lost, stolen or destroyed.</w:t>
      </w:r>
    </w:p>
    <w:p>
      <w:pPr>
        <w:spacing w:after="0" w:line="207"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SECTION 4. Transfers. Stock of the Corporation shall be transferable in the manner prescribed by law and in these Bylaws. Transfers of stock shall be made on the books of the Corporation only by the person named in the</w:t>
      </w:r>
    </w:p>
    <w:p>
      <w:pPr>
        <w:sectPr>
          <w:pgSz w:w="11900" w:h="16838" w:orient="portrait"/>
          <w:cols w:equalWidth="0" w:num="1">
            <w:col w:w="10219"/>
          </w:cols>
          <w:pgMar w:left="240" w:top="520" w:right="1440" w:bottom="364" w:gutter="0" w:footer="0" w:header="0"/>
        </w:sectPr>
      </w:pPr>
    </w:p>
    <w:bookmarkStart w:id="23" w:name="page24"/>
    <w:bookmarkEnd w:id="23"/>
    <w:p>
      <w:pPr>
        <w:ind w:left="29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019"/>
          </w:cols>
          <w:pgMar w:left="1440" w:top="547" w:right="1440" w:bottom="1440" w:gutter="0" w:footer="0" w:header="0"/>
        </w:sectPr>
      </w:pPr>
    </w:p>
    <w:bookmarkStart w:id="24" w:name="page25"/>
    <w:bookmarkEnd w:id="24"/>
    <w:p>
      <w:pPr>
        <w:ind w:right="2199"/>
        <w:spacing w:after="0" w:line="236" w:lineRule="auto"/>
        <w:rPr>
          <w:sz w:val="20"/>
          <w:szCs w:val="20"/>
          <w:color w:val="auto"/>
        </w:rPr>
      </w:pPr>
      <w:r>
        <w:rPr>
          <w:rFonts w:ascii="Courier New" w:cs="Courier New" w:eastAsia="Courier New" w:hAnsi="Courier New"/>
          <w:sz w:val="18"/>
          <w:szCs w:val="18"/>
          <w:color w:val="auto"/>
        </w:rPr>
        <w:t>certificate or by his attorney lawfully constituted in writing and upon the surrender of the certificate therefor, which shall be cancelled before a new certificate shall be issued.</w:t>
      </w:r>
    </w:p>
    <w:p>
      <w:pPr>
        <w:spacing w:after="0" w:line="209"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SECTION 5. Record Date. In order that the Corporation may determine the stockholders entitled to notice of or to vote at any meeting of stockholders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days nor less than ten days before the date of such meeting, nor more than sixty days prior to any other action. 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6. Beneficial Owners.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law.</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 Notices. Whenever written notice is required by law, the Certificate of Incorporation or these Bylaws, to be given to any director, member of a committee or stockholder, such notice may be given by mail, addressed to such director, member of a committee or stockholder, at his address as it appears on the records of the Corporation, with postage thereon prepaid, and such notice shall be deemed to be given at the time when the same shall be deposited in the United States mail. Written notice may also be given personally or by telegram, telex or cable.</w:t>
      </w:r>
    </w:p>
    <w:p>
      <w:pPr>
        <w:spacing w:after="0" w:line="212"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SECTION 2. Waivers of Notice. Whenever any notice is required by law, the Certificate of Incorporation or these Bylaws, to be given to any director, member of a committee or stockholder, a waiver thereof in writing, signed, by the person or persons entitled to said notice, whether before or after the time stated therein, shall be deemed equivalent thereto.</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GENERAL PROVISIONS</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1. Dividends. Dividends upon the capital stock of the Corporation, subject to the provisions of the Certificate of Incorporation, if any, may be declared by the Board of Directors at any regular or special meeting, and may be paid in cash, in property, or in shares of the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equalizing dividends, or for repairing or maintaining any property of the Corporation, or for any proper purpose, and the Board of Directors may modify or abolish any such reserve.</w:t>
      </w:r>
    </w:p>
    <w:p>
      <w:pPr>
        <w:spacing w:after="0" w:line="215" w:lineRule="exact"/>
        <w:rPr>
          <w:sz w:val="20"/>
          <w:szCs w:val="20"/>
          <w:color w:val="auto"/>
        </w:rPr>
      </w:pPr>
    </w:p>
    <w:p>
      <w:pPr>
        <w:ind w:right="1779" w:firstLine="632"/>
        <w:spacing w:after="0" w:line="236" w:lineRule="auto"/>
        <w:rPr>
          <w:sz w:val="20"/>
          <w:szCs w:val="20"/>
          <w:color w:val="auto"/>
        </w:rPr>
      </w:pPr>
      <w:r>
        <w:rPr>
          <w:rFonts w:ascii="Courier New" w:cs="Courier New" w:eastAsia="Courier New" w:hAnsi="Courier New"/>
          <w:sz w:val="18"/>
          <w:szCs w:val="18"/>
          <w:color w:val="auto"/>
        </w:rPr>
        <w:t>SECTION 2. Disbursements. All checks or demands for money and notes of the Corporation shall be signed by such officer or officers or such other person or persons as the Board of Directors may from time to time designate.</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SECTION 3. Fiscal Year. The fiscal year of the Corporation shall end on the Friday nearest December 31 and the following fiscal year shall commence on the Saturday following the aforesaid Friday, unless the fiscal year is otherwise fixed by affirmative resolution of the entire Board of Directors.*</w:t>
      </w:r>
    </w:p>
    <w:p>
      <w:pPr>
        <w:sectPr>
          <w:pgSz w:w="11900" w:h="16838" w:orient="portrait"/>
          <w:cols w:equalWidth="0" w:num="1">
            <w:col w:w="10219"/>
          </w:cols>
          <w:pgMar w:left="240" w:top="520" w:right="1440" w:bottom="970" w:gutter="0" w:footer="0" w:header="0"/>
        </w:sectPr>
      </w:pPr>
    </w:p>
    <w:bookmarkStart w:id="25" w:name="page26"/>
    <w:bookmarkEnd w:id="25"/>
    <w:p>
      <w:pPr>
        <w:ind w:left="29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019"/>
          </w:cols>
          <w:pgMar w:left="1440" w:top="344" w:right="1440" w:bottom="1440" w:gutter="0" w:footer="0" w:header="0"/>
        </w:sectPr>
      </w:pPr>
    </w:p>
    <w:bookmarkStart w:id="26" w:name="page27"/>
    <w:bookmarkEnd w:id="26"/>
    <w:p>
      <w:pPr>
        <w:ind w:right="2099" w:firstLine="632"/>
        <w:spacing w:after="0" w:line="237" w:lineRule="auto"/>
        <w:rPr>
          <w:sz w:val="20"/>
          <w:szCs w:val="20"/>
          <w:color w:val="auto"/>
        </w:rPr>
      </w:pPr>
      <w:r>
        <w:rPr>
          <w:rFonts w:ascii="Courier New" w:cs="Courier New" w:eastAsia="Courier New" w:hAnsi="Courier New"/>
          <w:sz w:val="18"/>
          <w:szCs w:val="18"/>
          <w:color w:val="auto"/>
        </w:rPr>
        <w:t>SECTION 4. Corporate Seal. The corporate seal shall have inscribed thereon the name of the Corporation and the words "Corporate Seal, Delaware". The seal may be used by causing it or a facsimile thereof to be impressed or affixed or reproduced or otherwise.</w:t>
      </w:r>
    </w:p>
    <w:p>
      <w:pPr>
        <w:sectPr>
          <w:pgSz w:w="11900" w:h="16838" w:orient="portrait"/>
          <w:cols w:equalWidth="0" w:num="1">
            <w:col w:w="10219"/>
          </w:cols>
          <w:pgMar w:left="240" w:top="520" w:right="1440" w:bottom="1440" w:gutter="0" w:footer="0" w:header="0"/>
        </w:sectPr>
      </w:pPr>
    </w:p>
    <w:bookmarkStart w:id="27" w:name="page28"/>
    <w:bookmarkEnd w:id="27"/>
    <w:p>
      <w:pPr>
        <w:ind w:left="29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019"/>
          </w:cols>
          <w:pgMar w:left="1440" w:top="952" w:right="1440" w:bottom="1440" w:gutter="0" w:footer="0" w:header="0"/>
        </w:sectPr>
      </w:pPr>
    </w:p>
    <w:bookmarkStart w:id="28" w:name="page29"/>
    <w:bookmarkEnd w:id="28"/>
    <w:p>
      <w:pPr>
        <w:jc w:val="both"/>
        <w:ind w:left="632" w:right="2419" w:hanging="632"/>
        <w:spacing w:after="0" w:line="236"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October 25, 1991, the Board of Directors of the Company adopted a resolution changing the Company's fiscal year end to a calendar year commencing with the year 1992.</w:t>
      </w:r>
    </w:p>
    <w:p>
      <w:pPr>
        <w:sectPr>
          <w:pgSz w:w="11900" w:h="16838" w:orient="portrait"/>
          <w:cols w:equalWidth="0" w:num="1">
            <w:col w:w="10211"/>
          </w:cols>
          <w:pgMar w:left="248" w:top="520" w:right="1440" w:bottom="1440" w:gutter="0" w:footer="0" w:header="0"/>
        </w:sectPr>
      </w:pPr>
    </w:p>
    <w:bookmarkStart w:id="29" w:name="page30"/>
    <w:bookmarkEnd w:id="29"/>
    <w:p>
      <w:pPr>
        <w:ind w:left="29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344" w:right="1440" w:bottom="1440" w:gutter="0" w:footer="0" w:header="0"/>
        </w:sectPr>
      </w:pPr>
    </w:p>
    <w:bookmarkStart w:id="30" w:name="page31"/>
    <w:bookmarkEnd w:id="30"/>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May 31,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Promus Companies Incorporated</w:t>
      </w:r>
    </w:p>
    <w:p>
      <w:pPr>
        <w:spacing w:after="0" w:line="238" w:lineRule="auto"/>
        <w:rPr>
          <w:sz w:val="20"/>
          <w:szCs w:val="20"/>
          <w:color w:val="auto"/>
        </w:rPr>
      </w:pPr>
      <w:r>
        <w:rPr>
          <w:rFonts w:ascii="Courier New" w:cs="Courier New" w:eastAsia="Courier New" w:hAnsi="Courier New"/>
          <w:sz w:val="18"/>
          <w:szCs w:val="18"/>
          <w:color w:val="auto"/>
        </w:rPr>
        <w:t>1023 Cherry Road</w:t>
      </w:r>
    </w:p>
    <w:p>
      <w:pPr>
        <w:spacing w:after="0"/>
        <w:rPr>
          <w:sz w:val="20"/>
          <w:szCs w:val="20"/>
          <w:color w:val="auto"/>
        </w:rPr>
      </w:pPr>
      <w:r>
        <w:rPr>
          <w:rFonts w:ascii="Courier New" w:cs="Courier New" w:eastAsia="Courier New" w:hAnsi="Courier New"/>
          <w:sz w:val="18"/>
          <w:szCs w:val="18"/>
          <w:color w:val="auto"/>
        </w:rPr>
        <w:t>Memphis, TN 38117</w:t>
      </w:r>
    </w:p>
    <w:p>
      <w:pPr>
        <w:spacing w:after="0" w:line="206" w:lineRule="exact"/>
        <w:rPr>
          <w:sz w:val="20"/>
          <w:szCs w:val="20"/>
          <w:color w:val="auto"/>
        </w:rPr>
      </w:pPr>
    </w:p>
    <w:p>
      <w:pPr>
        <w:ind w:left="1060" w:right="4319" w:hanging="519"/>
        <w:spacing w:after="0" w:line="268" w:lineRule="auto"/>
        <w:tabs>
          <w:tab w:leader="none" w:pos="1040" w:val="left"/>
        </w:tabs>
        <w:rPr>
          <w:sz w:val="20"/>
          <w:szCs w:val="20"/>
          <w:color w:val="auto"/>
        </w:rPr>
      </w:pPr>
      <w:r>
        <w:rPr>
          <w:rFonts w:ascii="Courier New" w:cs="Courier New" w:eastAsia="Courier New" w:hAnsi="Courier New"/>
          <w:sz w:val="16"/>
          <w:szCs w:val="16"/>
          <w:color w:val="auto"/>
        </w:rPr>
        <w:t>Re:</w:t>
        <w:tab/>
        <w:t>Common Stock, Par Value $0.10 Per Share of The Promus Companies Incorporated (the "Company")</w:t>
      </w:r>
    </w:p>
    <w:p>
      <w:pPr>
        <w:ind w:left="1060"/>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7" w:lineRule="exact"/>
        <w:rPr>
          <w:sz w:val="20"/>
          <w:szCs w:val="20"/>
          <w:color w:val="auto"/>
        </w:rPr>
      </w:pPr>
    </w:p>
    <w:p>
      <w:pPr>
        <w:ind w:right="1779" w:firstLine="1053"/>
        <w:spacing w:after="0" w:line="237" w:lineRule="auto"/>
        <w:rPr>
          <w:sz w:val="20"/>
          <w:szCs w:val="20"/>
          <w:color w:val="auto"/>
        </w:rPr>
      </w:pPr>
      <w:r>
        <w:rPr>
          <w:rFonts w:ascii="Courier New" w:cs="Courier New" w:eastAsia="Courier New" w:hAnsi="Courier New"/>
          <w:sz w:val="18"/>
          <w:szCs w:val="18"/>
          <w:color w:val="auto"/>
        </w:rPr>
        <w:t>I am General Counsel of the Company. At your request, I have examined the Form S-8 Registration Statement (the "Registration Statement") which you intend to file with the Securities and Exchange Commission in connection with the registration under the Securities Act of 1933, as amended, of 500,000 shares of Common Stock, par value $0.10 per share (the "Shares"), issuable pursuant to the Company's 1990 Restricted Stock Plan, as amended as of April 5, 1995 (the "Plan").</w:t>
      </w:r>
    </w:p>
    <w:p>
      <w:pPr>
        <w:spacing w:after="0" w:line="211"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The Shares will be issued under the Plan in accordance with the terms of said Plan. I am familiar with the proceedings undertaken in connection with the authorization and issuance of the Shares under the Plan. Additionally, I have examined such questions of law and fact as I have considered necessary or appropriate for purposes of this opinion.</w:t>
      </w:r>
    </w:p>
    <w:p>
      <w:pPr>
        <w:spacing w:after="0" w:line="209"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Based upon the foregoing, I am of the opinion that the Shares have been duly authorized, and upon the issuance of Shares under the terms of the Plan and delivery and payment therefor of consideration set forth in the Delaware General Corporation Law at least equal to the aggregate par value of the Shares issued, such Shares will be validly issued, fully paid and nonassessable.</w:t>
      </w:r>
    </w:p>
    <w:p>
      <w:pPr>
        <w:spacing w:after="0" w:line="210" w:lineRule="exact"/>
        <w:rPr>
          <w:sz w:val="20"/>
          <w:szCs w:val="20"/>
          <w:color w:val="auto"/>
        </w:rPr>
      </w:pPr>
    </w:p>
    <w:p>
      <w:pPr>
        <w:ind w:right="2419" w:firstLine="1053"/>
        <w:spacing w:after="0" w:line="279" w:lineRule="auto"/>
        <w:rPr>
          <w:sz w:val="20"/>
          <w:szCs w:val="20"/>
          <w:color w:val="auto"/>
        </w:rPr>
      </w:pPr>
      <w:r>
        <w:rPr>
          <w:rFonts w:ascii="Courier New" w:cs="Courier New" w:eastAsia="Courier New" w:hAnsi="Courier New"/>
          <w:sz w:val="16"/>
          <w:szCs w:val="16"/>
          <w:color w:val="auto"/>
        </w:rPr>
        <w:t>I consent to your filing this opinion as an exhibit to the Registration Statement and to the reference to my name in the Registration Statement under the heading "Interests of Named Experts and Counsel."</w:t>
      </w:r>
    </w:p>
    <w:p>
      <w:pPr>
        <w:spacing w:after="0" w:line="17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E. O. ROBINSON,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E. O. Robinson, Jr.</w:t>
      </w:r>
    </w:p>
    <w:p>
      <w:pPr>
        <w:ind w:left="3700"/>
        <w:spacing w:after="0" w:line="238" w:lineRule="auto"/>
        <w:rPr>
          <w:sz w:val="20"/>
          <w:szCs w:val="20"/>
          <w:color w:val="auto"/>
        </w:rPr>
      </w:pPr>
      <w:r>
        <w:rPr>
          <w:rFonts w:ascii="Courier New" w:cs="Courier New" w:eastAsia="Courier New" w:hAnsi="Courier New"/>
          <w:sz w:val="18"/>
          <w:szCs w:val="18"/>
          <w:color w:val="auto"/>
        </w:rPr>
        <w:t>Senior Vice President, General Counsel and</w:t>
      </w:r>
    </w:p>
    <w:p>
      <w:pPr>
        <w:ind w:left="370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136" w:right="1440" w:bottom="1440" w:gutter="0" w:footer="0" w:header="0"/>
        </w:sectPr>
      </w:pPr>
    </w:p>
    <w:bookmarkStart w:id="31" w:name="page32"/>
    <w:bookmarkEnd w:id="31"/>
    <w:p>
      <w:pPr>
        <w:ind w:left="29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750" w:right="1440" w:bottom="1440" w:gutter="0" w:footer="0" w:header="0"/>
        </w:sectPr>
      </w:pPr>
    </w:p>
    <w:bookmarkStart w:id="32" w:name="page33"/>
    <w:bookmarkEnd w:id="32"/>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CONSENT OF INDEPENDENT PUBLIC ACCOUNTANTS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independent public accountants, we hereby consent to the incorporation by reference in this registration statement of our report dated March 20, 1995 included in The Promus Companies Incorporated Form 10-K, as amended, for the year ended December 31, 1994 and to all references to our Firm included in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ARTHUR ANDERSEN LLP</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Memphis, Tennessee</w:t>
      </w:r>
    </w:p>
    <w:p>
      <w:pPr>
        <w:spacing w:after="0" w:line="238" w:lineRule="auto"/>
        <w:rPr>
          <w:sz w:val="20"/>
          <w:szCs w:val="20"/>
          <w:color w:val="auto"/>
        </w:rPr>
      </w:pPr>
      <w:r>
        <w:rPr>
          <w:rFonts w:ascii="Courier New" w:cs="Courier New" w:eastAsia="Courier New" w:hAnsi="Courier New"/>
          <w:sz w:val="18"/>
          <w:szCs w:val="18"/>
          <w:color w:val="auto"/>
        </w:rPr>
        <w:t>May 30, 1995</w:t>
      </w:r>
    </w:p>
    <w:p>
      <w:pPr>
        <w:sectPr>
          <w:pgSz w:w="11900" w:h="16838" w:orient="portrait"/>
          <w:cols w:equalWidth="0" w:num="1">
            <w:col w:w="10219"/>
          </w:cols>
          <w:pgMar w:left="240" w:top="136" w:right="1440" w:bottom="1440" w:gutter="0" w:footer="0" w:header="0"/>
        </w:sectPr>
      </w:pPr>
    </w:p>
    <w:bookmarkStart w:id="33" w:name="page34"/>
    <w:bookmarkEnd w:id="33"/>
    <w:p>
      <w:pPr>
        <w:ind w:left="2920"/>
        <w:spacing w:after="0"/>
        <w:rPr>
          <w:sz w:val="20"/>
          <w:szCs w:val="20"/>
          <w:color w:val="auto"/>
        </w:rPr>
      </w:pPr>
      <w:r>
        <w:rPr>
          <w:rFonts w:ascii="Courier New" w:cs="Courier New" w:eastAsia="Courier New" w:hAnsi="Courier New"/>
          <w:sz w:val="16"/>
          <w:szCs w:val="16"/>
          <w:color w:val="auto"/>
        </w:rPr>
        <w:t>19</w:t>
      </w:r>
    </w:p>
    <w:sectPr>
      <w:pgSz w:w="11900" w:h="16838" w:orient="portrait"/>
      <w:cols w:equalWidth="0" w:num="1">
        <w:col w:w="9019"/>
      </w:cols>
      <w:pgMar w:left="1440" w:top="5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lowerLetter"/>
      <w:start w:val="1"/>
    </w:lvl>
  </w:abstractNum>
  <w:abstractNum w:abstractNumId="2">
    <w:nsid w:val="2EB141F2"/>
    <w:multiLevelType w:val="hybridMultilevel"/>
    <w:lvl w:ilvl="0">
      <w:lvlJc w:val="left"/>
      <w:lvlText w:val="(%1)"/>
      <w:numFmt w:val="decimal"/>
      <w:start w:val="1"/>
    </w:lvl>
    <w:lvl w:ilvl="1">
      <w:lvlJc w:val="left"/>
      <w:lvlText w:val="(%2)"/>
      <w:numFmt w:val="lowerLetter"/>
      <w:start w:val="1"/>
    </w:lvl>
  </w:abstractNum>
  <w:abstractNum w:abstractNumId="3">
    <w:nsid w:val="41B71EFB"/>
    <w:multiLevelType w:val="hybridMultilevel"/>
    <w:lvl w:ilvl="0">
      <w:lvlJc w:val="left"/>
      <w:lvlText w:val="(%1)"/>
      <w:numFmt w:val="decimal"/>
      <w:start w:val="2"/>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lowerRoman"/>
      <w:start w:val="1"/>
    </w:lvl>
  </w:abstractNum>
  <w:abstractNum w:abstractNumId="8">
    <w:nsid w:val="12200854"/>
    <w:multiLevelType w:val="hybridMultilevel"/>
    <w:lvl w:ilvl="0">
      <w:lvlJc w:val="left"/>
      <w:lvlText w:val="(%1)"/>
      <w:numFmt w:val="lowerRoman"/>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2019-12-13T18:48:44Z</dcterms:created>
  <dcterms:modified xsi:type="dcterms:W3CDTF">2019-12-13T18:48:44Z</dcterms:modified>
</cp:coreProperties>
</file>